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826135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680" w:right="380" w:hanging="654"/>
        <w:spacing w:after="0" w:line="247"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2" w:lineRule="exact"/>
        <w:rPr>
          <w:sz w:val="24"/>
          <w:szCs w:val="24"/>
          <w:color w:val="auto"/>
        </w:rPr>
      </w:pPr>
    </w:p>
    <w:p>
      <w:pPr>
        <w:ind w:left="344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January 31, 2024</w:t>
      </w:r>
    </w:p>
    <w:p>
      <w:pPr>
        <w:spacing w:after="0" w:line="26" w:lineRule="exact"/>
        <w:rPr>
          <w:sz w:val="24"/>
          <w:szCs w:val="24"/>
          <w:color w:val="auto"/>
        </w:rPr>
      </w:pPr>
    </w:p>
    <w:p>
      <w:pPr>
        <w:ind w:left="5520"/>
        <w:spacing w:after="0"/>
        <w:rPr>
          <w:sz w:val="20"/>
          <w:szCs w:val="20"/>
          <w:color w:val="auto"/>
        </w:rPr>
      </w:pPr>
      <w:r>
        <w:rPr>
          <w:rFonts w:ascii="Arial" w:cs="Arial" w:eastAsia="Arial" w:hAnsi="Arial"/>
          <w:sz w:val="22"/>
          <w:szCs w:val="22"/>
          <w:color w:val="auto"/>
        </w:rPr>
        <w:t>or</w:t>
      </w:r>
    </w:p>
    <w:p>
      <w:pPr>
        <w:spacing w:after="0" w:line="171" w:lineRule="exact"/>
        <w:rPr>
          <w:sz w:val="24"/>
          <w:szCs w:val="24"/>
          <w:color w:val="auto"/>
        </w:rPr>
      </w:pPr>
    </w:p>
    <w:p>
      <w:pPr>
        <w:ind w:left="680" w:right="400" w:hanging="654"/>
        <w:spacing w:after="0" w:line="247"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9"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3923665</wp:posOffset>
            </wp:positionH>
            <wp:positionV relativeFrom="paragraph">
              <wp:posOffset>-7620</wp:posOffset>
            </wp:positionV>
            <wp:extent cx="932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151765</wp:posOffset>
            </wp:positionV>
            <wp:extent cx="1448435" cy="831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ind w:right="38"/>
              <w:spacing w:after="0"/>
              <w:rPr>
                <w:sz w:val="20"/>
                <w:szCs w:val="20"/>
                <w:color w:val="auto"/>
              </w:rPr>
            </w:pPr>
            <w:r>
              <w:rPr>
                <w:rFonts w:ascii="Arial" w:cs="Arial" w:eastAsia="Arial" w:hAnsi="Arial"/>
                <w:sz w:val="16"/>
                <w:szCs w:val="16"/>
                <w:b w:val="1"/>
                <w:bCs w:val="1"/>
                <w:color w:val="auto"/>
              </w:rPr>
              <w:t>Delaware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b w:val="1"/>
                <w:bCs w:val="1"/>
                <w:color w:val="auto"/>
              </w:rPr>
              <w:t>94-1369354</w:t>
            </w:r>
          </w:p>
        </w:tc>
      </w:tr>
      <w:tr>
        <w:trPr>
          <w:trHeight w:val="163"/>
        </w:trPr>
        <w:tc>
          <w:tcPr>
            <w:tcW w:w="3200" w:type="dxa"/>
            <w:vAlign w:val="bottom"/>
          </w:tcPr>
          <w:p>
            <w:pPr>
              <w:jc w:val="center"/>
              <w:ind w:right="38"/>
              <w:spacing w:after="0" w:line="163" w:lineRule="exact"/>
              <w:rPr>
                <w:sz w:val="20"/>
                <w:szCs w:val="20"/>
                <w:color w:val="auto"/>
              </w:rPr>
            </w:pPr>
            <w:r>
              <w:rPr>
                <w:rFonts w:ascii="Arial" w:cs="Arial" w:eastAsia="Arial" w:hAnsi="Arial"/>
                <w:sz w:val="16"/>
                <w:szCs w:val="16"/>
                <w:color w:val="auto"/>
              </w:rPr>
              <w:t>(State or other jurisdiction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00" w:type="dxa"/>
            <w:vAlign w:val="bottom"/>
          </w:tcPr>
          <w:p>
            <w:pPr>
              <w:jc w:val="center"/>
              <w:ind w:left="919"/>
              <w:spacing w:after="0" w:line="163" w:lineRule="exact"/>
              <w:rPr>
                <w:sz w:val="20"/>
                <w:szCs w:val="20"/>
                <w:color w:val="auto"/>
              </w:rPr>
            </w:pPr>
            <w:r>
              <w:rPr>
                <w:rFonts w:ascii="Arial" w:cs="Arial" w:eastAsia="Arial" w:hAnsi="Arial"/>
                <w:sz w:val="16"/>
                <w:szCs w:val="16"/>
                <w:color w:val="auto"/>
              </w:rPr>
              <w:t>(I.R.S. Employer</w:t>
            </w:r>
          </w:p>
        </w:tc>
      </w:tr>
      <w:tr>
        <w:trPr>
          <w:trHeight w:val="215"/>
        </w:trPr>
        <w:tc>
          <w:tcPr>
            <w:tcW w:w="3200" w:type="dxa"/>
            <w:vAlign w:val="bottom"/>
          </w:tcPr>
          <w:p>
            <w:pPr>
              <w:jc w:val="center"/>
              <w:ind w:right="38"/>
              <w:spacing w:after="0"/>
              <w:rPr>
                <w:sz w:val="20"/>
                <w:szCs w:val="20"/>
                <w:color w:val="auto"/>
              </w:rPr>
            </w:pPr>
            <w:r>
              <w:rPr>
                <w:rFonts w:ascii="Arial" w:cs="Arial" w:eastAsia="Arial" w:hAnsi="Arial"/>
                <w:sz w:val="16"/>
                <w:szCs w:val="16"/>
                <w:color w:val="auto"/>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color w:val="auto"/>
              </w:rPr>
              <w:t>Identification No.)</w:t>
            </w:r>
          </w:p>
        </w:tc>
      </w:tr>
      <w:tr>
        <w:trPr>
          <w:trHeight w:val="343"/>
        </w:trPr>
        <w:tc>
          <w:tcPr>
            <w:tcW w:w="3200" w:type="dxa"/>
            <w:vAlign w:val="bottom"/>
          </w:tcPr>
          <w:p>
            <w:pPr>
              <w:spacing w:after="0"/>
              <w:rPr>
                <w:sz w:val="24"/>
                <w:szCs w:val="24"/>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4"/>
                <w:szCs w:val="24"/>
                <w:color w:val="auto"/>
              </w:rPr>
            </w:pPr>
          </w:p>
        </w:tc>
      </w:tr>
      <w:tr>
        <w:trPr>
          <w:trHeight w:val="301"/>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5"/>
          </w:tcPr>
          <w:p>
            <w:pPr>
              <w:jc w:val="center"/>
              <w:ind w:left="214"/>
              <w:spacing w:after="0"/>
              <w:rPr>
                <w:sz w:val="20"/>
                <w:szCs w:val="20"/>
                <w:color w:val="auto"/>
              </w:rPr>
            </w:pPr>
            <w:r>
              <w:rPr>
                <w:rFonts w:ascii="Arial" w:cs="Arial" w:eastAsia="Arial" w:hAnsi="Arial"/>
                <w:sz w:val="18"/>
                <w:szCs w:val="18"/>
                <w:b w:val="1"/>
                <w:bCs w:val="1"/>
                <w:color w:val="auto"/>
                <w:w w:val="98"/>
              </w:rPr>
              <w:t>One Liberty Plaza, 7</w:t>
            </w:r>
            <w:r>
              <w:rPr>
                <w:rFonts w:ascii="Arial" w:cs="Arial" w:eastAsia="Arial" w:hAnsi="Arial"/>
                <w:sz w:val="23"/>
                <w:szCs w:val="23"/>
                <w:b w:val="1"/>
                <w:bCs w:val="1"/>
                <w:color w:val="auto"/>
                <w:w w:val="98"/>
                <w:vertAlign w:val="superscript"/>
              </w:rPr>
              <w:t>th</w:t>
            </w:r>
            <w:r>
              <w:rPr>
                <w:rFonts w:ascii="Arial" w:cs="Arial" w:eastAsia="Arial" w:hAnsi="Arial"/>
                <w:sz w:val="18"/>
                <w:szCs w:val="18"/>
                <w:b w:val="1"/>
                <w:bCs w:val="1"/>
                <w:color w:val="auto"/>
                <w:w w:val="98"/>
              </w:rPr>
              <w:t xml:space="preserve"> Floor</w:t>
            </w:r>
          </w:p>
        </w:tc>
        <w:tc>
          <w:tcPr>
            <w:tcW w:w="3900" w:type="dxa"/>
            <w:vAlign w:val="bottom"/>
          </w:tcPr>
          <w:p>
            <w:pPr>
              <w:spacing w:after="0"/>
              <w:rPr>
                <w:sz w:val="24"/>
                <w:szCs w:val="24"/>
                <w:color w:val="auto"/>
              </w:rPr>
            </w:pPr>
          </w:p>
        </w:tc>
      </w:tr>
      <w:tr>
        <w:trPr>
          <w:trHeight w:val="247"/>
        </w:trPr>
        <w:tc>
          <w:tcPr>
            <w:tcW w:w="3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6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98"/>
              </w:rPr>
              <w:t>New York, New York 10006</w:t>
            </w:r>
          </w:p>
        </w:tc>
        <w:tc>
          <w:tcPr>
            <w:tcW w:w="3900" w:type="dxa"/>
            <w:vAlign w:val="bottom"/>
          </w:tcPr>
          <w:p>
            <w:pPr>
              <w:spacing w:after="0"/>
              <w:rPr>
                <w:sz w:val="21"/>
                <w:szCs w:val="21"/>
                <w:color w:val="auto"/>
              </w:rPr>
            </w:pPr>
          </w:p>
        </w:tc>
      </w:tr>
      <w:tr>
        <w:trPr>
          <w:trHeight w:val="316"/>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5"/>
          </w:tcPr>
          <w:p>
            <w:pPr>
              <w:jc w:val="center"/>
              <w:ind w:left="214"/>
              <w:spacing w:after="0"/>
              <w:rPr>
                <w:sz w:val="20"/>
                <w:szCs w:val="20"/>
                <w:color w:val="auto"/>
              </w:rPr>
            </w:pPr>
            <w:r>
              <w:rPr>
                <w:rFonts w:ascii="Arial" w:cs="Arial" w:eastAsia="Arial" w:hAnsi="Arial"/>
                <w:sz w:val="18"/>
                <w:szCs w:val="18"/>
                <w:color w:val="auto"/>
                <w:w w:val="99"/>
              </w:rPr>
              <w:t>(Address of principal executive offices)</w:t>
            </w:r>
          </w:p>
        </w:tc>
        <w:tc>
          <w:tcPr>
            <w:tcW w:w="3900" w:type="dxa"/>
            <w:vAlign w:val="bottom"/>
          </w:tcPr>
          <w:p>
            <w:pPr>
              <w:spacing w:after="0"/>
              <w:rPr>
                <w:sz w:val="24"/>
                <w:szCs w:val="24"/>
                <w:color w:val="auto"/>
              </w:rPr>
            </w:pPr>
          </w:p>
        </w:tc>
      </w:tr>
      <w:tr>
        <w:trPr>
          <w:trHeight w:val="415"/>
        </w:trPr>
        <w:tc>
          <w:tcPr>
            <w:tcW w:w="3200" w:type="dxa"/>
            <w:vAlign w:val="bottom"/>
          </w:tcPr>
          <w:p>
            <w:pPr>
              <w:spacing w:after="0"/>
              <w:rPr>
                <w:sz w:val="24"/>
                <w:szCs w:val="24"/>
                <w:color w:val="auto"/>
              </w:rPr>
            </w:pPr>
          </w:p>
        </w:tc>
        <w:tc>
          <w:tcPr>
            <w:tcW w:w="1800" w:type="dxa"/>
            <w:vAlign w:val="bottom"/>
            <w:gridSpan w:val="3"/>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(212) 297-0200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48"/>
        </w:trPr>
        <w:tc>
          <w:tcPr>
            <w:tcW w:w="3200" w:type="dxa"/>
            <w:vAlign w:val="bottom"/>
          </w:tcPr>
          <w:p>
            <w:pPr>
              <w:spacing w:after="0"/>
              <w:rPr>
                <w:sz w:val="24"/>
                <w:szCs w:val="24"/>
                <w:color w:val="auto"/>
              </w:rPr>
            </w:pPr>
          </w:p>
        </w:tc>
        <w:tc>
          <w:tcPr>
            <w:tcW w:w="7900" w:type="dxa"/>
            <w:vAlign w:val="bottom"/>
            <w:gridSpan w:val="8"/>
          </w:tcPr>
          <w:p>
            <w:pPr>
              <w:jc w:val="center"/>
              <w:ind w:right="2959"/>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301"/>
        </w:trPr>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7"/>
              </w:rPr>
              <w:t>None</w:t>
            </w:r>
          </w:p>
        </w:tc>
        <w:tc>
          <w:tcPr>
            <w:tcW w:w="3900" w:type="dxa"/>
            <w:vAlign w:val="bottom"/>
          </w:tcPr>
          <w:p>
            <w:pPr>
              <w:spacing w:after="0"/>
              <w:rPr>
                <w:sz w:val="24"/>
                <w:szCs w:val="24"/>
                <w:color w:val="auto"/>
              </w:rPr>
            </w:pPr>
          </w:p>
        </w:tc>
      </w:tr>
      <w:tr>
        <w:trPr>
          <w:trHeight w:val="216"/>
        </w:trPr>
        <w:tc>
          <w:tcPr>
            <w:tcW w:w="11100" w:type="dxa"/>
            <w:vAlign w:val="bottom"/>
            <w:gridSpan w:val="9"/>
          </w:tcPr>
          <w:p>
            <w:pPr>
              <w:jc w:val="center"/>
              <w:ind w:left="58"/>
              <w:spacing w:after="0"/>
              <w:rPr>
                <w:sz w:val="20"/>
                <w:szCs w:val="20"/>
                <w:color w:val="auto"/>
              </w:rPr>
            </w:pPr>
            <w:r>
              <w:rPr>
                <w:rFonts w:ascii="Arial" w:cs="Arial" w:eastAsia="Arial" w:hAnsi="Arial"/>
                <w:sz w:val="18"/>
                <w:szCs w:val="18"/>
                <w:color w:val="auto"/>
                <w:w w:val="99"/>
              </w:rPr>
              <w:t>(Former name, former address and former fiscal year, if changed since last report)</w:t>
            </w:r>
          </w:p>
        </w:tc>
      </w:tr>
      <w:tr>
        <w:trPr>
          <w:trHeight w:val="239"/>
        </w:trPr>
        <w:tc>
          <w:tcPr>
            <w:tcW w:w="3200" w:type="dxa"/>
            <w:vAlign w:val="bottom"/>
          </w:tcPr>
          <w:p>
            <w:pPr>
              <w:spacing w:after="0"/>
              <w:rPr>
                <w:sz w:val="20"/>
                <w:szCs w:val="20"/>
                <w:color w:val="auto"/>
              </w:rPr>
            </w:pPr>
          </w:p>
        </w:tc>
        <w:tc>
          <w:tcPr>
            <w:tcW w:w="4000" w:type="dxa"/>
            <w:vAlign w:val="bottom"/>
            <w:gridSpan w:val="7"/>
          </w:tcPr>
          <w:p>
            <w:pPr>
              <w:jc w:val="center"/>
              <w:ind w:left="750"/>
              <w:spacing w:after="0"/>
              <w:rPr>
                <w:sz w:val="20"/>
                <w:szCs w:val="20"/>
                <w:color w:val="auto"/>
              </w:rPr>
            </w:pPr>
            <w:r>
              <w:rPr>
                <w:rFonts w:ascii="Arial" w:cs="Arial" w:eastAsia="Arial" w:hAnsi="Arial"/>
                <w:sz w:val="18"/>
                <w:szCs w:val="18"/>
                <w:color w:val="auto"/>
                <w:w w:val="99"/>
              </w:rPr>
              <w:t>__________________________</w:t>
            </w:r>
          </w:p>
        </w:tc>
        <w:tc>
          <w:tcPr>
            <w:tcW w:w="3900" w:type="dxa"/>
            <w:vAlign w:val="bottom"/>
          </w:tcPr>
          <w:p>
            <w:pPr>
              <w:spacing w:after="0"/>
              <w:rPr>
                <w:sz w:val="20"/>
                <w:szCs w:val="20"/>
                <w:color w:val="auto"/>
              </w:rPr>
            </w:pPr>
          </w:p>
        </w:tc>
      </w:tr>
      <w:tr>
        <w:trPr>
          <w:trHeight w:val="324"/>
        </w:trPr>
        <w:tc>
          <w:tcPr>
            <w:tcW w:w="3200" w:type="dxa"/>
            <w:vAlign w:val="bottom"/>
          </w:tcPr>
          <w:p>
            <w:pPr>
              <w:spacing w:after="0"/>
              <w:rPr>
                <w:sz w:val="24"/>
                <w:szCs w:val="24"/>
                <w:color w:val="auto"/>
              </w:rPr>
            </w:pPr>
          </w:p>
        </w:tc>
        <w:tc>
          <w:tcPr>
            <w:tcW w:w="7900" w:type="dxa"/>
            <w:vAlign w:val="bottom"/>
            <w:gridSpan w:val="8"/>
          </w:tcPr>
          <w:p>
            <w:pPr>
              <w:jc w:val="center"/>
              <w:ind w:right="29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400"/>
        </w:trPr>
        <w:tc>
          <w:tcPr>
            <w:tcW w:w="3200" w:type="dxa"/>
            <w:vAlign w:val="bottom"/>
          </w:tcPr>
          <w:p>
            <w:pPr>
              <w:jc w:val="center"/>
              <w:ind w:left="358"/>
              <w:spacing w:after="0"/>
              <w:rPr>
                <w:sz w:val="20"/>
                <w:szCs w:val="20"/>
                <w:color w:val="auto"/>
              </w:rPr>
            </w:pPr>
            <w:r>
              <w:rPr>
                <w:rFonts w:ascii="Arial" w:cs="Arial" w:eastAsia="Arial" w:hAnsi="Arial"/>
                <w:sz w:val="16"/>
                <w:szCs w:val="16"/>
                <w:color w:val="auto"/>
                <w:w w:val="99"/>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5"/>
          </w:tcPr>
          <w:p>
            <w:pPr>
              <w:jc w:val="center"/>
              <w:ind w:right="700"/>
              <w:spacing w:after="0"/>
              <w:rPr>
                <w:sz w:val="20"/>
                <w:szCs w:val="20"/>
                <w:color w:val="auto"/>
              </w:rPr>
            </w:pPr>
            <w:r>
              <w:rPr>
                <w:rFonts w:ascii="Arial" w:cs="Arial" w:eastAsia="Arial" w:hAnsi="Arial"/>
                <w:sz w:val="16"/>
                <w:szCs w:val="16"/>
                <w:color w:val="auto"/>
                <w:w w:val="99"/>
              </w:rPr>
              <w:t>Trading Symbol</w:t>
            </w:r>
          </w:p>
        </w:tc>
        <w:tc>
          <w:tcPr>
            <w:tcW w:w="3900" w:type="dxa"/>
            <w:vAlign w:val="bottom"/>
          </w:tcPr>
          <w:p>
            <w:pPr>
              <w:jc w:val="center"/>
              <w:ind w:right="519"/>
              <w:spacing w:after="0"/>
              <w:rPr>
                <w:sz w:val="20"/>
                <w:szCs w:val="20"/>
                <w:color w:val="auto"/>
              </w:rPr>
            </w:pPr>
            <w:r>
              <w:rPr>
                <w:rFonts w:ascii="Arial" w:cs="Arial" w:eastAsia="Arial" w:hAnsi="Arial"/>
                <w:sz w:val="16"/>
                <w:szCs w:val="16"/>
                <w:color w:val="auto"/>
              </w:rPr>
              <w:t>Name of each exchange on which registered</w:t>
            </w:r>
          </w:p>
        </w:tc>
      </w:tr>
      <w:tr>
        <w:trPr>
          <w:trHeight w:val="217"/>
        </w:trPr>
        <w:tc>
          <w:tcPr>
            <w:tcW w:w="3200" w:type="dxa"/>
            <w:vAlign w:val="bottom"/>
            <w:tcBorders>
              <w:top w:val="single" w:sz="8" w:color="auto"/>
            </w:tcBorders>
          </w:tcPr>
          <w:p>
            <w:pPr>
              <w:jc w:val="center"/>
              <w:ind w:left="358"/>
              <w:spacing w:after="0"/>
              <w:rPr>
                <w:sz w:val="20"/>
                <w:szCs w:val="20"/>
                <w:color w:val="auto"/>
              </w:rPr>
            </w:pPr>
            <w:r>
              <w:rPr>
                <w:rFonts w:ascii="Arial" w:cs="Arial" w:eastAsia="Arial" w:hAnsi="Arial"/>
                <w:sz w:val="16"/>
                <w:szCs w:val="16"/>
                <w:b w:val="1"/>
                <w:bCs w:val="1"/>
                <w:color w:val="auto"/>
              </w:rPr>
              <w:t>Common Stock, $0.01 par value</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ABM</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519"/>
              <w:spacing w:after="0"/>
              <w:rPr>
                <w:sz w:val="20"/>
                <w:szCs w:val="20"/>
                <w:color w:val="auto"/>
              </w:rPr>
            </w:pPr>
            <w:r>
              <w:rPr>
                <w:rFonts w:ascii="Arial" w:cs="Arial" w:eastAsia="Arial" w:hAnsi="Arial"/>
                <w:sz w:val="16"/>
                <w:szCs w:val="16"/>
                <w:b w:val="1"/>
                <w:bCs w:val="1"/>
                <w:color w:val="auto"/>
              </w:rPr>
              <w:t>New York Stock Exchange</w:t>
            </w:r>
          </w:p>
        </w:tc>
      </w:tr>
    </w:tbl>
    <w:p>
      <w:pPr>
        <w:spacing w:after="0" w:line="200" w:lineRule="exact"/>
        <w:rPr>
          <w:sz w:val="24"/>
          <w:szCs w:val="24"/>
          <w:color w:val="auto"/>
        </w:rPr>
      </w:pPr>
    </w:p>
    <w:p>
      <w:pPr>
        <w:sectPr>
          <w:pgSz w:w="11900" w:h="16838" w:orient="portrait"/>
          <w:cols w:equalWidth="0" w:num="1">
            <w:col w:w="11240"/>
          </w:cols>
          <w:pgMar w:left="320" w:top="1432" w:right="339" w:bottom="1440" w:gutter="0" w:footer="0" w:header="0"/>
        </w:sectPr>
      </w:pPr>
    </w:p>
    <w:p>
      <w:pPr>
        <w:spacing w:after="0" w:line="31"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 w:name="page2"/>
    <w:bookmarkEnd w:id="1"/>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0"/>
          <w:szCs w:val="20"/>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300"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9120" w:val="left"/>
          <w:tab w:leader="none" w:pos="9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Number of shares of the registrant’s common stock outstanding as of March 6, 2024: 63,291,484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172085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120" w:type="dxa"/>
            <w:vAlign w:val="bottom"/>
          </w:tcPr>
          <w:p>
            <w:pPr>
              <w:spacing w:after="0"/>
              <w:rPr>
                <w:sz w:val="14"/>
                <w:szCs w:val="14"/>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5"/>
                <w:szCs w:val="15"/>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5"/>
                <w:szCs w:val="15"/>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22</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33</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33</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3.</w:t>
            </w:r>
          </w:p>
        </w:tc>
        <w:tc>
          <w:tcPr>
            <w:tcW w:w="1046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4.</w:t>
            </w:r>
          </w:p>
        </w:tc>
        <w:tc>
          <w:tcPr>
            <w:tcW w:w="1046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5.</w:t>
            </w:r>
          </w:p>
        </w:tc>
        <w:tc>
          <w:tcPr>
            <w:tcW w:w="1046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34</w:t>
            </w:r>
          </w:p>
        </w:tc>
        <w:tc>
          <w:tcPr>
            <w:tcW w:w="120" w:type="dxa"/>
            <w:vAlign w:val="bottom"/>
          </w:tcPr>
          <w:p>
            <w:pPr>
              <w:spacing w:after="0"/>
              <w:rPr>
                <w:sz w:val="15"/>
                <w:szCs w:val="15"/>
                <w:color w:val="auto"/>
              </w:rPr>
            </w:pPr>
          </w:p>
        </w:tc>
      </w:tr>
      <w:tr>
        <w:trPr>
          <w:trHeight w:val="183"/>
        </w:trPr>
        <w:tc>
          <w:tcPr>
            <w:tcW w:w="480" w:type="dxa"/>
            <w:vAlign w:val="bottom"/>
          </w:tcPr>
          <w:p>
            <w:pPr>
              <w:ind w:left="20"/>
              <w:spacing w:after="0"/>
              <w:rPr>
                <w:sz w:val="20"/>
                <w:szCs w:val="20"/>
                <w:color w:val="auto"/>
              </w:rPr>
            </w:pPr>
            <w:r>
              <w:rPr>
                <w:rFonts w:ascii="Arial" w:cs="Arial" w:eastAsia="Arial" w:hAnsi="Arial"/>
                <w:sz w:val="14"/>
                <w:szCs w:val="14"/>
                <w:color w:val="auto"/>
              </w:rPr>
              <w:t>Item 6.</w:t>
            </w:r>
          </w:p>
        </w:tc>
        <w:tc>
          <w:tcPr>
            <w:tcW w:w="1046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35</w:t>
            </w:r>
          </w:p>
        </w:tc>
        <w:tc>
          <w:tcPr>
            <w:tcW w:w="120" w:type="dxa"/>
            <w:vAlign w:val="bottom"/>
          </w:tcPr>
          <w:p>
            <w:pPr>
              <w:spacing w:after="0"/>
              <w:rPr>
                <w:sz w:val="15"/>
                <w:szCs w:val="15"/>
                <w:color w:val="auto"/>
              </w:rPr>
            </w:pPr>
          </w:p>
        </w:tc>
      </w:tr>
      <w:tr>
        <w:trPr>
          <w:trHeight w:val="183"/>
        </w:trPr>
        <w:tc>
          <w:tcPr>
            <w:tcW w:w="1094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36</w:t>
            </w:r>
          </w:p>
        </w:tc>
        <w:tc>
          <w:tcPr>
            <w:tcW w:w="120" w:type="dxa"/>
            <w:vAlign w:val="bottom"/>
          </w:tcPr>
          <w:p>
            <w:pPr>
              <w:spacing w:after="0"/>
              <w:rPr>
                <w:sz w:val="15"/>
                <w:szCs w:val="15"/>
                <w:color w:val="auto"/>
              </w:rPr>
            </w:pPr>
          </w:p>
        </w:tc>
      </w:tr>
      <w:tr>
        <w:trPr>
          <w:trHeight w:val="1053"/>
        </w:trPr>
        <w:tc>
          <w:tcPr>
            <w:tcW w:w="48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Form 10-Q contains both historical and forward-looking statements regarding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market pressures.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of operations can be adversely affected by labor shortages, turnover, and labor cost increases.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attract and retain qualified personnel and senior management we need to support our business.</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Investments in and changes to our businesses, operating structure, or personnel relating to our </w:t>
      </w:r>
      <w:r>
        <w:rPr>
          <w:rFonts w:ascii="Arial" w:cs="Arial" w:eastAsia="Arial" w:hAnsi="Arial"/>
          <w:sz w:val="18"/>
          <w:szCs w:val="18"/>
          <w:b w:val="1"/>
          <w:bCs w:val="1"/>
          <w:color w:val="D76428"/>
        </w:rPr>
        <w:t>ELEVATE</w:t>
      </w:r>
      <w:r>
        <w:rPr>
          <w:rFonts w:ascii="Arial" w:cs="Arial" w:eastAsia="Arial" w:hAnsi="Arial"/>
          <w:sz w:val="18"/>
          <w:szCs w:val="18"/>
          <w:color w:val="auto"/>
        </w:rPr>
        <w:t xml:space="preserve"> strategy, including the implementation of strategic transformations, enhanced business processes, and technology initiatives, may not have the desired effects on our financial condition and results of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preserve long-term client relationships is essential to our continued success.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negatively impact our results of operations and financial condition.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commercial office space utilization due to hybrid work models could adversely affect our financial condition.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divestitures, and other strategic transactions could fail to achieve financial or strategic objectives, disrupt our ongoing business, and adversely impact our results of operations.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implementation of new enterprise resource planning (“ERP”) and related boundary systems could adversely impact our ability to operate our business and report our financial results.</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spacing w:after="0" w:line="14"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legal and regulatory requirements, which could limit our profitability by increasing the costs of legal and regulatory compliance.</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increases in the level of our borrowings or in interest rates could affect our results of operations.</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 w:name="page5"/>
    <w:bookmarkEnd w:id="4"/>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pandemics,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2023, and in other reports (including all amendments to those reports) we file from time to time with the Securities and Exchange Commission (“SEC”).</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0046AD"/>
        </w:rPr>
        <w:t>CONSOLIDATED BALANCE SHEETS</w:t>
      </w:r>
    </w:p>
    <w:p>
      <w:pPr>
        <w:spacing w:after="0" w:line="13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0046AD"/>
        </w:rPr>
        <w:t>(UNAUDITED)</w:t>
      </w:r>
    </w:p>
    <w:p>
      <w:pPr>
        <w:spacing w:after="0" w:line="1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20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5"/>
                <w:szCs w:val="15"/>
                <w:b w:val="1"/>
                <w:bCs w:val="1"/>
                <w:color w:val="auto"/>
              </w:rPr>
              <w:t>January 31, 2024</w:t>
            </w:r>
          </w:p>
        </w:tc>
        <w:tc>
          <w:tcPr>
            <w:tcW w:w="160" w:type="dxa"/>
            <w:vAlign w:val="bottom"/>
          </w:tcPr>
          <w:p>
            <w:pPr>
              <w:spacing w:after="0"/>
              <w:rPr>
                <w:sz w:val="16"/>
                <w:szCs w:val="16"/>
                <w:color w:val="auto"/>
              </w:rPr>
            </w:pPr>
          </w:p>
        </w:tc>
        <w:tc>
          <w:tcPr>
            <w:tcW w:w="1480" w:type="dxa"/>
            <w:vAlign w:val="bottom"/>
          </w:tcPr>
          <w:p>
            <w:pPr>
              <w:jc w:val="right"/>
              <w:ind w:right="144"/>
              <w:spacing w:after="0"/>
              <w:rPr>
                <w:sz w:val="20"/>
                <w:szCs w:val="20"/>
                <w:color w:val="auto"/>
              </w:rPr>
            </w:pPr>
            <w:r>
              <w:rPr>
                <w:rFonts w:ascii="Arial" w:cs="Arial" w:eastAsia="Arial" w:hAnsi="Arial"/>
                <w:sz w:val="15"/>
                <w:szCs w:val="15"/>
                <w:b w:val="1"/>
                <w:bCs w:val="1"/>
                <w:color w:val="auto"/>
              </w:rPr>
              <w:t>October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2840" w:type="dxa"/>
            <w:vAlign w:val="bottom"/>
            <w:tcBorders>
              <w:top w:val="single" w:sz="8" w:color="auto"/>
              <w:bottom w:val="single" w:sz="8" w:color="DCE2EF"/>
            </w:tcBorders>
          </w:tcPr>
          <w:p>
            <w:pPr>
              <w:spacing w:after="0"/>
              <w:rPr>
                <w:sz w:val="2"/>
                <w:szCs w:val="2"/>
                <w:color w:val="auto"/>
              </w:rPr>
            </w:pPr>
          </w:p>
        </w:tc>
        <w:tc>
          <w:tcPr>
            <w:tcW w:w="4440" w:type="dxa"/>
            <w:vAlign w:val="bottom"/>
            <w:tcBorders>
              <w:bottom w:val="single" w:sz="8" w:color="DCE2E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DCE2EF"/>
          </w:tcPr>
          <w:p>
            <w:pPr>
              <w:spacing w:after="0"/>
              <w:rPr>
                <w:sz w:val="15"/>
                <w:szCs w:val="15"/>
                <w:color w:val="auto"/>
              </w:rPr>
            </w:pPr>
          </w:p>
        </w:tc>
        <w:tc>
          <w:tcPr>
            <w:tcW w:w="16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4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DCE2E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58.0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80" w:type="dxa"/>
            <w:vAlign w:val="bottom"/>
            <w:gridSpan w:val="2"/>
          </w:tcPr>
          <w:p>
            <w:pPr>
              <w:ind w:left="320"/>
              <w:spacing w:after="0" w:line="158" w:lineRule="exact"/>
              <w:rPr>
                <w:sz w:val="20"/>
                <w:szCs w:val="20"/>
                <w:color w:val="auto"/>
              </w:rPr>
            </w:pPr>
            <w:r>
              <w:rPr>
                <w:rFonts w:ascii="Arial" w:cs="Arial" w:eastAsia="Arial" w:hAnsi="Arial"/>
                <w:sz w:val="15"/>
                <w:szCs w:val="15"/>
                <w:color w:val="auto"/>
              </w:rPr>
              <w:t>Trade accounts receivable, net of allowances of $27.3 and $25.0</w:t>
            </w: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tcPr>
          <w:p>
            <w:pPr>
              <w:ind w:left="440"/>
              <w:spacing w:after="0"/>
              <w:rPr>
                <w:sz w:val="20"/>
                <w:szCs w:val="20"/>
                <w:color w:val="auto"/>
              </w:rPr>
            </w:pPr>
            <w:r>
              <w:rPr>
                <w:rFonts w:ascii="Arial" w:cs="Arial" w:eastAsia="Arial" w:hAnsi="Arial"/>
                <w:sz w:val="15"/>
                <w:szCs w:val="15"/>
                <w:color w:val="auto"/>
              </w:rPr>
              <w:t>at January 31, 2024 and October 31, 2023, respectively</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1,382.0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1,365.0</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Costs incurred in excess of amounts billed</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120.4</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139.2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92.6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78.5</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shd w:val="clear" w:color="auto" w:fill="DCE2EF"/>
          </w:tcPr>
          <w:p>
            <w:pPr>
              <w:spacing w:after="0"/>
              <w:rPr>
                <w:sz w:val="17"/>
                <w:szCs w:val="17"/>
                <w:color w:val="auto"/>
              </w:rPr>
            </w:pPr>
          </w:p>
        </w:tc>
        <w:tc>
          <w:tcPr>
            <w:tcW w:w="166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70.9</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195"/>
        </w:trPr>
        <w:tc>
          <w:tcPr>
            <w:tcW w:w="20" w:type="dxa"/>
            <w:vAlign w:val="bottom"/>
            <w:tcBorders>
              <w:bottom w:val="single" w:sz="8" w:color="DCE2EF"/>
            </w:tcBorders>
          </w:tcPr>
          <w:p>
            <w:pPr>
              <w:spacing w:after="0"/>
              <w:rPr>
                <w:sz w:val="16"/>
                <w:szCs w:val="16"/>
                <w:color w:val="auto"/>
              </w:rPr>
            </w:pPr>
          </w:p>
        </w:tc>
        <w:tc>
          <w:tcPr>
            <w:tcW w:w="7280" w:type="dxa"/>
            <w:vAlign w:val="bottom"/>
            <w:tcBorders>
              <w:bottom w:val="single" w:sz="8" w:color="DCE2EF"/>
            </w:tcBorders>
            <w:gridSpan w:val="2"/>
          </w:tcPr>
          <w:p>
            <w:pPr>
              <w:ind w:left="640"/>
              <w:spacing w:after="0"/>
              <w:rPr>
                <w:sz w:val="20"/>
                <w:szCs w:val="20"/>
                <w:color w:val="auto"/>
              </w:rPr>
            </w:pPr>
            <w:r>
              <w:rPr>
                <w:rFonts w:ascii="Arial" w:cs="Arial" w:eastAsia="Arial" w:hAnsi="Arial"/>
                <w:sz w:val="15"/>
                <w:szCs w:val="15"/>
                <w:color w:val="auto"/>
              </w:rPr>
              <w:t>Total current assets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1,723.9</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1,710.7</w:t>
            </w:r>
          </w:p>
        </w:tc>
        <w:tc>
          <w:tcPr>
            <w:tcW w:w="0" w:type="dxa"/>
            <w:vAlign w:val="bottom"/>
          </w:tcPr>
          <w:p>
            <w:pPr>
              <w:spacing w:after="0"/>
              <w:rPr>
                <w:sz w:val="1"/>
                <w:szCs w:val="1"/>
                <w:color w:val="auto"/>
              </w:rPr>
            </w:pPr>
          </w:p>
        </w:tc>
      </w:tr>
      <w:tr>
        <w:trPr>
          <w:trHeight w:val="197"/>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28.3</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58"/>
        </w:trPr>
        <w:tc>
          <w:tcPr>
            <w:tcW w:w="730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Property, plant and equipment, net of accumulated depreciation of $337.5 and $326.5</w:t>
            </w: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January 31, 2024 and October 31, 2023, respectively</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142.1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131.5</w:t>
            </w:r>
          </w:p>
        </w:tc>
        <w:tc>
          <w:tcPr>
            <w:tcW w:w="0" w:type="dxa"/>
            <w:vAlign w:val="bottom"/>
          </w:tcPr>
          <w:p>
            <w:pPr>
              <w:spacing w:after="0"/>
              <w:rPr>
                <w:sz w:val="1"/>
                <w:szCs w:val="1"/>
                <w:color w:val="auto"/>
              </w:rPr>
            </w:pPr>
          </w:p>
        </w:tc>
      </w:tr>
      <w:tr>
        <w:trPr>
          <w:trHeight w:val="20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Right-of-use assets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109.0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113.4</w:t>
            </w:r>
          </w:p>
        </w:tc>
        <w:tc>
          <w:tcPr>
            <w:tcW w:w="0" w:type="dxa"/>
            <w:vAlign w:val="bottom"/>
          </w:tcPr>
          <w:p>
            <w:pPr>
              <w:spacing w:after="0"/>
              <w:rPr>
                <w:sz w:val="1"/>
                <w:szCs w:val="1"/>
                <w:color w:val="auto"/>
              </w:rPr>
            </w:pPr>
          </w:p>
        </w:tc>
      </w:tr>
      <w:tr>
        <w:trPr>
          <w:trHeight w:val="158"/>
        </w:trPr>
        <w:tc>
          <w:tcPr>
            <w:tcW w:w="730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Other intangible assets, net of accumulated amortization of $453.4 and $438.3</w:t>
            </w: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tcPr>
          <w:p>
            <w:pPr>
              <w:ind w:left="160"/>
              <w:spacing w:after="0"/>
              <w:rPr>
                <w:sz w:val="20"/>
                <w:szCs w:val="20"/>
                <w:color w:val="auto"/>
              </w:rPr>
            </w:pPr>
            <w:r>
              <w:rPr>
                <w:rFonts w:ascii="Arial" w:cs="Arial" w:eastAsia="Arial" w:hAnsi="Arial"/>
                <w:sz w:val="15"/>
                <w:szCs w:val="15"/>
                <w:color w:val="auto"/>
              </w:rPr>
              <w:t>at January 31, 2024 and October 31, 2023, respectively</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288.5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5"/>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2,494.3</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2,491.3</w:t>
            </w:r>
          </w:p>
        </w:tc>
        <w:tc>
          <w:tcPr>
            <w:tcW w:w="0" w:type="dxa"/>
            <w:vAlign w:val="bottom"/>
          </w:tcPr>
          <w:p>
            <w:pPr>
              <w:spacing w:after="0"/>
              <w:rPr>
                <w:sz w:val="1"/>
                <w:szCs w:val="1"/>
                <w:color w:val="auto"/>
              </w:rPr>
            </w:pPr>
          </w:p>
        </w:tc>
      </w:tr>
      <w:tr>
        <w:trPr>
          <w:trHeight w:val="201"/>
        </w:trPr>
        <w:tc>
          <w:tcPr>
            <w:tcW w:w="730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169.3</w:t>
            </w:r>
          </w:p>
        </w:tc>
        <w:tc>
          <w:tcPr>
            <w:tcW w:w="100" w:type="dxa"/>
            <w:vAlign w:val="bottom"/>
            <w:tcBorders>
              <w:bottom w:val="single" w:sz="8" w:color="DCE2E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155.0</w:t>
            </w:r>
          </w:p>
        </w:tc>
        <w:tc>
          <w:tcPr>
            <w:tcW w:w="0" w:type="dxa"/>
            <w:vAlign w:val="bottom"/>
          </w:tcPr>
          <w:p>
            <w:pPr>
              <w:spacing w:after="0"/>
              <w:rPr>
                <w:sz w:val="1"/>
                <w:szCs w:val="1"/>
                <w:color w:val="auto"/>
              </w:rPr>
            </w:pPr>
          </w:p>
        </w:tc>
      </w:tr>
      <w:tr>
        <w:trPr>
          <w:trHeight w:val="222"/>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DCE2E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4,955.4</w:t>
            </w:r>
          </w:p>
        </w:tc>
        <w:tc>
          <w:tcPr>
            <w:tcW w:w="10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4,933.7</w:t>
            </w:r>
          </w:p>
        </w:tc>
        <w:tc>
          <w:tcPr>
            <w:tcW w:w="0" w:type="dxa"/>
            <w:vAlign w:val="bottom"/>
          </w:tcPr>
          <w:p>
            <w:pPr>
              <w:spacing w:after="0"/>
              <w:rPr>
                <w:sz w:val="1"/>
                <w:szCs w:val="1"/>
                <w:color w:val="auto"/>
              </w:rPr>
            </w:pPr>
          </w:p>
        </w:tc>
      </w:tr>
      <w:tr>
        <w:trPr>
          <w:trHeight w:val="20"/>
        </w:trPr>
        <w:tc>
          <w:tcPr>
            <w:tcW w:w="7300" w:type="dxa"/>
            <w:vAlign w:val="bottom"/>
            <w:tcBorders>
              <w:top w:val="single" w:sz="8" w:color="DCE2EF"/>
              <w:bottom w:val="single" w:sz="8" w:color="DCE2EF"/>
            </w:tcBorders>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4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3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Current portion of debt, net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31.6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Trade accounts payable</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243.5</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299.1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Accrued compensation</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Accrued taxes — other than income</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62.0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104.6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90.1</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Insurance claims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190.5</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177.0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201"/>
        </w:trPr>
        <w:tc>
          <w:tcPr>
            <w:tcW w:w="20" w:type="dxa"/>
            <w:vAlign w:val="bottom"/>
            <w:tcBorders>
              <w:bottom w:val="single" w:sz="8" w:color="DCE2EF"/>
            </w:tcBorders>
          </w:tcPr>
          <w:p>
            <w:pPr>
              <w:spacing w:after="0"/>
              <w:rPr>
                <w:sz w:val="17"/>
                <w:szCs w:val="17"/>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Other accrued liabilities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281.3</w:t>
            </w:r>
          </w:p>
        </w:tc>
        <w:tc>
          <w:tcPr>
            <w:tcW w:w="100" w:type="dxa"/>
            <w:vAlign w:val="bottom"/>
            <w:tcBorders>
              <w:bottom w:val="single" w:sz="8" w:color="DCE2E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261.2</w:t>
            </w:r>
          </w:p>
        </w:tc>
        <w:tc>
          <w:tcPr>
            <w:tcW w:w="0" w:type="dxa"/>
            <w:vAlign w:val="bottom"/>
          </w:tcPr>
          <w:p>
            <w:pPr>
              <w:spacing w:after="0"/>
              <w:rPr>
                <w:sz w:val="1"/>
                <w:szCs w:val="1"/>
                <w:color w:val="auto"/>
              </w:rPr>
            </w:pPr>
          </w:p>
        </w:tc>
      </w:tr>
      <w:tr>
        <w:trPr>
          <w:trHeight w:val="197"/>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640"/>
              <w:spacing w:after="0"/>
              <w:rPr>
                <w:sz w:val="20"/>
                <w:szCs w:val="20"/>
                <w:color w:val="auto"/>
              </w:rPr>
            </w:pPr>
            <w:r>
              <w:rPr>
                <w:rFonts w:ascii="Arial" w:cs="Arial" w:eastAsia="Arial" w:hAnsi="Arial"/>
                <w:sz w:val="15"/>
                <w:szCs w:val="15"/>
                <w:color w:val="auto"/>
              </w:rPr>
              <w:t>Total current liabilities</w:t>
            </w:r>
          </w:p>
        </w:tc>
        <w:tc>
          <w:tcPr>
            <w:tcW w:w="200" w:type="dxa"/>
            <w:vAlign w:val="bottom"/>
            <w:tcBorders>
              <w:bottom w:val="single" w:sz="8" w:color="auto"/>
            </w:tcBorders>
            <w:shd w:val="clear" w:color="auto" w:fill="DCE2EF"/>
          </w:tcPr>
          <w:p>
            <w:pPr>
              <w:spacing w:after="0"/>
              <w:rPr>
                <w:sz w:val="17"/>
                <w:szCs w:val="17"/>
                <w:color w:val="auto"/>
              </w:rPr>
            </w:pPr>
          </w:p>
        </w:tc>
        <w:tc>
          <w:tcPr>
            <w:tcW w:w="166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1,165.3</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1,217.9</w:t>
            </w:r>
          </w:p>
        </w:tc>
        <w:tc>
          <w:tcPr>
            <w:tcW w:w="0" w:type="dxa"/>
            <w:vAlign w:val="bottom"/>
          </w:tcPr>
          <w:p>
            <w:pPr>
              <w:spacing w:after="0"/>
              <w:rPr>
                <w:sz w:val="1"/>
                <w:szCs w:val="1"/>
                <w:color w:val="auto"/>
              </w:rPr>
            </w:pPr>
          </w:p>
        </w:tc>
      </w:tr>
      <w:tr>
        <w:trPr>
          <w:trHeight w:val="195"/>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200" w:type="dxa"/>
            <w:vAlign w:val="bottom"/>
          </w:tcPr>
          <w:p>
            <w:pPr>
              <w:spacing w:after="0"/>
              <w:rPr>
                <w:sz w:val="16"/>
                <w:szCs w:val="16"/>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1,296.9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1,279.8</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lease liabilities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95.9</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98.8</w:t>
            </w: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84.5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417.4</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387.5</w:t>
            </w:r>
          </w:p>
        </w:tc>
        <w:tc>
          <w:tcPr>
            <w:tcW w:w="0" w:type="dxa"/>
            <w:vAlign w:val="bottom"/>
          </w:tcPr>
          <w:p>
            <w:pPr>
              <w:spacing w:after="0"/>
              <w:rPr>
                <w:sz w:val="1"/>
                <w:szCs w:val="1"/>
                <w:color w:val="auto"/>
              </w:rPr>
            </w:pPr>
          </w:p>
        </w:tc>
      </w:tr>
      <w:tr>
        <w:trPr>
          <w:trHeight w:val="201"/>
        </w:trPr>
        <w:tc>
          <w:tcPr>
            <w:tcW w:w="730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69.0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20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00" w:type="dxa"/>
            <w:vAlign w:val="bottom"/>
            <w:tcBorders>
              <w:bottom w:val="single" w:sz="8" w:color="auto"/>
            </w:tcBorders>
            <w:shd w:val="clear" w:color="auto" w:fill="DCE2EF"/>
          </w:tcPr>
          <w:p>
            <w:pPr>
              <w:spacing w:after="0"/>
              <w:rPr>
                <w:sz w:val="17"/>
                <w:szCs w:val="17"/>
                <w:color w:val="auto"/>
              </w:rPr>
            </w:pPr>
          </w:p>
        </w:tc>
        <w:tc>
          <w:tcPr>
            <w:tcW w:w="166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3.8</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5"/>
        </w:trPr>
        <w:tc>
          <w:tcPr>
            <w:tcW w:w="20" w:type="dxa"/>
            <w:vAlign w:val="bottom"/>
            <w:tcBorders>
              <w:bottom w:val="single" w:sz="8" w:color="DCE2EF"/>
            </w:tcBorders>
          </w:tcPr>
          <w:p>
            <w:pPr>
              <w:spacing w:after="0"/>
              <w:rPr>
                <w:sz w:val="16"/>
                <w:szCs w:val="16"/>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3,132.7</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3,133.8</w:t>
            </w:r>
          </w:p>
        </w:tc>
        <w:tc>
          <w:tcPr>
            <w:tcW w:w="0" w:type="dxa"/>
            <w:vAlign w:val="bottom"/>
          </w:tcPr>
          <w:p>
            <w:pPr>
              <w:spacing w:after="0"/>
              <w:rPr>
                <w:sz w:val="1"/>
                <w:szCs w:val="1"/>
                <w:color w:val="auto"/>
              </w:rPr>
            </w:pPr>
          </w:p>
        </w:tc>
      </w:tr>
      <w:tr>
        <w:trPr>
          <w:trHeight w:val="184"/>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00" w:type="dxa"/>
            <w:vAlign w:val="bottom"/>
            <w:shd w:val="clear" w:color="auto" w:fill="DCE2EF"/>
          </w:tcPr>
          <w:p>
            <w:pPr>
              <w:spacing w:after="0"/>
              <w:rPr>
                <w:sz w:val="15"/>
                <w:szCs w:val="15"/>
                <w:color w:val="auto"/>
              </w:rPr>
            </w:pPr>
          </w:p>
        </w:tc>
        <w:tc>
          <w:tcPr>
            <w:tcW w:w="166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4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00" w:type="dxa"/>
            <w:vAlign w:val="bottom"/>
            <w:shd w:val="clear" w:color="auto" w:fill="DCE2EF"/>
          </w:tcPr>
          <w:p>
            <w:pPr>
              <w:spacing w:after="0"/>
              <w:rPr>
                <w:sz w:val="17"/>
                <w:szCs w:val="17"/>
                <w:color w:val="auto"/>
              </w:rPr>
            </w:pPr>
          </w:p>
        </w:tc>
        <w:tc>
          <w:tcPr>
            <w:tcW w:w="176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730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Common stock, $0.01 par value; 100,000,000 shares authorized;</w:t>
            </w: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80" w:type="dxa"/>
            <w:vAlign w:val="bottom"/>
            <w:gridSpan w:val="2"/>
          </w:tcPr>
          <w:p>
            <w:pPr>
              <w:ind w:left="540"/>
              <w:spacing w:after="0" w:line="153" w:lineRule="exact"/>
              <w:rPr>
                <w:sz w:val="20"/>
                <w:szCs w:val="20"/>
                <w:color w:val="auto"/>
              </w:rPr>
            </w:pPr>
            <w:r>
              <w:rPr>
                <w:rFonts w:ascii="Arial" w:cs="Arial" w:eastAsia="Arial" w:hAnsi="Arial"/>
                <w:sz w:val="15"/>
                <w:szCs w:val="15"/>
                <w:color w:val="auto"/>
              </w:rPr>
              <w:t>63,282,989 and 62,847,387 shares issued and outstanding at</w:t>
            </w:r>
          </w:p>
        </w:tc>
        <w:tc>
          <w:tcPr>
            <w:tcW w:w="200" w:type="dxa"/>
            <w:vAlign w:val="bottom"/>
          </w:tcPr>
          <w:p>
            <w:pPr>
              <w:spacing w:after="0"/>
              <w:rPr>
                <w:sz w:val="13"/>
                <w:szCs w:val="13"/>
                <w:color w:val="auto"/>
              </w:rPr>
            </w:pPr>
          </w:p>
        </w:tc>
        <w:tc>
          <w:tcPr>
            <w:tcW w:w="1660" w:type="dxa"/>
            <w:vAlign w:val="bottom"/>
            <w:vMerge w:val="restart"/>
          </w:tcPr>
          <w:p>
            <w:pPr>
              <w:jc w:val="right"/>
              <w:ind w:right="4"/>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vMerge w:val="restart"/>
          </w:tcPr>
          <w:p>
            <w:pPr>
              <w:jc w:val="right"/>
              <w:ind w:right="4"/>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540"/>
              <w:spacing w:after="0"/>
              <w:rPr>
                <w:sz w:val="20"/>
                <w:szCs w:val="20"/>
                <w:color w:val="auto"/>
              </w:rPr>
            </w:pPr>
            <w:r>
              <w:rPr>
                <w:rFonts w:ascii="Arial" w:cs="Arial" w:eastAsia="Arial" w:hAnsi="Arial"/>
                <w:sz w:val="15"/>
                <w:szCs w:val="15"/>
                <w:color w:val="auto"/>
              </w:rPr>
              <w:t>January 31, 2024 and October 31, 2023, respectively</w:t>
            </w:r>
          </w:p>
        </w:tc>
        <w:tc>
          <w:tcPr>
            <w:tcW w:w="2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DCE2EF"/>
          </w:tcPr>
          <w:p>
            <w:pPr>
              <w:spacing w:after="0"/>
              <w:rPr>
                <w:sz w:val="17"/>
                <w:szCs w:val="17"/>
                <w:color w:val="auto"/>
              </w:rPr>
            </w:pPr>
          </w:p>
        </w:tc>
        <w:tc>
          <w:tcPr>
            <w:tcW w:w="166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558.5</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480" w:type="dxa"/>
            <w:vAlign w:val="bottom"/>
            <w:shd w:val="clear" w:color="auto" w:fill="DCE2EF"/>
          </w:tcPr>
          <w:p>
            <w:pPr>
              <w:jc w:val="right"/>
              <w:ind w:right="4"/>
              <w:spacing w:after="0"/>
              <w:rPr>
                <w:sz w:val="20"/>
                <w:szCs w:val="20"/>
                <w:color w:val="auto"/>
              </w:rPr>
            </w:pPr>
            <w:r>
              <w:rPr>
                <w:rFonts w:ascii="Arial" w:cs="Arial" w:eastAsia="Arial" w:hAnsi="Arial"/>
                <w:sz w:val="15"/>
                <w:szCs w:val="15"/>
                <w:color w:val="auto"/>
              </w:rPr>
              <w:t>558.9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gridSpan w:val="2"/>
          </w:tcPr>
          <w:p>
            <w:pPr>
              <w:ind w:left="320"/>
              <w:spacing w:after="0"/>
              <w:rPr>
                <w:sz w:val="20"/>
                <w:szCs w:val="20"/>
                <w:color w:val="auto"/>
              </w:rPr>
            </w:pPr>
            <w:r>
              <w:rPr>
                <w:rFonts w:ascii="Arial" w:cs="Arial" w:eastAsia="Arial" w:hAnsi="Arial"/>
                <w:sz w:val="15"/>
                <w:szCs w:val="15"/>
                <w:color w:val="auto"/>
              </w:rPr>
              <w:t>Accumulated other comprehensive loss, net of taxes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7280" w:type="dxa"/>
            <w:vAlign w:val="bottom"/>
            <w:gridSpan w:val="2"/>
            <w:shd w:val="clear" w:color="auto" w:fill="DCE2EF"/>
          </w:tcPr>
          <w:p>
            <w:pPr>
              <w:ind w:left="320"/>
              <w:spacing w:after="0"/>
              <w:rPr>
                <w:sz w:val="20"/>
                <w:szCs w:val="20"/>
                <w:color w:val="auto"/>
              </w:rPr>
            </w:pPr>
            <w:r>
              <w:rPr>
                <w:rFonts w:ascii="Arial" w:cs="Arial" w:eastAsia="Arial" w:hAnsi="Arial"/>
                <w:sz w:val="15"/>
                <w:szCs w:val="15"/>
                <w:color w:val="auto"/>
              </w:rPr>
              <w:t>Retained earnings</w:t>
            </w:r>
          </w:p>
        </w:tc>
        <w:tc>
          <w:tcPr>
            <w:tcW w:w="200" w:type="dxa"/>
            <w:vAlign w:val="bottom"/>
            <w:tcBorders>
              <w:bottom w:val="single" w:sz="8" w:color="auto"/>
            </w:tcBorders>
            <w:shd w:val="clear" w:color="auto" w:fill="DCE2EF"/>
          </w:tcPr>
          <w:p>
            <w:pPr>
              <w:spacing w:after="0"/>
              <w:rPr>
                <w:sz w:val="17"/>
                <w:szCs w:val="17"/>
                <w:color w:val="auto"/>
              </w:rPr>
            </w:pPr>
          </w:p>
        </w:tc>
        <w:tc>
          <w:tcPr>
            <w:tcW w:w="166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1,279.3</w:t>
            </w:r>
          </w:p>
        </w:tc>
        <w:tc>
          <w:tcPr>
            <w:tcW w:w="100" w:type="dxa"/>
            <w:vAlign w:val="bottom"/>
            <w:shd w:val="clear" w:color="auto" w:fill="DCE2EF"/>
          </w:tcPr>
          <w:p>
            <w:pPr>
              <w:spacing w:after="0"/>
              <w:rPr>
                <w:sz w:val="17"/>
                <w:szCs w:val="17"/>
                <w:color w:val="auto"/>
              </w:rPr>
            </w:pPr>
          </w:p>
        </w:tc>
        <w:tc>
          <w:tcPr>
            <w:tcW w:w="160" w:type="dxa"/>
            <w:vAlign w:val="bottom"/>
            <w:tcBorders>
              <w:bottom w:val="single" w:sz="8" w:color="auto"/>
            </w:tcBorders>
            <w:shd w:val="clear" w:color="auto" w:fill="DCE2EF"/>
          </w:tcPr>
          <w:p>
            <w:pPr>
              <w:spacing w:after="0"/>
              <w:rPr>
                <w:sz w:val="17"/>
                <w:szCs w:val="17"/>
                <w:color w:val="auto"/>
              </w:rPr>
            </w:pP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1,249.6</w:t>
            </w:r>
          </w:p>
        </w:tc>
        <w:tc>
          <w:tcPr>
            <w:tcW w:w="0" w:type="dxa"/>
            <w:vAlign w:val="bottom"/>
          </w:tcPr>
          <w:p>
            <w:pPr>
              <w:spacing w:after="0"/>
              <w:rPr>
                <w:sz w:val="1"/>
                <w:szCs w:val="1"/>
                <w:color w:val="auto"/>
              </w:rPr>
            </w:pPr>
          </w:p>
        </w:tc>
      </w:tr>
      <w:tr>
        <w:trPr>
          <w:trHeight w:val="195"/>
        </w:trPr>
        <w:tc>
          <w:tcPr>
            <w:tcW w:w="20" w:type="dxa"/>
            <w:vAlign w:val="bottom"/>
            <w:tcBorders>
              <w:bottom w:val="single" w:sz="8" w:color="DCE2EF"/>
            </w:tcBorders>
          </w:tcPr>
          <w:p>
            <w:pPr>
              <w:spacing w:after="0"/>
              <w:rPr>
                <w:sz w:val="16"/>
                <w:szCs w:val="16"/>
                <w:color w:val="auto"/>
              </w:rPr>
            </w:pPr>
          </w:p>
        </w:tc>
        <w:tc>
          <w:tcPr>
            <w:tcW w:w="7280" w:type="dxa"/>
            <w:vAlign w:val="bottom"/>
            <w:tcBorders>
              <w:bottom w:val="single" w:sz="8" w:color="DCE2EF"/>
            </w:tcBorders>
            <w:gridSpan w:val="2"/>
          </w:tcPr>
          <w:p>
            <w:pPr>
              <w:ind w:left="32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1,822.7</w:t>
            </w:r>
          </w:p>
        </w:tc>
        <w:tc>
          <w:tcPr>
            <w:tcW w:w="100" w:type="dxa"/>
            <w:vAlign w:val="bottom"/>
            <w:tcBorders>
              <w:bottom w:val="single" w:sz="8" w:color="DCE2E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1,799.9</w:t>
            </w:r>
          </w:p>
        </w:tc>
        <w:tc>
          <w:tcPr>
            <w:tcW w:w="0" w:type="dxa"/>
            <w:vAlign w:val="bottom"/>
          </w:tcPr>
          <w:p>
            <w:pPr>
              <w:spacing w:after="0"/>
              <w:rPr>
                <w:sz w:val="1"/>
                <w:szCs w:val="1"/>
                <w:color w:val="auto"/>
              </w:rPr>
            </w:pPr>
          </w:p>
        </w:tc>
      </w:tr>
      <w:tr>
        <w:trPr>
          <w:trHeight w:val="222"/>
        </w:trPr>
        <w:tc>
          <w:tcPr>
            <w:tcW w:w="730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DCE2E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4,955.4</w:t>
            </w:r>
          </w:p>
        </w:tc>
        <w:tc>
          <w:tcPr>
            <w:tcW w:w="100" w:type="dxa"/>
            <w:vAlign w:val="bottom"/>
            <w:tcBorders>
              <w:bottom w:val="single" w:sz="8" w:color="DCE2EF"/>
            </w:tcBorders>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CE2EF"/>
          </w:tcPr>
          <w:p>
            <w:pPr>
              <w:jc w:val="right"/>
              <w:ind w:right="4"/>
              <w:spacing w:after="0"/>
              <w:rPr>
                <w:sz w:val="20"/>
                <w:szCs w:val="20"/>
                <w:color w:val="auto"/>
              </w:rPr>
            </w:pPr>
            <w:r>
              <w:rPr>
                <w:rFonts w:ascii="Arial" w:cs="Arial" w:eastAsia="Arial" w:hAnsi="Arial"/>
                <w:sz w:val="15"/>
                <w:szCs w:val="15"/>
                <w:color w:val="auto"/>
              </w:rPr>
              <w:t>4,933.7</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840" w:type="dxa"/>
            <w:vAlign w:val="bottom"/>
            <w:tcBorders>
              <w:top w:val="single" w:sz="8" w:color="DCE2EF"/>
            </w:tcBorders>
          </w:tcPr>
          <w:p>
            <w:pPr>
              <w:spacing w:after="0" w:line="20" w:lineRule="exact"/>
              <w:rPr>
                <w:sz w:val="1"/>
                <w:szCs w:val="1"/>
                <w:color w:val="auto"/>
              </w:rPr>
            </w:pPr>
          </w:p>
        </w:tc>
        <w:tc>
          <w:tcPr>
            <w:tcW w:w="444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bottom w:val="single" w:sz="8" w:color="auto"/>
            </w:tcBorders>
          </w:tcPr>
          <w:p>
            <w:pPr>
              <w:spacing w:after="0" w:line="20" w:lineRule="exact"/>
              <w:rPr>
                <w:sz w:val="1"/>
                <w:szCs w:val="1"/>
                <w:color w:val="auto"/>
              </w:rPr>
            </w:pPr>
          </w:p>
        </w:tc>
        <w:tc>
          <w:tcPr>
            <w:tcW w:w="14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080"/>
          </w:cols>
          <w:pgMar w:left="320" w:top="12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5" w:right="4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166"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Three Months Ended January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621"/>
              <w:spacing w:after="0" w:line="155"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641"/>
              <w:spacing w:after="0" w:line="155"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2260" w:type="dxa"/>
            <w:vAlign w:val="bottom"/>
            <w:tcBorders>
              <w:top w:val="single" w:sz="8" w:color="auto"/>
              <w:bottom w:val="single" w:sz="8" w:color="DCE2EF"/>
            </w:tcBorders>
          </w:tcPr>
          <w:p>
            <w:pPr>
              <w:spacing w:after="0"/>
              <w:rPr>
                <w:sz w:val="2"/>
                <w:szCs w:val="2"/>
                <w:color w:val="auto"/>
              </w:rPr>
            </w:pPr>
          </w:p>
        </w:tc>
        <w:tc>
          <w:tcPr>
            <w:tcW w:w="484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400" w:type="dxa"/>
            <w:vAlign w:val="bottom"/>
            <w:shd w:val="clear" w:color="auto" w:fill="DCE2EF"/>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2,069.6</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1,991.3</w:t>
            </w:r>
          </w:p>
        </w:tc>
        <w:tc>
          <w:tcPr>
            <w:tcW w:w="0" w:type="dxa"/>
            <w:vAlign w:val="bottom"/>
          </w:tcPr>
          <w:p>
            <w:pPr>
              <w:spacing w:after="0"/>
              <w:rPr>
                <w:sz w:val="1"/>
                <w:szCs w:val="1"/>
                <w:color w:val="auto"/>
              </w:rPr>
            </w:pPr>
          </w:p>
        </w:tc>
      </w:tr>
      <w:tr>
        <w:trPr>
          <w:trHeight w:val="214"/>
        </w:trPr>
        <w:tc>
          <w:tcPr>
            <w:tcW w:w="71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1,826.3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1,749.8</w:t>
            </w: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14"/>
        </w:trPr>
        <w:tc>
          <w:tcPr>
            <w:tcW w:w="71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DCE2E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40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4"/>
        </w:trPr>
        <w:tc>
          <w:tcPr>
            <w:tcW w:w="710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DCE2EF"/>
          </w:tcPr>
          <w:p>
            <w:pPr>
              <w:spacing w:after="0"/>
              <w:rPr>
                <w:sz w:val="18"/>
                <w:szCs w:val="18"/>
                <w:color w:val="auto"/>
              </w:rPr>
            </w:pPr>
          </w:p>
        </w:tc>
        <w:tc>
          <w:tcPr>
            <w:tcW w:w="42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8"/>
        </w:trPr>
        <w:tc>
          <w:tcPr>
            <w:tcW w:w="710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40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DCE2EF"/>
          </w:tcPr>
          <w:p>
            <w:pPr>
              <w:spacing w:after="0"/>
              <w:rPr>
                <w:sz w:val="18"/>
                <w:szCs w:val="18"/>
                <w:color w:val="auto"/>
              </w:rPr>
            </w:pPr>
          </w:p>
        </w:tc>
        <w:tc>
          <w:tcPr>
            <w:tcW w:w="420" w:type="dxa"/>
            <w:vAlign w:val="bottom"/>
            <w:tcBorders>
              <w:bottom w:val="single" w:sz="8" w:color="auto"/>
            </w:tcBorders>
            <w:shd w:val="clear" w:color="auto" w:fill="DCE2EF"/>
          </w:tcPr>
          <w:p>
            <w:pPr>
              <w:spacing w:after="0"/>
              <w:rPr>
                <w:sz w:val="18"/>
                <w:szCs w:val="18"/>
                <w:color w:val="auto"/>
              </w:rPr>
            </w:pPr>
          </w:p>
        </w:tc>
        <w:tc>
          <w:tcPr>
            <w:tcW w:w="13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8"/>
        </w:trPr>
        <w:tc>
          <w:tcPr>
            <w:tcW w:w="71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DCE2E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Other comprehensive income</w:t>
            </w:r>
          </w:p>
        </w:tc>
        <w:tc>
          <w:tcPr>
            <w:tcW w:w="40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0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Foreign currency translation and other</w:t>
            </w:r>
          </w:p>
        </w:tc>
        <w:tc>
          <w:tcPr>
            <w:tcW w:w="40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4"/>
        </w:trPr>
        <w:tc>
          <w:tcPr>
            <w:tcW w:w="710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DCE2E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shd w:val="clear" w:color="auto" w:fill="DCE2EF"/>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71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Net income per common share</w:t>
            </w: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20" w:type="dxa"/>
            <w:vAlign w:val="bottom"/>
            <w:tcBorders>
              <w:top w:val="single" w:sz="8" w:color="DCE2EF"/>
              <w:bottom w:val="single" w:sz="8" w:color="auto"/>
            </w:tcBorders>
          </w:tcPr>
          <w:p>
            <w:pPr>
              <w:spacing w:after="0" w:line="20" w:lineRule="exact"/>
              <w:rPr>
                <w:sz w:val="1"/>
                <w:szCs w:val="1"/>
                <w:color w:val="auto"/>
              </w:rPr>
            </w:pPr>
          </w:p>
        </w:tc>
        <w:tc>
          <w:tcPr>
            <w:tcW w:w="13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DCE2EF"/>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14"/>
        </w:trPr>
        <w:tc>
          <w:tcPr>
            <w:tcW w:w="7100" w:type="dxa"/>
            <w:vAlign w:val="bottom"/>
            <w:gridSpan w:val="2"/>
          </w:tcPr>
          <w:p>
            <w:pPr>
              <w:ind w:left="34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8"/>
                <w:szCs w:val="18"/>
                <w:color w:val="auto"/>
              </w:rPr>
            </w:pPr>
          </w:p>
        </w:tc>
        <w:tc>
          <w:tcPr>
            <w:tcW w:w="4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167"/>
        </w:trPr>
        <w:tc>
          <w:tcPr>
            <w:tcW w:w="7100" w:type="dxa"/>
            <w:vAlign w:val="bottom"/>
            <w:gridSpan w:val="2"/>
            <w:shd w:val="clear" w:color="auto" w:fill="DCE2EF"/>
          </w:tcPr>
          <w:p>
            <w:pPr>
              <w:spacing w:after="0" w:line="167" w:lineRule="exact"/>
              <w:rPr>
                <w:sz w:val="20"/>
                <w:szCs w:val="20"/>
                <w:color w:val="auto"/>
              </w:rPr>
            </w:pPr>
            <w:r>
              <w:rPr>
                <w:rFonts w:ascii="Arial" w:cs="Arial" w:eastAsia="Arial" w:hAnsi="Arial"/>
                <w:sz w:val="16"/>
                <w:szCs w:val="16"/>
                <w:b w:val="1"/>
                <w:bCs w:val="1"/>
                <w:color w:val="auto"/>
              </w:rPr>
              <w:t>Weighted-average common and common equivalent</w:t>
            </w:r>
          </w:p>
        </w:tc>
        <w:tc>
          <w:tcPr>
            <w:tcW w:w="400" w:type="dxa"/>
            <w:vAlign w:val="bottom"/>
            <w:shd w:val="clear" w:color="auto" w:fill="DCE2EF"/>
          </w:tcPr>
          <w:p>
            <w:pPr>
              <w:spacing w:after="0"/>
              <w:rPr>
                <w:sz w:val="14"/>
                <w:szCs w:val="14"/>
                <w:color w:val="auto"/>
              </w:rPr>
            </w:pPr>
          </w:p>
        </w:tc>
        <w:tc>
          <w:tcPr>
            <w:tcW w:w="13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420" w:type="dxa"/>
            <w:vAlign w:val="bottom"/>
            <w:shd w:val="clear" w:color="auto" w:fill="DCE2EF"/>
          </w:tcPr>
          <w:p>
            <w:pPr>
              <w:spacing w:after="0"/>
              <w:rPr>
                <w:sz w:val="14"/>
                <w:szCs w:val="14"/>
                <w:color w:val="auto"/>
              </w:rPr>
            </w:pPr>
          </w:p>
        </w:tc>
        <w:tc>
          <w:tcPr>
            <w:tcW w:w="136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100" w:type="dxa"/>
            <w:vAlign w:val="bottom"/>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40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3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0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8"/>
        </w:trPr>
        <w:tc>
          <w:tcPr>
            <w:tcW w:w="71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136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1255" w:right="579" w:bottom="1440" w:gutter="0" w:footer="0" w:header="0"/>
        </w:sectPr>
      </w:pPr>
    </w:p>
    <w:bookmarkStart w:id="7" w:name="page8"/>
    <w:bookmarkEnd w:id="7"/>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0046AD"/>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360" w:type="dxa"/>
            <w:vAlign w:val="bottom"/>
          </w:tcPr>
          <w:p>
            <w:pPr>
              <w:jc w:val="right"/>
              <w:ind w:right="368"/>
              <w:spacing w:after="0" w:line="157"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28"/>
              <w:spacing w:after="0" w:line="157"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160" w:type="dxa"/>
            <w:vAlign w:val="bottom"/>
          </w:tcPr>
          <w:p>
            <w:pPr>
              <w:ind w:left="540"/>
              <w:spacing w:after="0" w:line="157"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ind w:right="428"/>
              <w:spacing w:after="0" w:line="15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1980" w:type="dxa"/>
            <w:vAlign w:val="bottom"/>
            <w:tcBorders>
              <w:top w:val="single" w:sz="8" w:color="auto"/>
              <w:bottom w:val="single" w:sz="8" w:color="DCE2EF"/>
            </w:tcBorders>
          </w:tcPr>
          <w:p>
            <w:pPr>
              <w:spacing w:after="0" w:line="20" w:lineRule="exact"/>
              <w:rPr>
                <w:sz w:val="1"/>
                <w:szCs w:val="1"/>
                <w:color w:val="auto"/>
              </w:rPr>
            </w:pPr>
          </w:p>
        </w:tc>
        <w:tc>
          <w:tcPr>
            <w:tcW w:w="2220" w:type="dxa"/>
            <w:vAlign w:val="bottom"/>
            <w:tcBorders>
              <w:bottom w:val="single" w:sz="8" w:color="DCE2E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2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3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280" w:type="dxa"/>
            <w:vAlign w:val="bottom"/>
            <w:shd w:val="clear" w:color="auto" w:fill="DCE2EF"/>
          </w:tcPr>
          <w:p>
            <w:pPr>
              <w:spacing w:after="0"/>
              <w:rPr>
                <w:sz w:val="15"/>
                <w:szCs w:val="15"/>
                <w:color w:val="auto"/>
              </w:rPr>
            </w:pPr>
          </w:p>
        </w:tc>
        <w:tc>
          <w:tcPr>
            <w:tcW w:w="124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auto"/>
              </w:rPr>
              <w:t>Balance, beginning of period</w:t>
            </w:r>
          </w:p>
        </w:tc>
        <w:tc>
          <w:tcPr>
            <w:tcW w:w="1360" w:type="dxa"/>
            <w:vAlign w:val="bottom"/>
          </w:tcPr>
          <w:p>
            <w:pPr>
              <w:jc w:val="right"/>
              <w:spacing w:after="0"/>
              <w:rPr>
                <w:sz w:val="20"/>
                <w:szCs w:val="20"/>
                <w:color w:val="auto"/>
              </w:rPr>
            </w:pPr>
            <w:r>
              <w:rPr>
                <w:rFonts w:ascii="Arial" w:cs="Arial" w:eastAsia="Arial" w:hAnsi="Arial"/>
                <w:sz w:val="14"/>
                <w:szCs w:val="14"/>
                <w:color w:val="auto"/>
              </w:rPr>
              <w:t>62.8</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7"/>
        </w:trPr>
        <w:tc>
          <w:tcPr>
            <w:tcW w:w="20" w:type="dxa"/>
            <w:vAlign w:val="bottom"/>
            <w:shd w:val="clear" w:color="auto" w:fill="DCE2EF"/>
          </w:tcPr>
          <w:p>
            <w:pPr>
              <w:spacing w:after="0"/>
              <w:rPr>
                <w:sz w:val="13"/>
                <w:szCs w:val="13"/>
                <w:color w:val="auto"/>
              </w:rPr>
            </w:pPr>
          </w:p>
        </w:tc>
        <w:tc>
          <w:tcPr>
            <w:tcW w:w="4200" w:type="dxa"/>
            <w:vAlign w:val="bottom"/>
            <w:gridSpan w:val="2"/>
            <w:shd w:val="clear" w:color="auto" w:fill="DCE2EF"/>
          </w:tcPr>
          <w:p>
            <w:pPr>
              <w:ind w:left="120"/>
              <w:spacing w:after="0" w:line="157" w:lineRule="exact"/>
              <w:rPr>
                <w:sz w:val="20"/>
                <w:szCs w:val="20"/>
                <w:color w:val="auto"/>
              </w:rPr>
            </w:pPr>
            <w:r>
              <w:rPr>
                <w:rFonts w:ascii="Arial" w:cs="Arial" w:eastAsia="Arial" w:hAnsi="Arial"/>
                <w:sz w:val="14"/>
                <w:szCs w:val="14"/>
                <w:color w:val="auto"/>
              </w:rPr>
              <w:t>Stock issued under employee stock purchase and share-</w:t>
            </w:r>
          </w:p>
        </w:tc>
        <w:tc>
          <w:tcPr>
            <w:tcW w:w="136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0.4</w:t>
            </w:r>
          </w:p>
        </w:tc>
        <w:tc>
          <w:tcPr>
            <w:tcW w:w="24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3"/>
                <w:szCs w:val="13"/>
                <w:color w:val="auto"/>
              </w:rPr>
            </w:pPr>
          </w:p>
        </w:tc>
        <w:tc>
          <w:tcPr>
            <w:tcW w:w="1160" w:type="dxa"/>
            <w:vAlign w:val="bottom"/>
            <w:shd w:val="clear" w:color="auto" w:fill="DCE2EF"/>
          </w:tcPr>
          <w:p>
            <w:pPr>
              <w:spacing w:after="0"/>
              <w:rPr>
                <w:sz w:val="13"/>
                <w:szCs w:val="13"/>
                <w:color w:val="auto"/>
              </w:rPr>
            </w:pPr>
          </w:p>
        </w:tc>
        <w:tc>
          <w:tcPr>
            <w:tcW w:w="38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DCE2EF"/>
          </w:tcPr>
          <w:p>
            <w:pPr>
              <w:spacing w:after="0"/>
              <w:rPr>
                <w:sz w:val="13"/>
                <w:szCs w:val="13"/>
                <w:color w:val="auto"/>
              </w:rPr>
            </w:pPr>
          </w:p>
        </w:tc>
        <w:tc>
          <w:tcPr>
            <w:tcW w:w="28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4200" w:type="dxa"/>
            <w:vAlign w:val="bottom"/>
            <w:gridSpan w:val="2"/>
            <w:shd w:val="clear" w:color="auto" w:fill="DCE2EF"/>
          </w:tcPr>
          <w:p>
            <w:pPr>
              <w:ind w:left="280"/>
              <w:spacing w:after="0"/>
              <w:rPr>
                <w:sz w:val="20"/>
                <w:szCs w:val="20"/>
                <w:color w:val="auto"/>
              </w:rPr>
            </w:pPr>
            <w:r>
              <w:rPr>
                <w:rFonts w:ascii="Arial" w:cs="Arial" w:eastAsia="Arial" w:hAnsi="Arial"/>
                <w:sz w:val="14"/>
                <w:szCs w:val="14"/>
                <w:color w:val="auto"/>
              </w:rPr>
              <w:t>based compensation plans</w:t>
            </w:r>
          </w:p>
        </w:tc>
        <w:tc>
          <w:tcPr>
            <w:tcW w:w="1360" w:type="dxa"/>
            <w:vAlign w:val="bottom"/>
            <w:tcBorders>
              <w:bottom w:val="single" w:sz="8" w:color="auto"/>
            </w:tcBorders>
            <w:vMerge w:val="continue"/>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220" w:type="dxa"/>
            <w:vAlign w:val="bottom"/>
            <w:tcBorders>
              <w:bottom w:val="single" w:sz="8" w:color="auto"/>
            </w:tcBorders>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60" w:type="dxa"/>
            <w:vAlign w:val="bottom"/>
            <w:tcBorders>
              <w:bottom w:val="single" w:sz="8" w:color="auto"/>
            </w:tcBorders>
            <w:shd w:val="clear" w:color="auto" w:fill="DCE2EF"/>
          </w:tcPr>
          <w:p>
            <w:pPr>
              <w:spacing w:after="0"/>
              <w:rPr>
                <w:sz w:val="16"/>
                <w:szCs w:val="16"/>
                <w:color w:val="auto"/>
              </w:rPr>
            </w:pPr>
          </w:p>
        </w:tc>
        <w:tc>
          <w:tcPr>
            <w:tcW w:w="380" w:type="dxa"/>
            <w:vAlign w:val="bottom"/>
            <w:tcBorders>
              <w:bottom w:val="single" w:sz="8" w:color="auto"/>
            </w:tcBorders>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80" w:type="dxa"/>
            <w:vAlign w:val="bottom"/>
            <w:tcBorders>
              <w:bottom w:val="single" w:sz="8" w:color="auto"/>
            </w:tcBorders>
            <w:shd w:val="clear" w:color="auto" w:fill="DCE2EF"/>
          </w:tcPr>
          <w:p>
            <w:pPr>
              <w:spacing w:after="0"/>
              <w:rPr>
                <w:sz w:val="16"/>
                <w:szCs w:val="16"/>
                <w:color w:val="auto"/>
              </w:rPr>
            </w:pPr>
          </w:p>
        </w:tc>
        <w:tc>
          <w:tcPr>
            <w:tcW w:w="1240" w:type="dxa"/>
            <w:vAlign w:val="bottom"/>
            <w:tcBorders>
              <w:bottom w:val="single" w:sz="8" w:color="auto"/>
            </w:tcBorders>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CE2EF"/>
            </w:tcBorders>
          </w:tcPr>
          <w:p>
            <w:pPr>
              <w:spacing w:after="0"/>
              <w:rPr>
                <w:sz w:val="16"/>
                <w:szCs w:val="16"/>
                <w:color w:val="auto"/>
              </w:rPr>
            </w:pPr>
          </w:p>
        </w:tc>
        <w:tc>
          <w:tcPr>
            <w:tcW w:w="420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Balance,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24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DCE2E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Borders>
              <w:bottom w:val="single" w:sz="8" w:color="DCE2E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7"/>
        </w:trPr>
        <w:tc>
          <w:tcPr>
            <w:tcW w:w="20" w:type="dxa"/>
            <w:vAlign w:val="bottom"/>
            <w:shd w:val="clear" w:color="auto" w:fill="DCE2EF"/>
          </w:tcPr>
          <w:p>
            <w:pPr>
              <w:spacing w:after="0"/>
              <w:rPr>
                <w:sz w:val="16"/>
                <w:szCs w:val="16"/>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Additional Paid-in Capital</w:t>
            </w:r>
          </w:p>
        </w:tc>
        <w:tc>
          <w:tcPr>
            <w:tcW w:w="136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2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2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auto"/>
              </w:rPr>
              <w:t>Balance, beginning of period</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558.9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157"/>
        </w:trPr>
        <w:tc>
          <w:tcPr>
            <w:tcW w:w="20" w:type="dxa"/>
            <w:vAlign w:val="bottom"/>
            <w:shd w:val="clear" w:color="auto" w:fill="DCE2EF"/>
          </w:tcPr>
          <w:p>
            <w:pPr>
              <w:spacing w:after="0"/>
              <w:rPr>
                <w:sz w:val="13"/>
                <w:szCs w:val="13"/>
                <w:color w:val="auto"/>
              </w:rPr>
            </w:pPr>
          </w:p>
        </w:tc>
        <w:tc>
          <w:tcPr>
            <w:tcW w:w="4200" w:type="dxa"/>
            <w:vAlign w:val="bottom"/>
            <w:gridSpan w:val="2"/>
            <w:shd w:val="clear" w:color="auto" w:fill="DCE2EF"/>
          </w:tcPr>
          <w:p>
            <w:pPr>
              <w:ind w:left="120"/>
              <w:spacing w:after="0" w:line="157" w:lineRule="exact"/>
              <w:rPr>
                <w:sz w:val="20"/>
                <w:szCs w:val="20"/>
                <w:color w:val="auto"/>
              </w:rPr>
            </w:pPr>
            <w:r>
              <w:rPr>
                <w:rFonts w:ascii="Arial" w:cs="Arial" w:eastAsia="Arial" w:hAnsi="Arial"/>
                <w:sz w:val="14"/>
                <w:szCs w:val="14"/>
                <w:color w:val="auto"/>
              </w:rPr>
              <w:t>Taxes withheld under employee stock purchase and share-</w:t>
            </w:r>
          </w:p>
        </w:tc>
        <w:tc>
          <w:tcPr>
            <w:tcW w:w="1360" w:type="dxa"/>
            <w:vAlign w:val="bottom"/>
            <w:shd w:val="clear" w:color="auto" w:fill="DCE2EF"/>
          </w:tcPr>
          <w:p>
            <w:pPr>
              <w:spacing w:after="0"/>
              <w:rPr>
                <w:sz w:val="13"/>
                <w:szCs w:val="13"/>
                <w:color w:val="auto"/>
              </w:rPr>
            </w:pPr>
          </w:p>
        </w:tc>
        <w:tc>
          <w:tcPr>
            <w:tcW w:w="24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DCE2EF"/>
          </w:tcPr>
          <w:p>
            <w:pPr>
              <w:spacing w:after="0"/>
              <w:rPr>
                <w:sz w:val="13"/>
                <w:szCs w:val="13"/>
                <w:color w:val="auto"/>
              </w:rPr>
            </w:pPr>
          </w:p>
        </w:tc>
        <w:tc>
          <w:tcPr>
            <w:tcW w:w="116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28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4200" w:type="dxa"/>
            <w:vAlign w:val="bottom"/>
            <w:gridSpan w:val="2"/>
            <w:shd w:val="clear" w:color="auto" w:fill="DCE2EF"/>
          </w:tcPr>
          <w:p>
            <w:pPr>
              <w:ind w:left="280"/>
              <w:spacing w:after="0"/>
              <w:rPr>
                <w:sz w:val="20"/>
                <w:szCs w:val="20"/>
                <w:color w:val="auto"/>
              </w:rPr>
            </w:pPr>
            <w:r>
              <w:rPr>
                <w:rFonts w:ascii="Arial" w:cs="Arial" w:eastAsia="Arial" w:hAnsi="Arial"/>
                <w:sz w:val="14"/>
                <w:szCs w:val="14"/>
                <w:color w:val="auto"/>
              </w:rPr>
              <w:t>based compensation plans, net</w:t>
            </w:r>
          </w:p>
        </w:tc>
        <w:tc>
          <w:tcPr>
            <w:tcW w:w="136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22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24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20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Share-based compensation expense</w:t>
            </w:r>
          </w:p>
        </w:tc>
        <w:tc>
          <w:tcPr>
            <w:tcW w:w="1360" w:type="dxa"/>
            <w:vAlign w:val="bottom"/>
            <w:tcBorders>
              <w:bottom w:val="single" w:sz="8" w:color="DCE2EF"/>
            </w:tcBorders>
          </w:tcPr>
          <w:p>
            <w:pPr>
              <w:spacing w:after="0"/>
              <w:rPr>
                <w:sz w:val="17"/>
                <w:szCs w:val="17"/>
                <w:color w:val="auto"/>
              </w:rPr>
            </w:pPr>
          </w:p>
        </w:tc>
        <w:tc>
          <w:tcPr>
            <w:tcW w:w="24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DCE2EF"/>
            </w:tcBorders>
          </w:tcPr>
          <w:p>
            <w:pPr>
              <w:spacing w:after="0"/>
              <w:rPr>
                <w:sz w:val="17"/>
                <w:szCs w:val="17"/>
                <w:color w:val="auto"/>
              </w:rPr>
            </w:pPr>
          </w:p>
        </w:tc>
        <w:tc>
          <w:tcPr>
            <w:tcW w:w="1160" w:type="dxa"/>
            <w:vAlign w:val="bottom"/>
            <w:tcBorders>
              <w:bottom w:val="single" w:sz="8" w:color="DCE2EF"/>
            </w:tcBorders>
          </w:tcPr>
          <w:p>
            <w:pPr>
              <w:spacing w:after="0"/>
              <w:rPr>
                <w:sz w:val="17"/>
                <w:szCs w:val="17"/>
                <w:color w:val="auto"/>
              </w:rPr>
            </w:pPr>
          </w:p>
        </w:tc>
        <w:tc>
          <w:tcPr>
            <w:tcW w:w="38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period</w:t>
            </w:r>
          </w:p>
        </w:tc>
        <w:tc>
          <w:tcPr>
            <w:tcW w:w="13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558.5</w:t>
            </w: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80" w:type="dxa"/>
            <w:vAlign w:val="bottom"/>
            <w:tcBorders>
              <w:bottom w:val="single" w:sz="8" w:color="auto"/>
            </w:tcBorders>
            <w:shd w:val="clear" w:color="auto" w:fill="DCE2EF"/>
          </w:tcPr>
          <w:p>
            <w:pPr>
              <w:spacing w:after="0"/>
              <w:rPr>
                <w:sz w:val="17"/>
                <w:szCs w:val="17"/>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670.7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period</w:t>
            </w:r>
          </w:p>
        </w:tc>
        <w:tc>
          <w:tcPr>
            <w:tcW w:w="13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8"/>
        </w:trPr>
        <w:tc>
          <w:tcPr>
            <w:tcW w:w="20" w:type="dxa"/>
            <w:vAlign w:val="bottom"/>
            <w:tcBorders>
              <w:bottom w:val="single" w:sz="8" w:color="DCE2EF"/>
            </w:tcBorders>
          </w:tcPr>
          <w:p>
            <w:pPr>
              <w:spacing w:after="0"/>
              <w:rPr>
                <w:sz w:val="17"/>
                <w:szCs w:val="17"/>
                <w:color w:val="auto"/>
              </w:rPr>
            </w:pPr>
          </w:p>
        </w:tc>
        <w:tc>
          <w:tcPr>
            <w:tcW w:w="420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Other comprehensive income (loss)</w:t>
            </w:r>
          </w:p>
        </w:tc>
        <w:tc>
          <w:tcPr>
            <w:tcW w:w="1360" w:type="dxa"/>
            <w:vAlign w:val="bottom"/>
            <w:tcBorders>
              <w:bottom w:val="single" w:sz="8" w:color="DCE2EF"/>
            </w:tcBorders>
          </w:tcPr>
          <w:p>
            <w:pPr>
              <w:spacing w:after="0"/>
              <w:rPr>
                <w:sz w:val="17"/>
                <w:szCs w:val="17"/>
                <w:color w:val="auto"/>
              </w:rPr>
            </w:pPr>
          </w:p>
        </w:tc>
        <w:tc>
          <w:tcPr>
            <w:tcW w:w="240" w:type="dxa"/>
            <w:vAlign w:val="bottom"/>
            <w:tcBorders>
              <w:bottom w:val="single" w:sz="8" w:color="DCE2E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DCE2EF"/>
            </w:tcBorders>
          </w:tcPr>
          <w:p>
            <w:pPr>
              <w:spacing w:after="0"/>
              <w:rPr>
                <w:sz w:val="17"/>
                <w:szCs w:val="17"/>
                <w:color w:val="auto"/>
              </w:rPr>
            </w:pPr>
          </w:p>
        </w:tc>
        <w:tc>
          <w:tcPr>
            <w:tcW w:w="1160" w:type="dxa"/>
            <w:vAlign w:val="bottom"/>
            <w:tcBorders>
              <w:bottom w:val="single" w:sz="8" w:color="DCE2EF"/>
            </w:tcBorders>
          </w:tcPr>
          <w:p>
            <w:pPr>
              <w:spacing w:after="0"/>
              <w:rPr>
                <w:sz w:val="17"/>
                <w:szCs w:val="17"/>
                <w:color w:val="auto"/>
              </w:rPr>
            </w:pPr>
          </w:p>
        </w:tc>
        <w:tc>
          <w:tcPr>
            <w:tcW w:w="380" w:type="dxa"/>
            <w:vAlign w:val="bottom"/>
            <w:tcBorders>
              <w:bottom w:val="single" w:sz="8" w:color="DCE2EF"/>
            </w:tcBorders>
          </w:tcPr>
          <w:p>
            <w:pPr>
              <w:spacing w:after="0"/>
              <w:rPr>
                <w:sz w:val="17"/>
                <w:szCs w:val="17"/>
                <w:color w:val="auto"/>
              </w:rPr>
            </w:pPr>
          </w:p>
        </w:tc>
        <w:tc>
          <w:tcPr>
            <w:tcW w:w="120" w:type="dxa"/>
            <w:vAlign w:val="bottom"/>
            <w:tcBorders>
              <w:bottom w:val="single" w:sz="8" w:color="DCE2E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end of period</w:t>
            </w:r>
          </w:p>
        </w:tc>
        <w:tc>
          <w:tcPr>
            <w:tcW w:w="13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300" w:type="dxa"/>
            <w:vAlign w:val="bottom"/>
            <w:tcBorders>
              <w:bottom w:val="single" w:sz="8" w:color="auto"/>
            </w:tcBorders>
            <w:shd w:val="clear" w:color="auto" w:fill="DCE2EF"/>
          </w:tcPr>
          <w:p>
            <w:pPr>
              <w:spacing w:after="0"/>
              <w:rPr>
                <w:sz w:val="17"/>
                <w:szCs w:val="17"/>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80" w:type="dxa"/>
            <w:vAlign w:val="bottom"/>
            <w:tcBorders>
              <w:bottom w:val="single" w:sz="8" w:color="auto"/>
            </w:tcBorders>
            <w:shd w:val="clear" w:color="auto" w:fill="DCE2EF"/>
          </w:tcPr>
          <w:p>
            <w:pPr>
              <w:spacing w:after="0"/>
              <w:rPr>
                <w:sz w:val="17"/>
                <w:szCs w:val="17"/>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Balance, beginning of period</w:t>
            </w:r>
          </w:p>
        </w:tc>
        <w:tc>
          <w:tcPr>
            <w:tcW w:w="13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1,249.6</w:t>
            </w: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1,057.2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6"/>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20"/>
              <w:spacing w:after="0"/>
              <w:rPr>
                <w:sz w:val="20"/>
                <w:szCs w:val="20"/>
                <w:color w:val="auto"/>
              </w:rPr>
            </w:pPr>
            <w:r>
              <w:rPr>
                <w:rFonts w:ascii="Arial" w:cs="Arial" w:eastAsia="Arial" w:hAnsi="Arial"/>
                <w:sz w:val="14"/>
                <w:szCs w:val="14"/>
                <w:color w:val="auto"/>
              </w:rPr>
              <w:t>Dividends</w:t>
            </w:r>
          </w:p>
        </w:tc>
        <w:tc>
          <w:tcPr>
            <w:tcW w:w="13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300" w:type="dxa"/>
            <w:vAlign w:val="bottom"/>
            <w:shd w:val="clear" w:color="auto" w:fill="DCE2EF"/>
          </w:tcPr>
          <w:p>
            <w:pPr>
              <w:spacing w:after="0"/>
              <w:rPr>
                <w:sz w:val="17"/>
                <w:szCs w:val="17"/>
                <w:color w:val="auto"/>
              </w:rPr>
            </w:pPr>
          </w:p>
        </w:tc>
        <w:tc>
          <w:tcPr>
            <w:tcW w:w="12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3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12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0" w:type="dxa"/>
            <w:vAlign w:val="bottom"/>
            <w:gridSpan w:val="2"/>
          </w:tcPr>
          <w:p>
            <w:pPr>
              <w:ind w:left="600"/>
              <w:spacing w:after="0"/>
              <w:rPr>
                <w:sz w:val="20"/>
                <w:szCs w:val="20"/>
                <w:color w:val="auto"/>
              </w:rPr>
            </w:pPr>
            <w:r>
              <w:rPr>
                <w:rFonts w:ascii="Arial" w:cs="Arial" w:eastAsia="Arial" w:hAnsi="Arial"/>
                <w:sz w:val="14"/>
                <w:szCs w:val="14"/>
                <w:color w:val="auto"/>
              </w:rPr>
              <w:t>Common stock ($0.225 and $0.220 per share)</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7"/>
        </w:trPr>
        <w:tc>
          <w:tcPr>
            <w:tcW w:w="20" w:type="dxa"/>
            <w:vAlign w:val="bottom"/>
            <w:shd w:val="clear" w:color="auto" w:fill="DCE2EF"/>
          </w:tcPr>
          <w:p>
            <w:pPr>
              <w:spacing w:after="0"/>
              <w:rPr>
                <w:sz w:val="13"/>
                <w:szCs w:val="13"/>
                <w:color w:val="auto"/>
              </w:rPr>
            </w:pPr>
          </w:p>
        </w:tc>
        <w:tc>
          <w:tcPr>
            <w:tcW w:w="4200" w:type="dxa"/>
            <w:vAlign w:val="bottom"/>
            <w:gridSpan w:val="2"/>
            <w:shd w:val="clear" w:color="auto" w:fill="DCE2EF"/>
          </w:tcPr>
          <w:p>
            <w:pPr>
              <w:ind w:left="220"/>
              <w:spacing w:after="0" w:line="157" w:lineRule="exact"/>
              <w:rPr>
                <w:sz w:val="20"/>
                <w:szCs w:val="20"/>
                <w:color w:val="auto"/>
              </w:rPr>
            </w:pPr>
            <w:r>
              <w:rPr>
                <w:rFonts w:ascii="Arial" w:cs="Arial" w:eastAsia="Arial" w:hAnsi="Arial"/>
                <w:sz w:val="14"/>
                <w:szCs w:val="14"/>
                <w:color w:val="auto"/>
              </w:rPr>
              <w:t>Stock issued under share-based compensation</w:t>
            </w:r>
          </w:p>
        </w:tc>
        <w:tc>
          <w:tcPr>
            <w:tcW w:w="1360" w:type="dxa"/>
            <w:vAlign w:val="bottom"/>
            <w:shd w:val="clear" w:color="auto" w:fill="DCE2EF"/>
          </w:tcPr>
          <w:p>
            <w:pPr>
              <w:spacing w:after="0"/>
              <w:rPr>
                <w:sz w:val="13"/>
                <w:szCs w:val="13"/>
                <w:color w:val="auto"/>
              </w:rPr>
            </w:pPr>
          </w:p>
        </w:tc>
        <w:tc>
          <w:tcPr>
            <w:tcW w:w="240" w:type="dxa"/>
            <w:vAlign w:val="bottom"/>
            <w:shd w:val="clear" w:color="auto" w:fill="DCE2EF"/>
          </w:tcPr>
          <w:p>
            <w:pPr>
              <w:spacing w:after="0"/>
              <w:rPr>
                <w:sz w:val="13"/>
                <w:szCs w:val="13"/>
                <w:color w:val="auto"/>
              </w:rPr>
            </w:pPr>
          </w:p>
        </w:tc>
        <w:tc>
          <w:tcPr>
            <w:tcW w:w="300" w:type="dxa"/>
            <w:vAlign w:val="bottom"/>
            <w:shd w:val="clear" w:color="auto" w:fill="DCE2EF"/>
          </w:tcPr>
          <w:p>
            <w:pPr>
              <w:spacing w:after="0"/>
              <w:rPr>
                <w:sz w:val="13"/>
                <w:szCs w:val="13"/>
                <w:color w:val="auto"/>
              </w:rPr>
            </w:pPr>
          </w:p>
        </w:tc>
        <w:tc>
          <w:tcPr>
            <w:tcW w:w="122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DCE2EF"/>
          </w:tcPr>
          <w:p>
            <w:pPr>
              <w:spacing w:after="0"/>
              <w:rPr>
                <w:sz w:val="13"/>
                <w:szCs w:val="13"/>
                <w:color w:val="auto"/>
              </w:rPr>
            </w:pPr>
          </w:p>
        </w:tc>
        <w:tc>
          <w:tcPr>
            <w:tcW w:w="116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280" w:type="dxa"/>
            <w:vAlign w:val="bottom"/>
            <w:shd w:val="clear" w:color="auto" w:fill="DCE2EF"/>
          </w:tcPr>
          <w:p>
            <w:pPr>
              <w:spacing w:after="0"/>
              <w:rPr>
                <w:sz w:val="13"/>
                <w:szCs w:val="13"/>
                <w:color w:val="auto"/>
              </w:rPr>
            </w:pPr>
          </w:p>
        </w:tc>
        <w:tc>
          <w:tcPr>
            <w:tcW w:w="1240" w:type="dxa"/>
            <w:vAlign w:val="bottom"/>
            <w:vMerge w:val="restart"/>
            <w:shd w:val="clear" w:color="auto" w:fill="DCE2E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20" w:type="dxa"/>
            <w:vAlign w:val="bottom"/>
            <w:shd w:val="clear" w:color="auto" w:fill="DCE2EF"/>
          </w:tcPr>
          <w:p>
            <w:pPr>
              <w:spacing w:after="0"/>
              <w:rPr>
                <w:sz w:val="16"/>
                <w:szCs w:val="16"/>
                <w:color w:val="auto"/>
              </w:rPr>
            </w:pPr>
          </w:p>
        </w:tc>
        <w:tc>
          <w:tcPr>
            <w:tcW w:w="4200" w:type="dxa"/>
            <w:vAlign w:val="bottom"/>
            <w:gridSpan w:val="2"/>
            <w:shd w:val="clear" w:color="auto" w:fill="DCE2EF"/>
          </w:tcPr>
          <w:p>
            <w:pPr>
              <w:ind w:left="260"/>
              <w:spacing w:after="0"/>
              <w:rPr>
                <w:sz w:val="20"/>
                <w:szCs w:val="20"/>
                <w:color w:val="auto"/>
              </w:rPr>
            </w:pPr>
            <w:r>
              <w:rPr>
                <w:rFonts w:ascii="Arial" w:cs="Arial" w:eastAsia="Arial" w:hAnsi="Arial"/>
                <w:sz w:val="14"/>
                <w:szCs w:val="14"/>
                <w:color w:val="auto"/>
              </w:rPr>
              <w:t>plans</w:t>
            </w:r>
          </w:p>
        </w:tc>
        <w:tc>
          <w:tcPr>
            <w:tcW w:w="136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300" w:type="dxa"/>
            <w:vAlign w:val="bottom"/>
            <w:tcBorders>
              <w:bottom w:val="single" w:sz="8" w:color="auto"/>
            </w:tcBorders>
            <w:shd w:val="clear" w:color="auto" w:fill="DCE2EF"/>
          </w:tcPr>
          <w:p>
            <w:pPr>
              <w:spacing w:after="0"/>
              <w:rPr>
                <w:sz w:val="16"/>
                <w:szCs w:val="16"/>
                <w:color w:val="auto"/>
              </w:rPr>
            </w:pPr>
          </w:p>
        </w:tc>
        <w:tc>
          <w:tcPr>
            <w:tcW w:w="1220" w:type="dxa"/>
            <w:vAlign w:val="bottom"/>
            <w:tcBorders>
              <w:bottom w:val="single" w:sz="8" w:color="auto"/>
            </w:tcBorders>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3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280" w:type="dxa"/>
            <w:vAlign w:val="bottom"/>
            <w:tcBorders>
              <w:bottom w:val="single" w:sz="8" w:color="auto"/>
            </w:tcBorders>
            <w:shd w:val="clear" w:color="auto" w:fill="DCE2EF"/>
          </w:tcPr>
          <w:p>
            <w:pPr>
              <w:spacing w:after="0"/>
              <w:rPr>
                <w:sz w:val="16"/>
                <w:szCs w:val="16"/>
                <w:color w:val="auto"/>
              </w:rPr>
            </w:pPr>
          </w:p>
        </w:tc>
        <w:tc>
          <w:tcPr>
            <w:tcW w:w="1240" w:type="dxa"/>
            <w:vAlign w:val="bottom"/>
            <w:tcBorders>
              <w:bottom w:val="single" w:sz="8" w:color="auto"/>
            </w:tcBorders>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CE2EF"/>
            </w:tcBorders>
          </w:tcPr>
          <w:p>
            <w:pPr>
              <w:spacing w:after="0"/>
              <w:rPr>
                <w:sz w:val="16"/>
                <w:szCs w:val="16"/>
                <w:color w:val="auto"/>
              </w:rPr>
            </w:pPr>
          </w:p>
        </w:tc>
        <w:tc>
          <w:tcPr>
            <w:tcW w:w="4200" w:type="dxa"/>
            <w:vAlign w:val="bottom"/>
            <w:tcBorders>
              <w:bottom w:val="single" w:sz="8" w:color="DCE2EF"/>
            </w:tcBorders>
            <w:gridSpan w:val="2"/>
          </w:tcPr>
          <w:p>
            <w:pPr>
              <w:ind w:left="120"/>
              <w:spacing w:after="0"/>
              <w:rPr>
                <w:sz w:val="20"/>
                <w:szCs w:val="20"/>
                <w:color w:val="auto"/>
              </w:rPr>
            </w:pPr>
            <w:r>
              <w:rPr>
                <w:rFonts w:ascii="Arial" w:cs="Arial" w:eastAsia="Arial" w:hAnsi="Arial"/>
                <w:sz w:val="14"/>
                <w:szCs w:val="14"/>
                <w:color w:val="auto"/>
              </w:rPr>
              <w:t>Balance, end of period</w:t>
            </w:r>
          </w:p>
        </w:tc>
        <w:tc>
          <w:tcPr>
            <w:tcW w:w="1360" w:type="dxa"/>
            <w:vAlign w:val="bottom"/>
            <w:tcBorders>
              <w:bottom w:val="single" w:sz="8" w:color="DCE2EF"/>
            </w:tcBorders>
          </w:tcPr>
          <w:p>
            <w:pPr>
              <w:spacing w:after="0"/>
              <w:rPr>
                <w:sz w:val="16"/>
                <w:szCs w:val="16"/>
                <w:color w:val="auto"/>
              </w:rPr>
            </w:pPr>
          </w:p>
        </w:tc>
        <w:tc>
          <w:tcPr>
            <w:tcW w:w="240" w:type="dxa"/>
            <w:vAlign w:val="bottom"/>
            <w:tcBorders>
              <w:bottom w:val="single" w:sz="8" w:color="DCE2E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tcBorders>
              <w:bottom w:val="single" w:sz="8" w:color="DCE2EF"/>
            </w:tcBorders>
          </w:tcPr>
          <w:p>
            <w:pPr>
              <w:spacing w:after="0"/>
              <w:rPr>
                <w:sz w:val="16"/>
                <w:szCs w:val="16"/>
                <w:color w:val="auto"/>
              </w:rPr>
            </w:pPr>
          </w:p>
        </w:tc>
        <w:tc>
          <w:tcPr>
            <w:tcW w:w="1160" w:type="dxa"/>
            <w:vAlign w:val="bottom"/>
            <w:tcBorders>
              <w:bottom w:val="single" w:sz="8" w:color="DCE2EF"/>
            </w:tcBorders>
          </w:tcPr>
          <w:p>
            <w:pPr>
              <w:spacing w:after="0"/>
              <w:rPr>
                <w:sz w:val="16"/>
                <w:szCs w:val="16"/>
                <w:color w:val="auto"/>
              </w:rPr>
            </w:pPr>
          </w:p>
        </w:tc>
        <w:tc>
          <w:tcPr>
            <w:tcW w:w="380" w:type="dxa"/>
            <w:vAlign w:val="bottom"/>
            <w:tcBorders>
              <w:bottom w:val="single" w:sz="8" w:color="DCE2EF"/>
            </w:tcBorders>
          </w:tcPr>
          <w:p>
            <w:pPr>
              <w:spacing w:after="0"/>
              <w:rPr>
                <w:sz w:val="16"/>
                <w:szCs w:val="16"/>
                <w:color w:val="auto"/>
              </w:rPr>
            </w:pPr>
          </w:p>
        </w:tc>
        <w:tc>
          <w:tcPr>
            <w:tcW w:w="120" w:type="dxa"/>
            <w:vAlign w:val="bottom"/>
            <w:tcBorders>
              <w:bottom w:val="single" w:sz="8" w:color="DCE2E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1,080.3</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Total Stockholders’ Equity</w:t>
            </w:r>
          </w:p>
        </w:tc>
        <w:tc>
          <w:tcPr>
            <w:tcW w:w="1360" w:type="dxa"/>
            <w:vAlign w:val="bottom"/>
            <w:shd w:val="clear" w:color="auto" w:fill="DCE2EF"/>
          </w:tcPr>
          <w:p>
            <w:pPr>
              <w:spacing w:after="0"/>
              <w:rPr>
                <w:sz w:val="19"/>
                <w:szCs w:val="19"/>
                <w:color w:val="auto"/>
              </w:rPr>
            </w:pPr>
          </w:p>
        </w:tc>
        <w:tc>
          <w:tcPr>
            <w:tcW w:w="540" w:type="dxa"/>
            <w:vAlign w:val="bottom"/>
            <w:gridSpan w:val="2"/>
            <w:shd w:val="clear" w:color="auto" w:fill="DCE2EF"/>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1,822.7</w:t>
            </w:r>
          </w:p>
        </w:tc>
        <w:tc>
          <w:tcPr>
            <w:tcW w:w="100" w:type="dxa"/>
            <w:vAlign w:val="bottom"/>
            <w:shd w:val="clear" w:color="auto" w:fill="DCE2EF"/>
          </w:tcPr>
          <w:p>
            <w:pPr>
              <w:spacing w:after="0"/>
              <w:rPr>
                <w:sz w:val="19"/>
                <w:szCs w:val="19"/>
                <w:color w:val="auto"/>
              </w:rPr>
            </w:pPr>
          </w:p>
        </w:tc>
        <w:tc>
          <w:tcPr>
            <w:tcW w:w="1160" w:type="dxa"/>
            <w:vAlign w:val="bottom"/>
            <w:shd w:val="clear" w:color="auto" w:fill="DCE2EF"/>
          </w:tcPr>
          <w:p>
            <w:pPr>
              <w:spacing w:after="0"/>
              <w:rPr>
                <w:sz w:val="19"/>
                <w:szCs w:val="19"/>
                <w:color w:val="auto"/>
              </w:rPr>
            </w:pPr>
          </w:p>
        </w:tc>
        <w:tc>
          <w:tcPr>
            <w:tcW w:w="3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1,736.5</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1980" w:type="dxa"/>
            <w:vAlign w:val="bottom"/>
            <w:tcBorders>
              <w:top w:val="single" w:sz="8" w:color="DCE2EF"/>
            </w:tcBorders>
          </w:tcPr>
          <w:p>
            <w:pPr>
              <w:spacing w:after="0" w:line="20" w:lineRule="exact"/>
              <w:rPr>
                <w:sz w:val="1"/>
                <w:szCs w:val="1"/>
                <w:color w:val="auto"/>
              </w:rPr>
            </w:pPr>
          </w:p>
        </w:tc>
        <w:tc>
          <w:tcPr>
            <w:tcW w:w="2220" w:type="dxa"/>
            <w:vAlign w:val="bottom"/>
            <w:tcBorders>
              <w:top w:val="single" w:sz="8" w:color="DCE2EF"/>
            </w:tcBorders>
          </w:tcPr>
          <w:p>
            <w:pPr>
              <w:spacing w:after="0" w:line="20" w:lineRule="exact"/>
              <w:rPr>
                <w:sz w:val="1"/>
                <w:szCs w:val="1"/>
                <w:color w:val="auto"/>
              </w:rPr>
            </w:pPr>
          </w:p>
        </w:tc>
        <w:tc>
          <w:tcPr>
            <w:tcW w:w="1360" w:type="dxa"/>
            <w:vAlign w:val="bottom"/>
            <w:tcBorders>
              <w:top w:val="single" w:sz="8" w:color="DCE2EF"/>
            </w:tcBorders>
          </w:tcPr>
          <w:p>
            <w:pPr>
              <w:spacing w:after="0" w:line="20" w:lineRule="exact"/>
              <w:rPr>
                <w:sz w:val="1"/>
                <w:szCs w:val="1"/>
                <w:color w:val="auto"/>
              </w:rPr>
            </w:pPr>
          </w:p>
        </w:tc>
        <w:tc>
          <w:tcPr>
            <w:tcW w:w="24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160" w:type="dxa"/>
            <w:vAlign w:val="bottom"/>
            <w:tcBorders>
              <w:top w:val="single" w:sz="8" w:color="DCE2EF"/>
            </w:tcBorders>
          </w:tcPr>
          <w:p>
            <w:pPr>
              <w:spacing w:after="0" w:line="20" w:lineRule="exact"/>
              <w:rPr>
                <w:sz w:val="1"/>
                <w:szCs w:val="1"/>
                <w:color w:val="auto"/>
              </w:rPr>
            </w:pPr>
          </w:p>
        </w:tc>
        <w:tc>
          <w:tcPr>
            <w:tcW w:w="380" w:type="dxa"/>
            <w:vAlign w:val="bottom"/>
            <w:tcBorders>
              <w:top w:val="single" w:sz="8" w:color="DCE2EF"/>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41" w:right="959" w:bottom="1440" w:gutter="0" w:footer="0" w:header="0"/>
        </w:sectPr>
      </w:pPr>
    </w:p>
    <w:bookmarkStart w:id="8" w:name="page9"/>
    <w:bookmarkEnd w:id="8"/>
    <w:p>
      <w:pPr>
        <w:ind w:left="32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0046AD"/>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7"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January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08"/>
              <w:spacing w:after="0" w:line="157"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88"/>
              <w:spacing w:after="0" w:line="157" w:lineRule="exact"/>
              <w:rPr>
                <w:sz w:val="20"/>
                <w:szCs w:val="20"/>
                <w:color w:val="auto"/>
              </w:rPr>
            </w:pPr>
            <w:r>
              <w:rPr>
                <w:rFonts w:ascii="Arial" w:cs="Arial" w:eastAsia="Arial" w:hAnsi="Arial"/>
                <w:sz w:val="14"/>
                <w:szCs w:val="14"/>
                <w:b w:val="1"/>
                <w:bCs w:val="1"/>
                <w:color w:val="auto"/>
              </w:rPr>
              <w:t>2023</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5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DCE2EF"/>
          </w:tcPr>
          <w:p>
            <w:pPr>
              <w:spacing w:after="0"/>
              <w:rPr>
                <w:sz w:val="15"/>
                <w:szCs w:val="15"/>
                <w:color w:val="auto"/>
              </w:rPr>
            </w:pPr>
          </w:p>
        </w:tc>
        <w:tc>
          <w:tcPr>
            <w:tcW w:w="114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2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157"/>
        </w:trPr>
        <w:tc>
          <w:tcPr>
            <w:tcW w:w="20" w:type="dxa"/>
            <w:vAlign w:val="bottom"/>
            <w:shd w:val="clear" w:color="auto" w:fill="DCE2EF"/>
          </w:tcPr>
          <w:p>
            <w:pPr>
              <w:spacing w:after="0"/>
              <w:rPr>
                <w:sz w:val="13"/>
                <w:szCs w:val="13"/>
                <w:color w:val="auto"/>
              </w:rPr>
            </w:pPr>
          </w:p>
        </w:tc>
        <w:tc>
          <w:tcPr>
            <w:tcW w:w="8160" w:type="dxa"/>
            <w:vAlign w:val="bottom"/>
            <w:gridSpan w:val="2"/>
            <w:shd w:val="clear" w:color="auto" w:fill="DCE2EF"/>
          </w:tcPr>
          <w:p>
            <w:pPr>
              <w:spacing w:after="0" w:line="157" w:lineRule="exact"/>
              <w:rPr>
                <w:sz w:val="20"/>
                <w:szCs w:val="20"/>
                <w:color w:val="auto"/>
              </w:rPr>
            </w:pPr>
            <w:r>
              <w:rPr>
                <w:rFonts w:ascii="Arial" w:cs="Arial" w:eastAsia="Arial" w:hAnsi="Arial"/>
                <w:sz w:val="14"/>
                <w:szCs w:val="14"/>
                <w:b w:val="1"/>
                <w:bCs w:val="1"/>
                <w:color w:val="auto"/>
              </w:rPr>
              <w:t>Adjustments to reconcile net income to net cash provided by operating</w:t>
            </w:r>
          </w:p>
        </w:tc>
        <w:tc>
          <w:tcPr>
            <w:tcW w:w="360" w:type="dxa"/>
            <w:vAlign w:val="bottom"/>
            <w:shd w:val="clear" w:color="auto" w:fill="DCE2EF"/>
          </w:tcPr>
          <w:p>
            <w:pPr>
              <w:spacing w:after="0"/>
              <w:rPr>
                <w:sz w:val="13"/>
                <w:szCs w:val="13"/>
                <w:color w:val="auto"/>
              </w:rPr>
            </w:pPr>
          </w:p>
        </w:tc>
        <w:tc>
          <w:tcPr>
            <w:tcW w:w="1140" w:type="dxa"/>
            <w:vAlign w:val="bottom"/>
            <w:shd w:val="clear" w:color="auto" w:fill="DCE2EF"/>
          </w:tcPr>
          <w:p>
            <w:pPr>
              <w:spacing w:after="0"/>
              <w:rPr>
                <w:sz w:val="13"/>
                <w:szCs w:val="13"/>
                <w:color w:val="auto"/>
              </w:rPr>
            </w:pPr>
          </w:p>
        </w:tc>
        <w:tc>
          <w:tcPr>
            <w:tcW w:w="120" w:type="dxa"/>
            <w:vAlign w:val="bottom"/>
            <w:shd w:val="clear" w:color="auto" w:fill="DCE2EF"/>
          </w:tcPr>
          <w:p>
            <w:pPr>
              <w:spacing w:after="0"/>
              <w:rPr>
                <w:sz w:val="13"/>
                <w:szCs w:val="13"/>
                <w:color w:val="auto"/>
              </w:rPr>
            </w:pPr>
          </w:p>
        </w:tc>
        <w:tc>
          <w:tcPr>
            <w:tcW w:w="320" w:type="dxa"/>
            <w:vAlign w:val="bottom"/>
            <w:shd w:val="clear" w:color="auto" w:fill="DCE2EF"/>
          </w:tcPr>
          <w:p>
            <w:pPr>
              <w:spacing w:after="0"/>
              <w:rPr>
                <w:sz w:val="13"/>
                <w:szCs w:val="13"/>
                <w:color w:val="auto"/>
              </w:rPr>
            </w:pPr>
          </w:p>
        </w:tc>
        <w:tc>
          <w:tcPr>
            <w:tcW w:w="1120" w:type="dxa"/>
            <w:vAlign w:val="bottom"/>
            <w:shd w:val="clear" w:color="auto" w:fill="DCE2EF"/>
          </w:tcPr>
          <w:p>
            <w:pPr>
              <w:spacing w:after="0"/>
              <w:rPr>
                <w:sz w:val="13"/>
                <w:szCs w:val="13"/>
                <w:color w:val="auto"/>
              </w:rPr>
            </w:pPr>
          </w:p>
        </w:tc>
      </w:tr>
      <w:tr>
        <w:trPr>
          <w:trHeight w:val="185"/>
        </w:trPr>
        <w:tc>
          <w:tcPr>
            <w:tcW w:w="20" w:type="dxa"/>
            <w:vAlign w:val="bottom"/>
            <w:shd w:val="clear" w:color="auto" w:fill="DCE2EF"/>
          </w:tcPr>
          <w:p>
            <w:pPr>
              <w:spacing w:after="0"/>
              <w:rPr>
                <w:sz w:val="16"/>
                <w:szCs w:val="16"/>
                <w:color w:val="auto"/>
              </w:rPr>
            </w:pPr>
          </w:p>
        </w:tc>
        <w:tc>
          <w:tcPr>
            <w:tcW w:w="816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activities</w:t>
            </w:r>
          </w:p>
        </w:tc>
        <w:tc>
          <w:tcPr>
            <w:tcW w:w="36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32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9.6</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Provision for (Recovery of) bad debt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(0.9)</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Discount accretion on insurance claims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Gain on sale of assets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Income from unconsolidated affiliates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Distributions from unconsolidated affiliates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(51.0)</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Right-of-use assets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2.1</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Other noncurrent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(111.5)</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Long-term lease liabilities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Insurance claims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12.5</w:t>
            </w:r>
          </w:p>
        </w:tc>
      </w:tr>
      <w:tr>
        <w:trPr>
          <w:trHeight w:val="198"/>
        </w:trPr>
        <w:tc>
          <w:tcPr>
            <w:tcW w:w="20" w:type="dxa"/>
            <w:vAlign w:val="bottom"/>
          </w:tcPr>
          <w:p>
            <w:pPr>
              <w:spacing w:after="0"/>
              <w:rPr>
                <w:sz w:val="17"/>
                <w:szCs w:val="17"/>
                <w:color w:val="auto"/>
              </w:rPr>
            </w:pPr>
          </w:p>
        </w:tc>
        <w:tc>
          <w:tcPr>
            <w:tcW w:w="8160" w:type="dxa"/>
            <w:vAlign w:val="bottom"/>
            <w:gridSpan w:val="2"/>
          </w:tcPr>
          <w:p>
            <w:pPr>
              <w:ind w:left="340"/>
              <w:spacing w:after="0"/>
              <w:rPr>
                <w:sz w:val="20"/>
                <w:szCs w:val="20"/>
                <w:color w:val="auto"/>
              </w:rPr>
            </w:pPr>
            <w:r>
              <w:rPr>
                <w:rFonts w:ascii="Arial" w:cs="Arial" w:eastAsia="Arial" w:hAnsi="Arial"/>
                <w:sz w:val="14"/>
                <w:szCs w:val="14"/>
                <w:color w:val="auto"/>
              </w:rPr>
              <w:t>Income taxes payable, net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0.7</w:t>
            </w:r>
          </w:p>
        </w:tc>
      </w:tr>
      <w:tr>
        <w:trPr>
          <w:trHeight w:val="192"/>
        </w:trPr>
        <w:tc>
          <w:tcPr>
            <w:tcW w:w="20" w:type="dxa"/>
            <w:vAlign w:val="bottom"/>
            <w:tcBorders>
              <w:bottom w:val="single" w:sz="8" w:color="DCE2EF"/>
            </w:tcBorders>
          </w:tcPr>
          <w:p>
            <w:pPr>
              <w:spacing w:after="0"/>
              <w:rPr>
                <w:sz w:val="16"/>
                <w:szCs w:val="16"/>
                <w:color w:val="auto"/>
              </w:rPr>
            </w:pPr>
          </w:p>
        </w:tc>
        <w:tc>
          <w:tcPr>
            <w:tcW w:w="816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color w:val="auto"/>
              </w:rPr>
              <w:t>Total adjustments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Borders>
              <w:bottom w:val="single" w:sz="8" w:color="DCE2E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r>
      <w:tr>
        <w:trPr>
          <w:trHeight w:val="200"/>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(70.9)</w:t>
            </w:r>
          </w:p>
        </w:tc>
      </w:tr>
      <w:tr>
        <w:trPr>
          <w:trHeight w:val="181"/>
        </w:trPr>
        <w:tc>
          <w:tcPr>
            <w:tcW w:w="20" w:type="dxa"/>
            <w:vAlign w:val="bottom"/>
          </w:tcPr>
          <w:p>
            <w:pPr>
              <w:spacing w:after="0"/>
              <w:rPr>
                <w:sz w:val="15"/>
                <w:szCs w:val="15"/>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4"/>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(13.8)</w:t>
            </w:r>
          </w:p>
        </w:tc>
      </w:tr>
      <w:tr>
        <w:trPr>
          <w:trHeight w:val="198"/>
        </w:trPr>
        <w:tc>
          <w:tcPr>
            <w:tcW w:w="20" w:type="dxa"/>
            <w:vAlign w:val="bottom"/>
            <w:tcBorders>
              <w:bottom w:val="single" w:sz="8" w:color="DCE2EF"/>
            </w:tcBorders>
          </w:tcPr>
          <w:p>
            <w:pPr>
              <w:spacing w:after="0"/>
              <w:rPr>
                <w:sz w:val="17"/>
                <w:szCs w:val="17"/>
                <w:color w:val="auto"/>
              </w:rPr>
            </w:pPr>
          </w:p>
        </w:tc>
        <w:tc>
          <w:tcPr>
            <w:tcW w:w="816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color w:val="auto"/>
              </w:rPr>
              <w:t>Proceeds from sale of assets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DCE2E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0"/>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(12.5)</w:t>
            </w:r>
          </w:p>
        </w:tc>
      </w:tr>
      <w:tr>
        <w:trPr>
          <w:trHeight w:val="182"/>
        </w:trPr>
        <w:tc>
          <w:tcPr>
            <w:tcW w:w="20" w:type="dxa"/>
            <w:vAlign w:val="bottom"/>
          </w:tcPr>
          <w:p>
            <w:pPr>
              <w:spacing w:after="0"/>
              <w:rPr>
                <w:sz w:val="15"/>
                <w:szCs w:val="15"/>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(12.7)</w:t>
            </w:r>
          </w:p>
        </w:tc>
      </w:tr>
      <w:tr>
        <w:trPr>
          <w:trHeight w:val="199"/>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06"/>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Borrowings from debt</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264.5</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Repayment of borrowings from debt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(147.6)</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Changes in book cash overdrafts</w:t>
            </w:r>
          </w:p>
        </w:tc>
        <w:tc>
          <w:tcPr>
            <w:tcW w:w="360" w:type="dxa"/>
            <w:vAlign w:val="bottom"/>
            <w:shd w:val="clear" w:color="auto" w:fill="DCE2EF"/>
          </w:tcPr>
          <w:p>
            <w:pPr>
              <w:spacing w:after="0"/>
              <w:rPr>
                <w:sz w:val="17"/>
                <w:szCs w:val="17"/>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DCE2EF"/>
          </w:tcPr>
          <w:p>
            <w:pPr>
              <w:spacing w:after="0"/>
              <w:rPr>
                <w:sz w:val="17"/>
                <w:szCs w:val="17"/>
                <w:color w:val="auto"/>
              </w:rPr>
            </w:pPr>
          </w:p>
        </w:tc>
        <w:tc>
          <w:tcPr>
            <w:tcW w:w="320" w:type="dxa"/>
            <w:vAlign w:val="bottom"/>
            <w:shd w:val="clear" w:color="auto" w:fill="DCE2EF"/>
          </w:tcPr>
          <w:p>
            <w:pPr>
              <w:spacing w:after="0"/>
              <w:rPr>
                <w:sz w:val="17"/>
                <w:szCs w:val="17"/>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6.8</w:t>
            </w:r>
          </w:p>
        </w:tc>
      </w:tr>
      <w:tr>
        <w:trPr>
          <w:trHeight w:val="198"/>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color w:val="auto"/>
              </w:rPr>
              <w:t>Financing of energy savings performance contracts</w:t>
            </w:r>
          </w:p>
        </w:tc>
        <w:tc>
          <w:tcPr>
            <w:tcW w:w="3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color w:val="auto"/>
              </w:rPr>
              <w:t>Repayment of finance lease obligations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(0.8)</w:t>
            </w:r>
          </w:p>
        </w:tc>
      </w:tr>
      <w:tr>
        <w:trPr>
          <w:trHeight w:val="195"/>
        </w:trPr>
        <w:tc>
          <w:tcPr>
            <w:tcW w:w="20" w:type="dxa"/>
            <w:vAlign w:val="bottom"/>
            <w:tcBorders>
              <w:bottom w:val="single" w:sz="8" w:color="DCE2EF"/>
            </w:tcBorders>
          </w:tcPr>
          <w:p>
            <w:pPr>
              <w:spacing w:after="0"/>
              <w:rPr>
                <w:sz w:val="16"/>
                <w:szCs w:val="16"/>
                <w:color w:val="auto"/>
              </w:rPr>
            </w:pPr>
          </w:p>
        </w:tc>
        <w:tc>
          <w:tcPr>
            <w:tcW w:w="8160" w:type="dxa"/>
            <w:vAlign w:val="bottom"/>
            <w:tcBorders>
              <w:bottom w:val="single" w:sz="8" w:color="DCE2EF"/>
            </w:tcBorders>
            <w:gridSpan w:val="2"/>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DCE2E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r>
      <w:tr>
        <w:trPr>
          <w:trHeight w:val="197"/>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w:t>
            </w:r>
          </w:p>
        </w:tc>
      </w:tr>
      <w:tr>
        <w:trPr>
          <w:trHeight w:val="195"/>
        </w:trPr>
        <w:tc>
          <w:tcPr>
            <w:tcW w:w="20" w:type="dxa"/>
            <w:vAlign w:val="bottom"/>
          </w:tcPr>
          <w:p>
            <w:pPr>
              <w:spacing w:after="0"/>
              <w:rPr>
                <w:sz w:val="16"/>
                <w:szCs w:val="16"/>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3"/>
        </w:trPr>
        <w:tc>
          <w:tcPr>
            <w:tcW w:w="20" w:type="dxa"/>
            <w:vAlign w:val="bottom"/>
            <w:shd w:val="clear" w:color="auto" w:fill="DCE2EF"/>
          </w:tcPr>
          <w:p>
            <w:pPr>
              <w:spacing w:after="0"/>
              <w:rPr>
                <w:sz w:val="17"/>
                <w:szCs w:val="17"/>
                <w:color w:val="auto"/>
              </w:rPr>
            </w:pPr>
          </w:p>
        </w:tc>
        <w:tc>
          <w:tcPr>
            <w:tcW w:w="81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60" w:type="dxa"/>
            <w:vAlign w:val="bottom"/>
            <w:tcBorders>
              <w:bottom w:val="single" w:sz="8" w:color="auto"/>
            </w:tcBorders>
            <w:shd w:val="clear" w:color="auto" w:fill="DCE2EF"/>
          </w:tcPr>
          <w:p>
            <w:pPr>
              <w:spacing w:after="0"/>
              <w:rPr>
                <w:sz w:val="17"/>
                <w:szCs w:val="17"/>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DCE2EF"/>
          </w:tcPr>
          <w:p>
            <w:pPr>
              <w:spacing w:after="0"/>
              <w:rPr>
                <w:sz w:val="17"/>
                <w:szCs w:val="17"/>
                <w:color w:val="auto"/>
              </w:rPr>
            </w:pPr>
          </w:p>
        </w:tc>
        <w:tc>
          <w:tcPr>
            <w:tcW w:w="320" w:type="dxa"/>
            <w:vAlign w:val="bottom"/>
            <w:tcBorders>
              <w:bottom w:val="single" w:sz="8" w:color="auto"/>
            </w:tcBorders>
            <w:shd w:val="clear" w:color="auto" w:fill="DCE2EF"/>
          </w:tcPr>
          <w:p>
            <w:pPr>
              <w:spacing w:after="0"/>
              <w:rPr>
                <w:sz w:val="17"/>
                <w:szCs w:val="17"/>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73.0</w:t>
            </w:r>
          </w:p>
        </w:tc>
      </w:tr>
      <w:tr>
        <w:trPr>
          <w:trHeight w:val="197"/>
        </w:trPr>
        <w:tc>
          <w:tcPr>
            <w:tcW w:w="2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ABM is a leading provider of integrated facility services with a mission to make a difference, every person, every day. We are organized into four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74930</wp:posOffset>
            </wp:positionV>
            <wp:extent cx="4989195" cy="942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2023. Unless otherwise indicated, all references to years are to our fiscal years, which end on October 31.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operate certain parking facilities under management reimbursement arrangements. Under these arrangements, we manage the parking facilities for management fees and pass through the revenues and expenses associated with the facilities to the owners. These revenues and expenses are reported in equal amounts as costs reimbursed from our managed locations. Management reimbursement revenue was $80.1 million and $72.4 million for the three months ended January 31, 2024 and 2023,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Recently Adopted Accounting Standards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 — Supplier Finance Programs (Subtopic 405-50):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 Finance Program Obligations</w:t>
      </w:r>
      <w:r>
        <w:rPr>
          <w:rFonts w:ascii="Arial" w:cs="Arial" w:eastAsia="Arial" w:hAnsi="Arial"/>
          <w:sz w:val="18"/>
          <w:szCs w:val="18"/>
          <w:color w:val="auto"/>
        </w:rPr>
        <w:t>, designed to enhance transparency around supplier finance programs by requiring new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allow a 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adopted this standard, effective November 1, 2023, on a prospective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8"/>
          <w:szCs w:val="18"/>
          <w:color w:val="auto"/>
        </w:rPr>
        <w:t>basis, except for the rollforward requirement, which becomes effective in fiscal year 2025. We do not participate in any material supplier finance programs and, as such, the adoption of this guidance did not have an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RavenVolt</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 The transaction met the definition of a business combination. We applied the acquisition method of accounting.</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initial purchase price for the acquisition was approximately $170.0 million in cash at closing (subject to customary working capital and net debt adjustments) plus the potential of post-closing contingent consideration of up to $280.0 million. The post-closing contingent consideration is payable in cash in calendar years 2025 and 2026 if RavenVolt’s earnings before interest, taxes, depreciation, and amortization (“EBITDA”), as defined in the RavenVolt merger agreement, meets or exceeds certain defined targets. Such targets for calendar year 2023 were not achieved, and as a result, no contingent consideration payment was made for calendar 2023. The maximum contingent consideration that is payable in calendar years 2025 and 2026 is $75.0 million and $130.0 million, respectively. If the EBITDA achieved for calendar years 2023–2025 cumulatively meets the defined EBITDA targets, the entire $280.0 million would be paid in calendar year 2026, minus any earn-out payments made in 2025. The estimate of the fair value of the contingent consideration on the date of acquisition was $59.0 million.</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January 31, 2024, the estimate of the fair value of the contingent consideration was $13.4 million. There was no material change in the fair value of the contingent consideration during the three months ended January 31, 2024. In 2023, we completed the acquisition accounting.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Momentum</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Effective April 7, 2022, we acquired Maybin Support Services Limited, Momentum Support Limited (UK), and Momentum Property Support Services Limited (collectively “Momentum”), a leading independent provider of facility services, primarily janitorial, across the Republic of Ireland and Northern Ireland, for a purchase price of approximately $54.8 million. In 2023, we completed the acquisition accounting.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4.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revenues under several types of contracts, which are further explained below.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 12, “Segment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January 31, 2024</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1"/>
                <w:szCs w:val="11"/>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B&amp;I</w:t>
            </w:r>
          </w:p>
        </w:tc>
        <w:tc>
          <w:tcPr>
            <w:tcW w:w="280" w:type="dxa"/>
            <w:vAlign w:val="bottom"/>
          </w:tcPr>
          <w:p>
            <w:pPr>
              <w:spacing w:after="0"/>
              <w:rPr>
                <w:sz w:val="11"/>
                <w:szCs w:val="11"/>
                <w:color w:val="auto"/>
              </w:rPr>
            </w:pPr>
          </w:p>
        </w:tc>
        <w:tc>
          <w:tcPr>
            <w:tcW w:w="920" w:type="dxa"/>
            <w:vAlign w:val="bottom"/>
            <w:vMerge w:val="restart"/>
          </w:tcPr>
          <w:p>
            <w:pPr>
              <w:jc w:val="right"/>
              <w:ind w:right="392"/>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Education</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Aviation</w:t>
            </w:r>
          </w:p>
        </w:tc>
        <w:tc>
          <w:tcPr>
            <w:tcW w:w="200" w:type="dxa"/>
            <w:vAlign w:val="bottom"/>
          </w:tcPr>
          <w:p>
            <w:pPr>
              <w:spacing w:after="0"/>
              <w:rPr>
                <w:sz w:val="11"/>
                <w:szCs w:val="11"/>
                <w:color w:val="auto"/>
              </w:rPr>
            </w:pPr>
          </w:p>
        </w:tc>
        <w:tc>
          <w:tcPr>
            <w:tcW w:w="1080" w:type="dxa"/>
            <w:vAlign w:val="bottom"/>
            <w:gridSpan w:val="2"/>
          </w:tcPr>
          <w:p>
            <w:pPr>
              <w:ind w:left="100"/>
              <w:spacing w:after="0" w:line="131" w:lineRule="exact"/>
              <w:rPr>
                <w:sz w:val="20"/>
                <w:szCs w:val="20"/>
                <w:color w:val="auto"/>
              </w:rPr>
            </w:pPr>
            <w:r>
              <w:rPr>
                <w:rFonts w:ascii="Arial" w:cs="Arial" w:eastAsia="Arial" w:hAnsi="Arial"/>
                <w:sz w:val="13"/>
                <w:szCs w:val="13"/>
                <w:b w:val="1"/>
                <w:bCs w:val="1"/>
                <w:color w:val="auto"/>
              </w:rPr>
              <w:t>Technical</w:t>
            </w:r>
          </w:p>
        </w:tc>
        <w:tc>
          <w:tcPr>
            <w:tcW w:w="260" w:type="dxa"/>
            <w:vAlign w:val="bottom"/>
          </w:tcPr>
          <w:p>
            <w:pPr>
              <w:spacing w:after="0"/>
              <w:rPr>
                <w:sz w:val="11"/>
                <w:szCs w:val="11"/>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Solutions</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DCE2EF"/>
          </w:tcPr>
          <w:p>
            <w:pPr>
              <w:spacing w:after="0"/>
              <w:rPr>
                <w:sz w:val="14"/>
                <w:szCs w:val="14"/>
                <w:color w:val="auto"/>
              </w:rPr>
            </w:pPr>
          </w:p>
        </w:tc>
        <w:tc>
          <w:tcPr>
            <w:tcW w:w="35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Major Service Line</w:t>
            </w:r>
          </w:p>
        </w:tc>
        <w:tc>
          <w:tcPr>
            <w:tcW w:w="300" w:type="dxa"/>
            <w:vAlign w:val="bottom"/>
            <w:shd w:val="clear" w:color="auto" w:fill="DCE2EF"/>
          </w:tcPr>
          <w:p>
            <w:pPr>
              <w:spacing w:after="0"/>
              <w:rPr>
                <w:sz w:val="14"/>
                <w:szCs w:val="14"/>
                <w:color w:val="auto"/>
              </w:rPr>
            </w:pPr>
          </w:p>
        </w:tc>
        <w:tc>
          <w:tcPr>
            <w:tcW w:w="90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8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8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2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6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692.4</w:t>
            </w:r>
          </w:p>
        </w:tc>
        <w:tc>
          <w:tcPr>
            <w:tcW w:w="80" w:type="dxa"/>
            <w:vAlign w:val="bottom"/>
          </w:tcPr>
          <w:p>
            <w:pPr>
              <w:spacing w:after="0"/>
              <w:rPr>
                <w:sz w:val="16"/>
                <w:szCs w:val="16"/>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348.9</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16"/>
                <w:szCs w:val="16"/>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1,275.8</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56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Parking</w:t>
            </w:r>
            <w:r>
              <w:rPr>
                <w:rFonts w:ascii="Arial" w:cs="Arial" w:eastAsia="Arial" w:hAnsi="Arial"/>
                <w:sz w:val="17"/>
                <w:szCs w:val="17"/>
                <w:color w:val="auto"/>
                <w:vertAlign w:val="superscript"/>
              </w:rPr>
              <w:t>(2)</w:t>
            </w:r>
          </w:p>
        </w:tc>
        <w:tc>
          <w:tcPr>
            <w:tcW w:w="300" w:type="dxa"/>
            <w:vAlign w:val="bottom"/>
            <w:shd w:val="clear" w:color="auto" w:fill="DCE2EF"/>
          </w:tcPr>
          <w:p>
            <w:pPr>
              <w:spacing w:after="0"/>
              <w:rPr>
                <w:sz w:val="16"/>
                <w:szCs w:val="16"/>
                <w:color w:val="auto"/>
              </w:rPr>
            </w:pPr>
          </w:p>
        </w:tc>
        <w:tc>
          <w:tcPr>
            <w:tcW w:w="90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103.3</w:t>
            </w:r>
          </w:p>
        </w:tc>
        <w:tc>
          <w:tcPr>
            <w:tcW w:w="8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08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199.1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Facility Services</w:t>
            </w:r>
            <w:r>
              <w:rPr>
                <w:rFonts w:ascii="Arial" w:cs="Arial" w:eastAsia="Arial" w:hAnsi="Arial"/>
                <w:sz w:val="17"/>
                <w:szCs w:val="17"/>
                <w:color w:val="auto"/>
                <w:vertAlign w:val="superscript"/>
              </w:rPr>
              <w:t>(3)</w:t>
            </w:r>
          </w:p>
        </w:tc>
        <w:tc>
          <w:tcPr>
            <w:tcW w:w="3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237.4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56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Building &amp; Energy Solutions</w:t>
            </w:r>
            <w:r>
              <w:rPr>
                <w:rFonts w:ascii="Arial" w:cs="Arial" w:eastAsia="Arial" w:hAnsi="Arial"/>
                <w:sz w:val="17"/>
                <w:szCs w:val="17"/>
                <w:color w:val="auto"/>
                <w:vertAlign w:val="superscript"/>
              </w:rPr>
              <w:t>(4)</w:t>
            </w:r>
          </w:p>
        </w:tc>
        <w:tc>
          <w:tcPr>
            <w:tcW w:w="300" w:type="dxa"/>
            <w:vAlign w:val="bottom"/>
            <w:shd w:val="clear" w:color="auto" w:fill="DCE2EF"/>
          </w:tcPr>
          <w:p>
            <w:pPr>
              <w:spacing w:after="0"/>
              <w:rPr>
                <w:sz w:val="16"/>
                <w:szCs w:val="16"/>
                <w:color w:val="auto"/>
              </w:rPr>
            </w:pPr>
          </w:p>
        </w:tc>
        <w:tc>
          <w:tcPr>
            <w:tcW w:w="98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10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CE2EF"/>
          </w:tcPr>
          <w:p>
            <w:pPr>
              <w:spacing w:after="0"/>
              <w:rPr>
                <w:sz w:val="16"/>
                <w:szCs w:val="16"/>
                <w:color w:val="auto"/>
              </w:rPr>
            </w:pPr>
          </w:p>
        </w:tc>
        <w:tc>
          <w:tcPr>
            <w:tcW w:w="10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CE2EF"/>
          </w:tcPr>
          <w:p>
            <w:pPr>
              <w:spacing w:after="0"/>
              <w:rPr>
                <w:sz w:val="16"/>
                <w:szCs w:val="16"/>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Airline Services</w:t>
            </w:r>
            <w:r>
              <w:rPr>
                <w:rFonts w:ascii="Arial" w:cs="Arial" w:eastAsia="Arial" w:hAnsi="Arial"/>
                <w:sz w:val="17"/>
                <w:szCs w:val="17"/>
                <w:color w:val="auto"/>
                <w:vertAlign w:val="superscript"/>
              </w:rPr>
              <w:t>(5)</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08"/>
        </w:trPr>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356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bottom w:val="single" w:sz="8" w:color="auto"/>
            </w:tcBorders>
            <w:shd w:val="clear" w:color="auto" w:fill="DCE2EF"/>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1,033.1</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280" w:type="dxa"/>
            <w:vAlign w:val="bottom"/>
            <w:tcBorders>
              <w:top w:val="single" w:sz="8" w:color="auto"/>
              <w:bottom w:val="single" w:sz="8" w:color="auto"/>
            </w:tcBorders>
            <w:shd w:val="clear" w:color="auto" w:fill="DCE2EF"/>
          </w:tcPr>
          <w:p>
            <w:pPr>
              <w:jc w:val="right"/>
              <w:ind w:right="11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400.9</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80" w:type="dxa"/>
            <w:vAlign w:val="bottom"/>
            <w:tcBorders>
              <w:top w:val="single" w:sz="8" w:color="auto"/>
              <w:bottom w:val="single" w:sz="8" w:color="auto"/>
            </w:tcBorders>
            <w:shd w:val="clear" w:color="auto" w:fill="DCE2EF"/>
          </w:tcPr>
          <w:p>
            <w:pPr>
              <w:jc w:val="right"/>
              <w:ind w:right="3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20" w:type="dxa"/>
            <w:vAlign w:val="bottom"/>
            <w:tcBorders>
              <w:top w:val="single" w:sz="8" w:color="auto"/>
              <w:bottom w:val="single" w:sz="8" w:color="auto"/>
            </w:tcBorders>
            <w:shd w:val="clear" w:color="auto" w:fill="DCE2EF"/>
          </w:tcPr>
          <w:p>
            <w:pPr>
              <w:jc w:val="right"/>
              <w:ind w:right="7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00" w:type="dxa"/>
            <w:vAlign w:val="bottom"/>
            <w:tcBorders>
              <w:top w:val="single" w:sz="8" w:color="auto"/>
              <w:bottom w:val="single" w:sz="8" w:color="auto"/>
            </w:tcBorders>
            <w:shd w:val="clear" w:color="auto" w:fill="DCE2EF"/>
          </w:tcPr>
          <w:p>
            <w:pPr>
              <w:jc w:val="right"/>
              <w:ind w:right="5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60" w:type="dxa"/>
            <w:vAlign w:val="bottom"/>
            <w:tcBorders>
              <w:top w:val="single" w:sz="8" w:color="auto"/>
              <w:bottom w:val="single" w:sz="8" w:color="auto"/>
            </w:tcBorders>
            <w:shd w:val="clear" w:color="auto" w:fill="DCE2EF"/>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2,069.6</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8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January 31, 2023</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0"/>
                <w:szCs w:val="10"/>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B&amp;I</w:t>
            </w:r>
          </w:p>
        </w:tc>
        <w:tc>
          <w:tcPr>
            <w:tcW w:w="280" w:type="dxa"/>
            <w:vAlign w:val="bottom"/>
          </w:tcPr>
          <w:p>
            <w:pPr>
              <w:spacing w:after="0"/>
              <w:rPr>
                <w:sz w:val="10"/>
                <w:szCs w:val="10"/>
                <w:color w:val="auto"/>
              </w:rPr>
            </w:pPr>
          </w:p>
        </w:tc>
        <w:tc>
          <w:tcPr>
            <w:tcW w:w="920" w:type="dxa"/>
            <w:vAlign w:val="bottom"/>
            <w:vMerge w:val="restart"/>
          </w:tcPr>
          <w:p>
            <w:pPr>
              <w:jc w:val="right"/>
              <w:ind w:right="392"/>
              <w:spacing w:after="0"/>
              <w:rPr>
                <w:sz w:val="20"/>
                <w:szCs w:val="20"/>
                <w:color w:val="auto"/>
              </w:rPr>
            </w:pPr>
            <w:r>
              <w:rPr>
                <w:rFonts w:ascii="Arial" w:cs="Arial" w:eastAsia="Arial" w:hAnsi="Arial"/>
                <w:sz w:val="13"/>
                <w:szCs w:val="13"/>
                <w:b w:val="1"/>
                <w:bCs w:val="1"/>
                <w:color w:val="auto"/>
              </w:rPr>
              <w:t>M&amp;D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Education</w:t>
            </w:r>
          </w:p>
        </w:tc>
        <w:tc>
          <w:tcPr>
            <w:tcW w:w="22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Aviation</w:t>
            </w:r>
          </w:p>
        </w:tc>
        <w:tc>
          <w:tcPr>
            <w:tcW w:w="200" w:type="dxa"/>
            <w:vAlign w:val="bottom"/>
          </w:tcPr>
          <w:p>
            <w:pPr>
              <w:spacing w:after="0"/>
              <w:rPr>
                <w:sz w:val="10"/>
                <w:szCs w:val="10"/>
                <w:color w:val="auto"/>
              </w:rPr>
            </w:pPr>
          </w:p>
        </w:tc>
        <w:tc>
          <w:tcPr>
            <w:tcW w:w="1080" w:type="dxa"/>
            <w:vAlign w:val="bottom"/>
            <w:gridSpan w:val="2"/>
          </w:tcPr>
          <w:p>
            <w:pPr>
              <w:ind w:left="100"/>
              <w:spacing w:after="0" w:line="126" w:lineRule="exact"/>
              <w:rPr>
                <w:sz w:val="20"/>
                <w:szCs w:val="20"/>
                <w:color w:val="auto"/>
              </w:rPr>
            </w:pPr>
            <w:r>
              <w:rPr>
                <w:rFonts w:ascii="Arial" w:cs="Arial" w:eastAsia="Arial" w:hAnsi="Arial"/>
                <w:sz w:val="13"/>
                <w:szCs w:val="13"/>
                <w:b w:val="1"/>
                <w:bCs w:val="1"/>
                <w:color w:val="auto"/>
              </w:rPr>
              <w:t>Technical</w:t>
            </w:r>
          </w:p>
        </w:tc>
        <w:tc>
          <w:tcPr>
            <w:tcW w:w="260" w:type="dxa"/>
            <w:vAlign w:val="bottom"/>
          </w:tcPr>
          <w:p>
            <w:pPr>
              <w:spacing w:after="0"/>
              <w:rPr>
                <w:sz w:val="10"/>
                <w:szCs w:val="10"/>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Solutions</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68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DCE2EF"/>
          </w:tcPr>
          <w:p>
            <w:pPr>
              <w:spacing w:after="0"/>
              <w:rPr>
                <w:sz w:val="14"/>
                <w:szCs w:val="14"/>
                <w:color w:val="auto"/>
              </w:rPr>
            </w:pPr>
          </w:p>
        </w:tc>
        <w:tc>
          <w:tcPr>
            <w:tcW w:w="356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Major Service Line</w:t>
            </w:r>
          </w:p>
        </w:tc>
        <w:tc>
          <w:tcPr>
            <w:tcW w:w="300" w:type="dxa"/>
            <w:vAlign w:val="bottom"/>
            <w:shd w:val="clear" w:color="auto" w:fill="DCE2EF"/>
          </w:tcPr>
          <w:p>
            <w:pPr>
              <w:spacing w:after="0"/>
              <w:rPr>
                <w:sz w:val="14"/>
                <w:szCs w:val="14"/>
                <w:color w:val="auto"/>
              </w:rPr>
            </w:pPr>
          </w:p>
        </w:tc>
        <w:tc>
          <w:tcPr>
            <w:tcW w:w="900" w:type="dxa"/>
            <w:vAlign w:val="bottom"/>
            <w:shd w:val="clear" w:color="auto" w:fill="DCE2EF"/>
          </w:tcPr>
          <w:p>
            <w:pPr>
              <w:spacing w:after="0"/>
              <w:rPr>
                <w:sz w:val="14"/>
                <w:szCs w:val="14"/>
                <w:color w:val="auto"/>
              </w:rPr>
            </w:pPr>
          </w:p>
        </w:tc>
        <w:tc>
          <w:tcPr>
            <w:tcW w:w="80" w:type="dxa"/>
            <w:vAlign w:val="bottom"/>
            <w:shd w:val="clear" w:color="auto" w:fill="DCE2EF"/>
          </w:tcPr>
          <w:p>
            <w:pPr>
              <w:spacing w:after="0"/>
              <w:rPr>
                <w:sz w:val="14"/>
                <w:szCs w:val="14"/>
                <w:color w:val="auto"/>
              </w:rPr>
            </w:pPr>
          </w:p>
        </w:tc>
        <w:tc>
          <w:tcPr>
            <w:tcW w:w="28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180" w:type="dxa"/>
            <w:vAlign w:val="bottom"/>
            <w:shd w:val="clear" w:color="auto" w:fill="DCE2EF"/>
          </w:tcPr>
          <w:p>
            <w:pPr>
              <w:spacing w:after="0"/>
              <w:rPr>
                <w:sz w:val="14"/>
                <w:szCs w:val="14"/>
                <w:color w:val="auto"/>
              </w:rPr>
            </w:pPr>
          </w:p>
        </w:tc>
        <w:tc>
          <w:tcPr>
            <w:tcW w:w="100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20" w:type="dxa"/>
            <w:vAlign w:val="bottom"/>
            <w:shd w:val="clear" w:color="auto" w:fill="DCE2EF"/>
          </w:tcPr>
          <w:p>
            <w:pPr>
              <w:spacing w:after="0"/>
              <w:rPr>
                <w:sz w:val="14"/>
                <w:szCs w:val="14"/>
                <w:color w:val="auto"/>
              </w:rPr>
            </w:pPr>
          </w:p>
        </w:tc>
        <w:tc>
          <w:tcPr>
            <w:tcW w:w="9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00" w:type="dxa"/>
            <w:vAlign w:val="bottom"/>
            <w:shd w:val="clear" w:color="auto" w:fill="DCE2EF"/>
          </w:tcPr>
          <w:p>
            <w:pPr>
              <w:spacing w:after="0"/>
              <w:rPr>
                <w:sz w:val="14"/>
                <w:szCs w:val="14"/>
                <w:color w:val="auto"/>
              </w:rPr>
            </w:pPr>
          </w:p>
        </w:tc>
        <w:tc>
          <w:tcPr>
            <w:tcW w:w="98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60" w:type="dxa"/>
            <w:vAlign w:val="bottom"/>
            <w:shd w:val="clear" w:color="auto" w:fill="DCE2EF"/>
          </w:tcPr>
          <w:p>
            <w:pPr>
              <w:spacing w:after="0"/>
              <w:rPr>
                <w:sz w:val="14"/>
                <w:szCs w:val="14"/>
                <w:color w:val="auto"/>
              </w:rPr>
            </w:pPr>
          </w:p>
        </w:tc>
        <w:tc>
          <w:tcPr>
            <w:tcW w:w="92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Janitorial</w:t>
            </w:r>
            <w:r>
              <w:rPr>
                <w:rFonts w:ascii="Arial" w:cs="Arial" w:eastAsia="Arial" w:hAnsi="Arial"/>
                <w:sz w:val="17"/>
                <w:szCs w:val="17"/>
                <w:color w:val="auto"/>
                <w:vertAlign w:val="superscript"/>
              </w:rPr>
              <w:t>(1)</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687.0</w:t>
            </w:r>
          </w:p>
        </w:tc>
        <w:tc>
          <w:tcPr>
            <w:tcW w:w="80" w:type="dxa"/>
            <w:vAlign w:val="bottom"/>
          </w:tcPr>
          <w:p>
            <w:pPr>
              <w:spacing w:after="0"/>
              <w:rPr>
                <w:sz w:val="16"/>
                <w:szCs w:val="16"/>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329.3</w:t>
            </w:r>
          </w:p>
        </w:tc>
        <w:tc>
          <w:tcPr>
            <w:tcW w:w="2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6"/>
                <w:szCs w:val="16"/>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6"/>
                <w:szCs w:val="16"/>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1,239.9</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56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Parking</w:t>
            </w:r>
            <w:r>
              <w:rPr>
                <w:rFonts w:ascii="Arial" w:cs="Arial" w:eastAsia="Arial" w:hAnsi="Arial"/>
                <w:sz w:val="17"/>
                <w:szCs w:val="17"/>
                <w:color w:val="auto"/>
                <w:vertAlign w:val="superscript"/>
              </w:rPr>
              <w:t>(2)</w:t>
            </w:r>
          </w:p>
        </w:tc>
        <w:tc>
          <w:tcPr>
            <w:tcW w:w="300" w:type="dxa"/>
            <w:vAlign w:val="bottom"/>
            <w:shd w:val="clear" w:color="auto" w:fill="DCE2EF"/>
          </w:tcPr>
          <w:p>
            <w:pPr>
              <w:spacing w:after="0"/>
              <w:rPr>
                <w:sz w:val="16"/>
                <w:szCs w:val="16"/>
                <w:color w:val="auto"/>
              </w:rPr>
            </w:pPr>
          </w:p>
        </w:tc>
        <w:tc>
          <w:tcPr>
            <w:tcW w:w="900" w:type="dxa"/>
            <w:vAlign w:val="bottom"/>
            <w:shd w:val="clear" w:color="auto" w:fill="DCE2EF"/>
          </w:tcPr>
          <w:p>
            <w:pPr>
              <w:jc w:val="right"/>
              <w:ind w:right="12"/>
              <w:spacing w:after="0"/>
              <w:rPr>
                <w:sz w:val="20"/>
                <w:szCs w:val="20"/>
                <w:color w:val="auto"/>
              </w:rPr>
            </w:pPr>
            <w:r>
              <w:rPr>
                <w:rFonts w:ascii="Arial" w:cs="Arial" w:eastAsia="Arial" w:hAnsi="Arial"/>
                <w:sz w:val="14"/>
                <w:szCs w:val="14"/>
                <w:color w:val="auto"/>
              </w:rPr>
              <w:t>96.9</w:t>
            </w:r>
          </w:p>
        </w:tc>
        <w:tc>
          <w:tcPr>
            <w:tcW w:w="8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00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08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Facility Services</w:t>
            </w:r>
            <w:r>
              <w:rPr>
                <w:rFonts w:ascii="Arial" w:cs="Arial" w:eastAsia="Arial" w:hAnsi="Arial"/>
                <w:sz w:val="17"/>
                <w:szCs w:val="17"/>
                <w:color w:val="auto"/>
                <w:vertAlign w:val="superscript"/>
              </w:rPr>
              <w:t>(3)</w:t>
            </w:r>
          </w:p>
        </w:tc>
        <w:tc>
          <w:tcPr>
            <w:tcW w:w="30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252.6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89"/>
        </w:trPr>
        <w:tc>
          <w:tcPr>
            <w:tcW w:w="20" w:type="dxa"/>
            <w:vAlign w:val="bottom"/>
            <w:shd w:val="clear" w:color="auto" w:fill="DCE2EF"/>
          </w:tcPr>
          <w:p>
            <w:pPr>
              <w:spacing w:after="0"/>
              <w:rPr>
                <w:sz w:val="16"/>
                <w:szCs w:val="16"/>
                <w:color w:val="auto"/>
              </w:rPr>
            </w:pPr>
          </w:p>
        </w:tc>
        <w:tc>
          <w:tcPr>
            <w:tcW w:w="3560" w:type="dxa"/>
            <w:vAlign w:val="bottom"/>
            <w:gridSpan w:val="2"/>
            <w:shd w:val="clear" w:color="auto" w:fill="DCE2EF"/>
          </w:tcPr>
          <w:p>
            <w:pPr>
              <w:ind w:left="120"/>
              <w:spacing w:after="0" w:line="189" w:lineRule="exact"/>
              <w:rPr>
                <w:sz w:val="20"/>
                <w:szCs w:val="20"/>
                <w:color w:val="auto"/>
              </w:rPr>
            </w:pPr>
            <w:r>
              <w:rPr>
                <w:rFonts w:ascii="Arial" w:cs="Arial" w:eastAsia="Arial" w:hAnsi="Arial"/>
                <w:sz w:val="14"/>
                <w:szCs w:val="14"/>
                <w:color w:val="auto"/>
              </w:rPr>
              <w:t>Building &amp; Energy Solutions</w:t>
            </w:r>
            <w:r>
              <w:rPr>
                <w:rFonts w:ascii="Arial" w:cs="Arial" w:eastAsia="Arial" w:hAnsi="Arial"/>
                <w:sz w:val="17"/>
                <w:szCs w:val="17"/>
                <w:color w:val="auto"/>
                <w:vertAlign w:val="superscript"/>
              </w:rPr>
              <w:t>(4)</w:t>
            </w:r>
          </w:p>
        </w:tc>
        <w:tc>
          <w:tcPr>
            <w:tcW w:w="300" w:type="dxa"/>
            <w:vAlign w:val="bottom"/>
            <w:shd w:val="clear" w:color="auto" w:fill="DCE2EF"/>
          </w:tcPr>
          <w:p>
            <w:pPr>
              <w:spacing w:after="0"/>
              <w:rPr>
                <w:sz w:val="16"/>
                <w:szCs w:val="16"/>
                <w:color w:val="auto"/>
              </w:rPr>
            </w:pPr>
          </w:p>
        </w:tc>
        <w:tc>
          <w:tcPr>
            <w:tcW w:w="98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110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DCE2EF"/>
          </w:tcPr>
          <w:p>
            <w:pPr>
              <w:spacing w:after="0"/>
              <w:rPr>
                <w:sz w:val="16"/>
                <w:szCs w:val="16"/>
                <w:color w:val="auto"/>
              </w:rPr>
            </w:pPr>
          </w:p>
        </w:tc>
        <w:tc>
          <w:tcPr>
            <w:tcW w:w="1060" w:type="dxa"/>
            <w:vAlign w:val="bottom"/>
            <w:gridSpan w:val="2"/>
            <w:shd w:val="clear" w:color="auto" w:fill="DCE2E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CE2EF"/>
          </w:tcPr>
          <w:p>
            <w:pPr>
              <w:spacing w:after="0"/>
              <w:rPr>
                <w:sz w:val="16"/>
                <w:szCs w:val="16"/>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DCE2EF"/>
          </w:tcPr>
          <w:p>
            <w:pPr>
              <w:spacing w:after="0"/>
              <w:rPr>
                <w:sz w:val="16"/>
                <w:szCs w:val="16"/>
                <w:color w:val="auto"/>
              </w:rPr>
            </w:pPr>
          </w:p>
        </w:tc>
        <w:tc>
          <w:tcPr>
            <w:tcW w:w="260" w:type="dxa"/>
            <w:vAlign w:val="bottom"/>
            <w:shd w:val="clear" w:color="auto" w:fill="DCE2EF"/>
          </w:tcPr>
          <w:p>
            <w:pPr>
              <w:spacing w:after="0"/>
              <w:rPr>
                <w:sz w:val="16"/>
                <w:szCs w:val="16"/>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Airline Services</w:t>
            </w:r>
            <w:r>
              <w:rPr>
                <w:rFonts w:ascii="Arial" w:cs="Arial" w:eastAsia="Arial" w:hAnsi="Arial"/>
                <w:sz w:val="17"/>
                <w:szCs w:val="17"/>
                <w:color w:val="auto"/>
                <w:vertAlign w:val="superscript"/>
              </w:rPr>
              <w:t>(5)</w:t>
            </w:r>
          </w:p>
        </w:tc>
        <w:tc>
          <w:tcPr>
            <w:tcW w:w="3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08"/>
        </w:trPr>
        <w:tc>
          <w:tcPr>
            <w:tcW w:w="20" w:type="dxa"/>
            <w:vAlign w:val="bottom"/>
            <w:tcBorders>
              <w:top w:val="single" w:sz="8" w:color="DCE2EF"/>
              <w:bottom w:val="single" w:sz="8" w:color="DCE2EF"/>
            </w:tcBorders>
            <w:shd w:val="clear" w:color="auto" w:fill="DCE2EF"/>
          </w:tcPr>
          <w:p>
            <w:pPr>
              <w:spacing w:after="0"/>
              <w:rPr>
                <w:sz w:val="17"/>
                <w:szCs w:val="17"/>
                <w:color w:val="auto"/>
              </w:rPr>
            </w:pPr>
          </w:p>
        </w:tc>
        <w:tc>
          <w:tcPr>
            <w:tcW w:w="3560" w:type="dxa"/>
            <w:vAlign w:val="bottom"/>
            <w:tcBorders>
              <w:top w:val="single" w:sz="8" w:color="DCE2EF"/>
              <w:bottom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bottom w:val="single" w:sz="8" w:color="auto"/>
            </w:tcBorders>
            <w:shd w:val="clear" w:color="auto" w:fill="DCE2EF"/>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DCE2EF"/>
          </w:tcPr>
          <w:p>
            <w:pPr>
              <w:jc w:val="right"/>
              <w:ind w:right="12"/>
              <w:spacing w:after="0"/>
              <w:rPr>
                <w:sz w:val="20"/>
                <w:szCs w:val="20"/>
                <w:color w:val="auto"/>
              </w:rPr>
            </w:pPr>
            <w:r>
              <w:rPr>
                <w:rFonts w:ascii="Arial" w:cs="Arial" w:eastAsia="Arial" w:hAnsi="Arial"/>
                <w:sz w:val="14"/>
                <w:szCs w:val="14"/>
                <w:color w:val="auto"/>
              </w:rPr>
              <w:t>1,036.6</w:t>
            </w:r>
          </w:p>
        </w:tc>
        <w:tc>
          <w:tcPr>
            <w:tcW w:w="80" w:type="dxa"/>
            <w:vAlign w:val="bottom"/>
            <w:tcBorders>
              <w:top w:val="single" w:sz="8" w:color="DCE2EF"/>
              <w:bottom w:val="single" w:sz="8" w:color="DCE2EF"/>
            </w:tcBorders>
            <w:shd w:val="clear" w:color="auto" w:fill="DCE2EF"/>
          </w:tcPr>
          <w:p>
            <w:pPr>
              <w:spacing w:after="0"/>
              <w:rPr>
                <w:sz w:val="17"/>
                <w:szCs w:val="17"/>
                <w:color w:val="auto"/>
              </w:rPr>
            </w:pPr>
          </w:p>
        </w:tc>
        <w:tc>
          <w:tcPr>
            <w:tcW w:w="280" w:type="dxa"/>
            <w:vAlign w:val="bottom"/>
            <w:tcBorders>
              <w:top w:val="single" w:sz="8" w:color="auto"/>
              <w:bottom w:val="single" w:sz="8" w:color="auto"/>
            </w:tcBorders>
            <w:shd w:val="clear" w:color="auto" w:fill="DCE2EF"/>
          </w:tcPr>
          <w:p>
            <w:pPr>
              <w:jc w:val="right"/>
              <w:ind w:right="11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380.5</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180" w:type="dxa"/>
            <w:vAlign w:val="bottom"/>
            <w:tcBorders>
              <w:top w:val="single" w:sz="8" w:color="auto"/>
              <w:bottom w:val="single" w:sz="8" w:color="auto"/>
            </w:tcBorders>
            <w:shd w:val="clear" w:color="auto" w:fill="DCE2EF"/>
          </w:tcPr>
          <w:p>
            <w:pPr>
              <w:jc w:val="right"/>
              <w:ind w:right="3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20" w:type="dxa"/>
            <w:vAlign w:val="bottom"/>
            <w:tcBorders>
              <w:top w:val="single" w:sz="8" w:color="auto"/>
              <w:bottom w:val="single" w:sz="8" w:color="auto"/>
            </w:tcBorders>
            <w:shd w:val="clear" w:color="auto" w:fill="DCE2EF"/>
          </w:tcPr>
          <w:p>
            <w:pPr>
              <w:jc w:val="right"/>
              <w:ind w:right="7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212.3</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00" w:type="dxa"/>
            <w:vAlign w:val="bottom"/>
            <w:tcBorders>
              <w:top w:val="single" w:sz="8" w:color="auto"/>
              <w:bottom w:val="single" w:sz="8" w:color="auto"/>
            </w:tcBorders>
            <w:shd w:val="clear" w:color="auto" w:fill="DCE2EF"/>
          </w:tcPr>
          <w:p>
            <w:pPr>
              <w:jc w:val="right"/>
              <w:ind w:right="5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Borders>
              <w:top w:val="single" w:sz="8" w:color="DCE2EF"/>
              <w:bottom w:val="single" w:sz="8" w:color="DCE2EF"/>
            </w:tcBorders>
            <w:shd w:val="clear" w:color="auto" w:fill="DCE2EF"/>
          </w:tcPr>
          <w:p>
            <w:pPr>
              <w:spacing w:after="0"/>
              <w:rPr>
                <w:sz w:val="17"/>
                <w:szCs w:val="17"/>
                <w:color w:val="auto"/>
              </w:rPr>
            </w:pPr>
          </w:p>
        </w:tc>
        <w:tc>
          <w:tcPr>
            <w:tcW w:w="260" w:type="dxa"/>
            <w:vAlign w:val="bottom"/>
            <w:tcBorders>
              <w:top w:val="single" w:sz="8" w:color="auto"/>
              <w:bottom w:val="single" w:sz="8" w:color="auto"/>
            </w:tcBorders>
            <w:shd w:val="clear" w:color="auto" w:fill="DCE2EF"/>
          </w:tcPr>
          <w:p>
            <w:pPr>
              <w:jc w:val="right"/>
              <w:ind w:right="92"/>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1,991.3</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680" w:type="dxa"/>
            <w:vAlign w:val="bottom"/>
            <w:tcBorders>
              <w:top w:val="single" w:sz="8" w:color="DCE2EF"/>
            </w:tcBorders>
          </w:tcPr>
          <w:p>
            <w:pPr>
              <w:spacing w:after="0" w:line="20" w:lineRule="exact"/>
              <w:rPr>
                <w:sz w:val="1"/>
                <w:szCs w:val="1"/>
                <w:color w:val="auto"/>
              </w:rPr>
            </w:pPr>
          </w:p>
        </w:tc>
        <w:tc>
          <w:tcPr>
            <w:tcW w:w="2880" w:type="dxa"/>
            <w:vAlign w:val="bottom"/>
            <w:tcBorders>
              <w:top w:val="single" w:sz="8" w:color="DCE2EF"/>
            </w:tcBorders>
          </w:tcPr>
          <w:p>
            <w:pPr>
              <w:spacing w:after="0" w:line="20" w:lineRule="exact"/>
              <w:rPr>
                <w:sz w:val="1"/>
                <w:szCs w:val="1"/>
                <w:color w:val="auto"/>
              </w:rPr>
            </w:pPr>
          </w:p>
        </w:tc>
        <w:tc>
          <w:tcPr>
            <w:tcW w:w="30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8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0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00" w:type="dxa"/>
            <w:vAlign w:val="bottom"/>
            <w:tcBorders>
              <w:top w:val="single" w:sz="8" w:color="DCE2EF"/>
              <w:bottom w:val="single" w:sz="8" w:color="auto"/>
            </w:tcBorders>
          </w:tcPr>
          <w:p>
            <w:pPr>
              <w:spacing w:after="0" w:line="20" w:lineRule="exact"/>
              <w:rPr>
                <w:sz w:val="1"/>
                <w:szCs w:val="1"/>
                <w:color w:val="auto"/>
              </w:rPr>
            </w:pPr>
          </w:p>
        </w:tc>
        <w:tc>
          <w:tcPr>
            <w:tcW w:w="9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6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180" w:hanging="172"/>
        <w:spacing w:after="0" w:line="238" w:lineRule="auto"/>
        <w:tabs>
          <w:tab w:leader="none" w:pos="21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w:t>
      </w:r>
    </w:p>
    <w:p>
      <w:pPr>
        <w:spacing w:after="0" w:line="84" w:lineRule="exact"/>
        <w:rPr>
          <w:rFonts w:ascii="Arial" w:cs="Arial" w:eastAsia="Arial" w:hAnsi="Arial"/>
          <w:sz w:val="21"/>
          <w:szCs w:val="21"/>
          <w:color w:val="auto"/>
          <w:vertAlign w:val="superscript"/>
        </w:rPr>
      </w:pPr>
    </w:p>
    <w:p>
      <w:pPr>
        <w:jc w:val="both"/>
        <w:ind w:left="180" w:hanging="172"/>
        <w:spacing w:after="0" w:line="246" w:lineRule="auto"/>
        <w:tabs>
          <w:tab w:leader="none" w:pos="189"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service concession expense related to these arrangements is recorded as a reduction of the related parking service revenues.</w:t>
      </w:r>
    </w:p>
    <w:p>
      <w:pPr>
        <w:spacing w:after="0" w:line="78" w:lineRule="exact"/>
        <w:rPr>
          <w:rFonts w:ascii="Arial" w:cs="Arial" w:eastAsia="Arial" w:hAnsi="Arial"/>
          <w:sz w:val="21"/>
          <w:szCs w:val="21"/>
          <w:color w:val="auto"/>
          <w:vertAlign w:val="superscript"/>
        </w:rPr>
      </w:pPr>
    </w:p>
    <w:p>
      <w:pPr>
        <w:jc w:val="both"/>
        <w:ind w:left="180" w:hanging="172"/>
        <w:spacing w:after="0"/>
        <w:tabs>
          <w:tab w:leader="none" w:pos="214"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spacing w:after="0" w:line="97" w:lineRule="exact"/>
        <w:rPr>
          <w:rFonts w:ascii="Arial" w:cs="Arial" w:eastAsia="Arial" w:hAnsi="Arial"/>
          <w:sz w:val="21"/>
          <w:szCs w:val="21"/>
          <w:color w:val="auto"/>
          <w:vertAlign w:val="superscript"/>
        </w:rPr>
      </w:pPr>
    </w:p>
    <w:p>
      <w:pPr>
        <w:jc w:val="both"/>
        <w:ind w:left="180" w:hanging="172"/>
        <w:spacing w:after="0"/>
        <w:tabs>
          <w:tab w:leader="none" w:pos="189"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Building &amp; Energy Solutions arrangements provide custom energy solutions, including microgrid systems installation, electrical, HVAC, lighting, electric vehicle charging station installation, and other general maintenance and repair services for clients in the public and private sectors and are generally structured as Energy Savings, Fixed-Price Repair, and Refurbishment contracts. We also franchise certain operations under franchise agreements relating to our Linc Network and TEGG brands pursuant to franchise contracts.</w:t>
      </w:r>
    </w:p>
    <w:p>
      <w:pPr>
        <w:spacing w:after="0" w:line="84" w:lineRule="exact"/>
        <w:rPr>
          <w:rFonts w:ascii="Arial" w:cs="Arial" w:eastAsia="Arial" w:hAnsi="Arial"/>
          <w:sz w:val="21"/>
          <w:szCs w:val="21"/>
          <w:color w:val="auto"/>
          <w:vertAlign w:val="superscript"/>
        </w:rPr>
      </w:pPr>
    </w:p>
    <w:p>
      <w:pPr>
        <w:ind w:left="180" w:hanging="172"/>
        <w:spacing w:after="0" w:line="235" w:lineRule="auto"/>
        <w:tabs>
          <w:tab w:leader="none" w:pos="245"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46AD"/>
        </w:rPr>
        <w:t>Contract Types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have arrangements under various contract types, as described in Note 2, “Basis of Presentation and Significant Accounting Policies,” in our Annual Report on Form 10-K for the year ended October 31, 2023.</w:t>
      </w:r>
    </w:p>
    <w:p>
      <w:pPr>
        <w:spacing w:after="0" w:line="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as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our contracts include performance obligations that are primarily satisfied over time as we provide the related services. These contract types include: monthly fixed-price; square-foot; cost-plus; work orders; transaction-price; hourly; management reimbursement; leased location; allowance; energy savings contracts; and fixed-price repair and refurbishment contracts, as well as our franchise and royalty fee arrangements. We recognize revenue as the services are performed using a measure of progress that is determined by the contract type. Generally, most of our contracts are cancelable by either party without a substantive penalty, and the majority have a notification period of 30 to 90 days.</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Remaining Performance Obligations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January 31, 2024, performance obligations that were unsatisfied for which we expect to recognize revenue totaled $321.1 million. We expect to recognize revenue on approximately 71% of the remaining performance obligations over the next 12 months, with the remainder recognized thereafter, based on our estimates of project timing.</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For these contract types, we apply the practical expedient that permits exclusion of information about the remaining performance obligations with original expected durations of one year or less.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Contract Balances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w:t>
      </w:r>
    </w:p>
    <w:p>
      <w:pPr>
        <w:spacing w:after="0" w:line="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Commissions expense is recognized on a straight-line basis over a weighted average expected customer relationship period.</w:t>
      </w:r>
    </w:p>
    <w:p>
      <w:pPr>
        <w:spacing w:after="0" w:line="12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Contract liabilities consist of deferred revenue and advance payments and billings in excess of revenue recognized. We generally classify contract liabilities as current since the related contracts are generally for a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of one year or less. Contract liabilities decrease as we recognize revenue from the satisfaction of the related performance obligation.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2024</w:t>
            </w:r>
          </w:p>
        </w:tc>
        <w:tc>
          <w:tcPr>
            <w:tcW w:w="240" w:type="dxa"/>
            <w:vAlign w:val="bottom"/>
          </w:tcPr>
          <w:p>
            <w:pPr>
              <w:spacing w:after="0"/>
              <w:rPr>
                <w:sz w:val="19"/>
                <w:szCs w:val="19"/>
                <w:color w:val="auto"/>
              </w:rPr>
            </w:pPr>
          </w:p>
        </w:tc>
        <w:tc>
          <w:tcPr>
            <w:tcW w:w="1980" w:type="dxa"/>
            <w:vAlign w:val="bottom"/>
          </w:tcPr>
          <w:p>
            <w:pPr>
              <w:jc w:val="right"/>
              <w:ind w:right="317"/>
              <w:spacing w:after="0"/>
              <w:rPr>
                <w:sz w:val="20"/>
                <w:szCs w:val="20"/>
                <w:color w:val="auto"/>
              </w:rPr>
            </w:pPr>
            <w:r>
              <w:rPr>
                <w:rFonts w:ascii="Arial" w:cs="Arial" w:eastAsia="Arial" w:hAnsi="Arial"/>
                <w:sz w:val="18"/>
                <w:szCs w:val="18"/>
                <w:b w:val="1"/>
                <w:bCs w:val="1"/>
                <w:color w:val="auto"/>
              </w:rPr>
              <w:t>October 31, 2023</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594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DCE2EF"/>
          </w:tcPr>
          <w:p>
            <w:pPr>
              <w:spacing w:after="0"/>
              <w:rPr>
                <w:sz w:val="17"/>
                <w:szCs w:val="17"/>
                <w:color w:val="auto"/>
              </w:rPr>
            </w:pPr>
          </w:p>
        </w:tc>
        <w:tc>
          <w:tcPr>
            <w:tcW w:w="666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Contract assets</w:t>
            </w:r>
          </w:p>
        </w:tc>
        <w:tc>
          <w:tcPr>
            <w:tcW w:w="240" w:type="dxa"/>
            <w:vAlign w:val="bottom"/>
            <w:shd w:val="clear" w:color="auto" w:fill="DCE2EF"/>
          </w:tcPr>
          <w:p>
            <w:pPr>
              <w:spacing w:after="0"/>
              <w:rPr>
                <w:sz w:val="17"/>
                <w:szCs w:val="17"/>
                <w:color w:val="auto"/>
              </w:rPr>
            </w:pPr>
          </w:p>
        </w:tc>
        <w:tc>
          <w:tcPr>
            <w:tcW w:w="19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1980" w:type="dxa"/>
            <w:vAlign w:val="bottom"/>
            <w:shd w:val="clear" w:color="auto" w:fill="DCE2E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Billed trade receivables</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1,235.0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1,219.6</w:t>
            </w:r>
          </w:p>
        </w:tc>
      </w:tr>
      <w:tr>
        <w:trPr>
          <w:trHeight w:val="216"/>
        </w:trPr>
        <w:tc>
          <w:tcPr>
            <w:tcW w:w="20" w:type="dxa"/>
            <w:vAlign w:val="bottom"/>
            <w:shd w:val="clear" w:color="auto" w:fill="DCE2EF"/>
          </w:tcPr>
          <w:p>
            <w:pPr>
              <w:spacing w:after="0"/>
              <w:rPr>
                <w:sz w:val="18"/>
                <w:szCs w:val="18"/>
                <w:color w:val="auto"/>
              </w:rPr>
            </w:pPr>
          </w:p>
        </w:tc>
        <w:tc>
          <w:tcPr>
            <w:tcW w:w="6660" w:type="dxa"/>
            <w:vAlign w:val="bottom"/>
            <w:gridSpan w:val="2"/>
            <w:shd w:val="clear" w:color="auto" w:fill="DCE2EF"/>
          </w:tcPr>
          <w:p>
            <w:pPr>
              <w:ind w:left="200"/>
              <w:spacing w:after="0" w:line="216" w:lineRule="exact"/>
              <w:rPr>
                <w:sz w:val="20"/>
                <w:szCs w:val="20"/>
                <w:color w:val="auto"/>
              </w:rPr>
            </w:pPr>
            <w:r>
              <w:rPr>
                <w:rFonts w:ascii="Arial" w:cs="Arial" w:eastAsia="Arial" w:hAnsi="Arial"/>
                <w:sz w:val="16"/>
                <w:szCs w:val="16"/>
                <w:color w:val="auto"/>
              </w:rPr>
              <w:t>Unbilled trade receivables</w:t>
            </w:r>
            <w:r>
              <w:rPr>
                <w:rFonts w:ascii="Arial" w:cs="Arial" w:eastAsia="Arial" w:hAnsi="Arial"/>
                <w:sz w:val="21"/>
                <w:szCs w:val="21"/>
                <w:color w:val="auto"/>
                <w:vertAlign w:val="superscript"/>
              </w:rPr>
              <w:t>(1)</w:t>
            </w: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174.4</w:t>
            </w:r>
          </w:p>
        </w:tc>
        <w:tc>
          <w:tcPr>
            <w:tcW w:w="1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170.4</w:t>
            </w: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Costs incurred in excess of amounts billed</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139.2</w:t>
            </w:r>
          </w:p>
        </w:tc>
      </w:tr>
      <w:tr>
        <w:trPr>
          <w:trHeight w:val="216"/>
        </w:trPr>
        <w:tc>
          <w:tcPr>
            <w:tcW w:w="20" w:type="dxa"/>
            <w:vAlign w:val="bottom"/>
            <w:shd w:val="clear" w:color="auto" w:fill="DCE2EF"/>
          </w:tcPr>
          <w:p>
            <w:pPr>
              <w:spacing w:after="0"/>
              <w:rPr>
                <w:sz w:val="18"/>
                <w:szCs w:val="18"/>
                <w:color w:val="auto"/>
              </w:rPr>
            </w:pPr>
          </w:p>
        </w:tc>
        <w:tc>
          <w:tcPr>
            <w:tcW w:w="6660" w:type="dxa"/>
            <w:vAlign w:val="bottom"/>
            <w:gridSpan w:val="2"/>
            <w:shd w:val="clear" w:color="auto" w:fill="DCE2EF"/>
          </w:tcPr>
          <w:p>
            <w:pPr>
              <w:ind w:left="200"/>
              <w:spacing w:after="0" w:line="216" w:lineRule="exact"/>
              <w:rPr>
                <w:sz w:val="20"/>
                <w:szCs w:val="20"/>
                <w:color w:val="auto"/>
              </w:rPr>
            </w:pPr>
            <w:r>
              <w:rPr>
                <w:rFonts w:ascii="Arial" w:cs="Arial" w:eastAsia="Arial" w:hAnsi="Arial"/>
                <w:sz w:val="16"/>
                <w:szCs w:val="16"/>
                <w:color w:val="auto"/>
              </w:rPr>
              <w:t>Capitalized commissions</w:t>
            </w:r>
            <w:r>
              <w:rPr>
                <w:rFonts w:ascii="Arial" w:cs="Arial" w:eastAsia="Arial" w:hAnsi="Arial"/>
                <w:sz w:val="21"/>
                <w:szCs w:val="21"/>
                <w:color w:val="auto"/>
                <w:vertAlign w:val="superscript"/>
              </w:rPr>
              <w:t>(3)</w:t>
            </w: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DCE2EF"/>
          </w:tcPr>
          <w:p>
            <w:pPr>
              <w:spacing w:after="0"/>
              <w:rPr>
                <w:sz w:val="18"/>
                <w:szCs w:val="18"/>
                <w:color w:val="auto"/>
              </w:rPr>
            </w:pPr>
          </w:p>
        </w:tc>
        <w:tc>
          <w:tcPr>
            <w:tcW w:w="240" w:type="dxa"/>
            <w:vAlign w:val="bottom"/>
            <w:shd w:val="clear" w:color="auto" w:fill="DCE2EF"/>
          </w:tcPr>
          <w:p>
            <w:pPr>
              <w:spacing w:after="0"/>
              <w:rPr>
                <w:sz w:val="18"/>
                <w:szCs w:val="18"/>
                <w:color w:val="auto"/>
              </w:rPr>
            </w:pPr>
          </w:p>
        </w:tc>
        <w:tc>
          <w:tcPr>
            <w:tcW w:w="19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30.2</w:t>
            </w:r>
          </w:p>
        </w:tc>
      </w:tr>
    </w:tbl>
    <w:p>
      <w:pPr>
        <w:spacing w:after="0" w:line="296" w:lineRule="exact"/>
        <w:rPr>
          <w:sz w:val="20"/>
          <w:szCs w:val="20"/>
          <w:color w:val="auto"/>
        </w:rPr>
      </w:pPr>
    </w:p>
    <w:p>
      <w:pPr>
        <w:ind w:left="180" w:right="20" w:hanging="172"/>
        <w:spacing w:after="0" w:line="227" w:lineRule="auto"/>
        <w:tabs>
          <w:tab w:leader="none" w:pos="20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Included in “Trade accounts receivable, net,” on the unaudited Consolidated Balance Sheets. The fluctuations correlate directly to the execution of new customer contracts and to invoicing and collections from customers in the normal course of business.</w:t>
      </w:r>
    </w:p>
    <w:p>
      <w:pPr>
        <w:spacing w:after="0" w:line="5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Fluctuation is primarily due to the timing of payments on our contracts measured using the cost-to-cost method of revenue recognition.</w:t>
      </w:r>
    </w:p>
    <w:p>
      <w:pPr>
        <w:spacing w:after="0" w:line="95" w:lineRule="exact"/>
        <w:rPr>
          <w:rFonts w:ascii="Arial" w:cs="Arial" w:eastAsia="Arial" w:hAnsi="Arial"/>
          <w:sz w:val="21"/>
          <w:szCs w:val="21"/>
          <w:color w:val="auto"/>
          <w:vertAlign w:val="superscript"/>
        </w:rPr>
      </w:pPr>
    </w:p>
    <w:p>
      <w:pPr>
        <w:jc w:val="both"/>
        <w:ind w:left="180" w:hanging="172"/>
        <w:spacing w:after="0" w:line="238" w:lineRule="auto"/>
        <w:tabs>
          <w:tab w:leader="none" w:pos="20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Included in “Other current assets” and “Other noncurrent assets” on the unaudited Consolidated Balance Sheets. During the three months ended January 31, 2024, we capitalized $4.2 million of new costs and amortized $3.8 million of previously capitalized costs. There was no impairment loss recorded on the costs capitalized.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r>
      <w:tr>
        <w:trPr>
          <w:trHeight w:val="162"/>
        </w:trPr>
        <w:tc>
          <w:tcPr>
            <w:tcW w:w="20" w:type="dxa"/>
            <w:vAlign w:val="bottom"/>
          </w:tcPr>
          <w:p>
            <w:pPr>
              <w:spacing w:after="0"/>
              <w:rPr>
                <w:sz w:val="14"/>
                <w:szCs w:val="14"/>
                <w:color w:val="auto"/>
              </w:rPr>
            </w:pPr>
          </w:p>
        </w:tc>
        <w:tc>
          <w:tcPr>
            <w:tcW w:w="8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2160" w:type="dxa"/>
            <w:vAlign w:val="bottom"/>
          </w:tcPr>
          <w:p>
            <w:pPr>
              <w:jc w:val="right"/>
              <w:ind w:right="479"/>
              <w:spacing w:after="0" w:line="142" w:lineRule="exact"/>
              <w:rPr>
                <w:sz w:val="20"/>
                <w:szCs w:val="20"/>
                <w:color w:val="auto"/>
              </w:rPr>
            </w:pPr>
            <w:r>
              <w:rPr>
                <w:rFonts w:ascii="Arial" w:cs="Arial" w:eastAsia="Arial" w:hAnsi="Arial"/>
                <w:sz w:val="16"/>
                <w:szCs w:val="16"/>
                <w:b w:val="1"/>
                <w:bCs w:val="1"/>
                <w:color w:val="auto"/>
              </w:rPr>
              <w:t>January 31, 2024</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8060" w:type="dxa"/>
            <w:vAlign w:val="bottom"/>
            <w:tcBorders>
              <w:bottom w:val="single" w:sz="8" w:color="DCE2E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DCE2EF"/>
          </w:tcPr>
          <w:p>
            <w:pPr>
              <w:spacing w:after="0"/>
              <w:rPr>
                <w:sz w:val="17"/>
                <w:szCs w:val="17"/>
                <w:color w:val="auto"/>
              </w:rPr>
            </w:pPr>
          </w:p>
        </w:tc>
        <w:tc>
          <w:tcPr>
            <w:tcW w:w="8780" w:type="dxa"/>
            <w:vAlign w:val="bottom"/>
            <w:gridSpan w:val="2"/>
            <w:shd w:val="clear" w:color="auto" w:fill="DCE2EF"/>
          </w:tcPr>
          <w:p>
            <w:pPr>
              <w:spacing w:after="0" w:line="196" w:lineRule="exact"/>
              <w:rPr>
                <w:sz w:val="20"/>
                <w:szCs w:val="20"/>
                <w:color w:val="auto"/>
              </w:rPr>
            </w:pPr>
            <w:r>
              <w:rPr>
                <w:rFonts w:ascii="Arial" w:cs="Arial" w:eastAsia="Arial" w:hAnsi="Arial"/>
                <w:sz w:val="16"/>
                <w:szCs w:val="16"/>
                <w:b w:val="1"/>
                <w:bCs w:val="1"/>
                <w:color w:val="auto"/>
              </w:rPr>
              <w:t>Contract liabilities</w:t>
            </w:r>
            <w:r>
              <w:rPr>
                <w:rFonts w:ascii="Arial" w:cs="Arial" w:eastAsia="Arial" w:hAnsi="Arial"/>
                <w:sz w:val="21"/>
                <w:szCs w:val="21"/>
                <w:color w:val="auto"/>
                <w:vertAlign w:val="superscript"/>
              </w:rPr>
              <w:t>(1)</w:t>
            </w:r>
          </w:p>
        </w:tc>
        <w:tc>
          <w:tcPr>
            <w:tcW w:w="280" w:type="dxa"/>
            <w:vAlign w:val="bottom"/>
            <w:shd w:val="clear" w:color="auto" w:fill="DCE2EF"/>
          </w:tcPr>
          <w:p>
            <w:pPr>
              <w:spacing w:after="0"/>
              <w:rPr>
                <w:sz w:val="17"/>
                <w:szCs w:val="17"/>
                <w:color w:val="auto"/>
              </w:rPr>
            </w:pPr>
          </w:p>
        </w:tc>
        <w:tc>
          <w:tcPr>
            <w:tcW w:w="2160" w:type="dxa"/>
            <w:vAlign w:val="bottom"/>
            <w:shd w:val="clear" w:color="auto" w:fill="DCE2E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780" w:type="dxa"/>
            <w:vAlign w:val="bottom"/>
            <w:gridSpan w:val="2"/>
          </w:tcPr>
          <w:p>
            <w:pPr>
              <w:ind w:left="20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141.2</w:t>
            </w:r>
          </w:p>
        </w:tc>
      </w:tr>
      <w:tr>
        <w:trPr>
          <w:trHeight w:val="217"/>
        </w:trPr>
        <w:tc>
          <w:tcPr>
            <w:tcW w:w="20" w:type="dxa"/>
            <w:vAlign w:val="bottom"/>
            <w:shd w:val="clear" w:color="auto" w:fill="DCE2EF"/>
          </w:tcPr>
          <w:p>
            <w:pPr>
              <w:spacing w:after="0"/>
              <w:rPr>
                <w:sz w:val="18"/>
                <w:szCs w:val="18"/>
                <w:color w:val="auto"/>
              </w:rPr>
            </w:pPr>
          </w:p>
        </w:tc>
        <w:tc>
          <w:tcPr>
            <w:tcW w:w="878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Additional contract liabilities</w:t>
            </w:r>
          </w:p>
        </w:tc>
        <w:tc>
          <w:tcPr>
            <w:tcW w:w="280" w:type="dxa"/>
            <w:vAlign w:val="bottom"/>
            <w:shd w:val="clear" w:color="auto" w:fill="DCE2EF"/>
          </w:tcPr>
          <w:p>
            <w:pPr>
              <w:spacing w:after="0"/>
              <w:rPr>
                <w:sz w:val="18"/>
                <w:szCs w:val="18"/>
                <w:color w:val="auto"/>
              </w:rPr>
            </w:pPr>
          </w:p>
        </w:tc>
        <w:tc>
          <w:tcPr>
            <w:tcW w:w="2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79.5</w:t>
            </w:r>
          </w:p>
        </w:tc>
      </w:tr>
      <w:tr>
        <w:trPr>
          <w:trHeight w:val="269"/>
        </w:trPr>
        <w:tc>
          <w:tcPr>
            <w:tcW w:w="20" w:type="dxa"/>
            <w:vAlign w:val="bottom"/>
            <w:tcBorders>
              <w:bottom w:val="single" w:sz="8" w:color="DCE2EF"/>
            </w:tcBorders>
          </w:tcPr>
          <w:p>
            <w:pPr>
              <w:spacing w:after="0"/>
              <w:rPr>
                <w:sz w:val="23"/>
                <w:szCs w:val="23"/>
                <w:color w:val="auto"/>
              </w:rPr>
            </w:pPr>
          </w:p>
        </w:tc>
        <w:tc>
          <w:tcPr>
            <w:tcW w:w="878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Recognition of deferred revenue</w:t>
            </w:r>
          </w:p>
        </w:tc>
        <w:tc>
          <w:tcPr>
            <w:tcW w:w="2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r>
      <w:tr>
        <w:trPr>
          <w:trHeight w:val="249"/>
        </w:trPr>
        <w:tc>
          <w:tcPr>
            <w:tcW w:w="20" w:type="dxa"/>
            <w:vAlign w:val="bottom"/>
            <w:tcBorders>
              <w:bottom w:val="single" w:sz="8" w:color="DCE2EF"/>
            </w:tcBorders>
            <w:shd w:val="clear" w:color="auto" w:fill="DCE2EF"/>
          </w:tcPr>
          <w:p>
            <w:pPr>
              <w:spacing w:after="0"/>
              <w:rPr>
                <w:sz w:val="21"/>
                <w:szCs w:val="21"/>
                <w:color w:val="auto"/>
              </w:rPr>
            </w:pPr>
          </w:p>
        </w:tc>
        <w:tc>
          <w:tcPr>
            <w:tcW w:w="878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166.5</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806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2160" w:type="dxa"/>
            <w:vAlign w:val="bottom"/>
            <w:tcBorders>
              <w:top w:val="single" w:sz="8" w:color="DCE2E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Included in “Other accrued liabilities” on the unaudited Consolidated Balance Sheets.</w:t>
      </w:r>
    </w:p>
    <w:p>
      <w:pPr>
        <w:spacing w:after="0" w:line="200" w:lineRule="exact"/>
        <w:rPr>
          <w:rFonts w:ascii="Arial" w:cs="Arial" w:eastAsia="Arial" w:hAnsi="Arial"/>
          <w:sz w:val="21"/>
          <w:szCs w:val="21"/>
          <w:color w:val="auto"/>
          <w:vertAlign w:val="superscript"/>
        </w:rPr>
      </w:pPr>
    </w:p>
    <w:p>
      <w:pPr>
        <w:spacing w:after="0" w:line="323"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 January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480" w:type="dxa"/>
            <w:vAlign w:val="bottom"/>
          </w:tcPr>
          <w:p>
            <w:pPr>
              <w:spacing w:after="0"/>
              <w:rPr>
                <w:sz w:val="14"/>
                <w:szCs w:val="14"/>
                <w:color w:val="auto"/>
              </w:rPr>
            </w:pPr>
          </w:p>
        </w:tc>
        <w:tc>
          <w:tcPr>
            <w:tcW w:w="1600" w:type="dxa"/>
            <w:vAlign w:val="bottom"/>
          </w:tcPr>
          <w:p>
            <w:pPr>
              <w:jc w:val="right"/>
              <w:ind w:right="779"/>
              <w:spacing w:after="0" w:line="169"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799"/>
              <w:spacing w:after="0" w:line="169"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540" w:type="dxa"/>
            <w:vAlign w:val="bottom"/>
            <w:tcBorders>
              <w:top w:val="single" w:sz="8" w:color="auto"/>
              <w:bottom w:val="single" w:sz="8" w:color="DCE2EF"/>
            </w:tcBorders>
          </w:tcPr>
          <w:p>
            <w:pPr>
              <w:spacing w:after="0" w:line="20" w:lineRule="exact"/>
              <w:rPr>
                <w:sz w:val="1"/>
                <w:szCs w:val="1"/>
                <w:color w:val="auto"/>
              </w:rPr>
            </w:pPr>
          </w:p>
        </w:tc>
        <w:tc>
          <w:tcPr>
            <w:tcW w:w="438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69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48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6920" w:type="dxa"/>
            <w:vAlign w:val="bottom"/>
            <w:gridSpan w:val="2"/>
            <w:shd w:val="clear" w:color="auto" w:fill="DCE2EF"/>
          </w:tcPr>
          <w:p>
            <w:pPr>
              <w:spacing w:after="0" w:line="162" w:lineRule="exact"/>
              <w:rPr>
                <w:sz w:val="20"/>
                <w:szCs w:val="20"/>
                <w:color w:val="auto"/>
              </w:rPr>
            </w:pPr>
            <w:r>
              <w:rPr>
                <w:rFonts w:ascii="Arial" w:cs="Arial" w:eastAsia="Arial" w:hAnsi="Arial"/>
                <w:sz w:val="16"/>
                <w:szCs w:val="16"/>
                <w:b w:val="1"/>
                <w:bCs w:val="1"/>
                <w:color w:val="auto"/>
              </w:rPr>
              <w:t>Weighted-average common and common</w:t>
            </w:r>
          </w:p>
        </w:tc>
        <w:tc>
          <w:tcPr>
            <w:tcW w:w="480" w:type="dxa"/>
            <w:vAlign w:val="bottom"/>
            <w:shd w:val="clear" w:color="auto" w:fill="DCE2EF"/>
          </w:tcPr>
          <w:p>
            <w:pPr>
              <w:spacing w:after="0"/>
              <w:rPr>
                <w:sz w:val="14"/>
                <w:szCs w:val="14"/>
                <w:color w:val="auto"/>
              </w:rPr>
            </w:pPr>
          </w:p>
        </w:tc>
        <w:tc>
          <w:tcPr>
            <w:tcW w:w="16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DCE2EF"/>
          </w:tcPr>
          <w:p>
            <w:pPr>
              <w:spacing w:after="0"/>
              <w:rPr>
                <w:sz w:val="14"/>
                <w:szCs w:val="14"/>
                <w:color w:val="auto"/>
              </w:rPr>
            </w:pPr>
          </w:p>
        </w:tc>
        <w:tc>
          <w:tcPr>
            <w:tcW w:w="480" w:type="dxa"/>
            <w:vAlign w:val="bottom"/>
            <w:shd w:val="clear" w:color="auto" w:fill="DCE2EF"/>
          </w:tcPr>
          <w:p>
            <w:pPr>
              <w:spacing w:after="0"/>
              <w:rPr>
                <w:sz w:val="14"/>
                <w:szCs w:val="14"/>
                <w:color w:val="auto"/>
              </w:rPr>
            </w:pPr>
          </w:p>
        </w:tc>
        <w:tc>
          <w:tcPr>
            <w:tcW w:w="16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6920" w:type="dxa"/>
            <w:vAlign w:val="bottom"/>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Basic</w:t>
            </w:r>
          </w:p>
        </w:tc>
        <w:tc>
          <w:tcPr>
            <w:tcW w:w="480" w:type="dxa"/>
            <w:vAlign w:val="bottom"/>
            <w:shd w:val="clear" w:color="auto" w:fill="DCE2EF"/>
          </w:tcPr>
          <w:p>
            <w:pPr>
              <w:spacing w:after="0"/>
              <w:rPr>
                <w:sz w:val="18"/>
                <w:szCs w:val="18"/>
                <w:color w:val="auto"/>
              </w:rPr>
            </w:pPr>
          </w:p>
        </w:tc>
        <w:tc>
          <w:tcPr>
            <w:tcW w:w="1600" w:type="dxa"/>
            <w:vAlign w:val="bottom"/>
            <w:vMerge w:val="continue"/>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62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Effect of dilutive securities</w:t>
            </w:r>
            <w:r>
              <w:rPr>
                <w:rFonts w:ascii="Arial" w:cs="Arial" w:eastAsia="Arial" w:hAnsi="Arial"/>
                <w:sz w:val="21"/>
                <w:szCs w:val="21"/>
                <w:color w:val="auto"/>
                <w:vertAlign w:val="superscript"/>
              </w:rPr>
              <w:t>(1)</w:t>
            </w: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69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Restricted stock units</w:t>
            </w:r>
          </w:p>
        </w:tc>
        <w:tc>
          <w:tcPr>
            <w:tcW w:w="480" w:type="dxa"/>
            <w:vAlign w:val="bottom"/>
            <w:shd w:val="clear" w:color="auto" w:fill="DCE2EF"/>
          </w:tcPr>
          <w:p>
            <w:pPr>
              <w:spacing w:after="0"/>
              <w:rPr>
                <w:sz w:val="18"/>
                <w:szCs w:val="18"/>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692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Performance shares</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DCE2E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3"/>
        </w:trPr>
        <w:tc>
          <w:tcPr>
            <w:tcW w:w="20" w:type="dxa"/>
            <w:vAlign w:val="bottom"/>
            <w:shd w:val="clear" w:color="auto" w:fill="DCE2EF"/>
          </w:tcPr>
          <w:p>
            <w:pPr>
              <w:spacing w:after="0"/>
              <w:rPr>
                <w:sz w:val="12"/>
                <w:szCs w:val="12"/>
                <w:color w:val="auto"/>
              </w:rPr>
            </w:pPr>
          </w:p>
        </w:tc>
        <w:tc>
          <w:tcPr>
            <w:tcW w:w="6920" w:type="dxa"/>
            <w:vAlign w:val="bottom"/>
            <w:gridSpan w:val="2"/>
            <w:shd w:val="clear" w:color="auto" w:fill="DCE2EF"/>
          </w:tcPr>
          <w:p>
            <w:pPr>
              <w:spacing w:after="0" w:line="143" w:lineRule="exact"/>
              <w:rPr>
                <w:sz w:val="20"/>
                <w:szCs w:val="20"/>
                <w:color w:val="auto"/>
              </w:rPr>
            </w:pPr>
            <w:r>
              <w:rPr>
                <w:rFonts w:ascii="Arial" w:cs="Arial" w:eastAsia="Arial" w:hAnsi="Arial"/>
                <w:sz w:val="16"/>
                <w:szCs w:val="16"/>
                <w:b w:val="1"/>
                <w:bCs w:val="1"/>
                <w:color w:val="auto"/>
              </w:rPr>
              <w:t>Weighted-average common and common</w:t>
            </w:r>
          </w:p>
        </w:tc>
        <w:tc>
          <w:tcPr>
            <w:tcW w:w="480" w:type="dxa"/>
            <w:vAlign w:val="bottom"/>
            <w:shd w:val="clear" w:color="auto" w:fill="DCE2EF"/>
          </w:tcPr>
          <w:p>
            <w:pPr>
              <w:spacing w:after="0"/>
              <w:rPr>
                <w:sz w:val="12"/>
                <w:szCs w:val="12"/>
                <w:color w:val="auto"/>
              </w:rPr>
            </w:pPr>
          </w:p>
        </w:tc>
        <w:tc>
          <w:tcPr>
            <w:tcW w:w="160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DCE2EF"/>
          </w:tcPr>
          <w:p>
            <w:pPr>
              <w:spacing w:after="0"/>
              <w:rPr>
                <w:sz w:val="12"/>
                <w:szCs w:val="12"/>
                <w:color w:val="auto"/>
              </w:rPr>
            </w:pPr>
          </w:p>
        </w:tc>
        <w:tc>
          <w:tcPr>
            <w:tcW w:w="480" w:type="dxa"/>
            <w:vAlign w:val="bottom"/>
            <w:shd w:val="clear" w:color="auto" w:fill="DCE2EF"/>
          </w:tcPr>
          <w:p>
            <w:pPr>
              <w:spacing w:after="0"/>
              <w:rPr>
                <w:sz w:val="12"/>
                <w:szCs w:val="12"/>
                <w:color w:val="auto"/>
              </w:rPr>
            </w:pPr>
          </w:p>
        </w:tc>
        <w:tc>
          <w:tcPr>
            <w:tcW w:w="1620" w:type="dxa"/>
            <w:vAlign w:val="bottom"/>
            <w:vMerge w:val="restart"/>
            <w:shd w:val="clear" w:color="auto" w:fill="DCE2E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9"/>
        </w:trPr>
        <w:tc>
          <w:tcPr>
            <w:tcW w:w="20" w:type="dxa"/>
            <w:vAlign w:val="bottom"/>
            <w:tcBorders>
              <w:bottom w:val="single" w:sz="8" w:color="DCE2EF"/>
            </w:tcBorders>
            <w:shd w:val="clear" w:color="auto" w:fill="DCE2EF"/>
          </w:tcPr>
          <w:p>
            <w:pPr>
              <w:spacing w:after="0"/>
              <w:rPr>
                <w:sz w:val="18"/>
                <w:szCs w:val="18"/>
                <w:color w:val="auto"/>
              </w:rPr>
            </w:pPr>
          </w:p>
        </w:tc>
        <w:tc>
          <w:tcPr>
            <w:tcW w:w="692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b w:val="1"/>
                <w:bCs w:val="1"/>
                <w:color w:val="auto"/>
              </w:rPr>
              <w:t>equivalent shares outstanding — Diluted</w:t>
            </w:r>
          </w:p>
        </w:tc>
        <w:tc>
          <w:tcPr>
            <w:tcW w:w="480" w:type="dxa"/>
            <w:vAlign w:val="bottom"/>
            <w:tcBorders>
              <w:bottom w:val="single" w:sz="8" w:color="auto"/>
            </w:tcBorders>
            <w:shd w:val="clear" w:color="auto" w:fill="DCE2EF"/>
          </w:tcPr>
          <w:p>
            <w:pPr>
              <w:spacing w:after="0"/>
              <w:rPr>
                <w:sz w:val="18"/>
                <w:szCs w:val="18"/>
                <w:color w:val="auto"/>
              </w:rPr>
            </w:pPr>
          </w:p>
        </w:tc>
        <w:tc>
          <w:tcPr>
            <w:tcW w:w="1600" w:type="dxa"/>
            <w:vAlign w:val="bottom"/>
            <w:tcBorders>
              <w:bottom w:val="single" w:sz="8" w:color="auto"/>
            </w:tcBorders>
            <w:vMerge w:val="continue"/>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1620" w:type="dxa"/>
            <w:vAlign w:val="bottom"/>
            <w:tcBorders>
              <w:bottom w:val="single" w:sz="8" w:color="auto"/>
            </w:tcBorders>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2540" w:type="dxa"/>
            <w:vAlign w:val="bottom"/>
            <w:tcBorders>
              <w:top w:val="single" w:sz="8" w:color="DCE2EF"/>
            </w:tcBorders>
          </w:tcPr>
          <w:p>
            <w:pPr>
              <w:spacing w:after="0" w:line="20" w:lineRule="exact"/>
              <w:rPr>
                <w:sz w:val="1"/>
                <w:szCs w:val="1"/>
                <w:color w:val="auto"/>
              </w:rPr>
            </w:pPr>
          </w:p>
        </w:tc>
        <w:tc>
          <w:tcPr>
            <w:tcW w:w="438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60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62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69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 per common share</w:t>
            </w:r>
          </w:p>
        </w:tc>
        <w:tc>
          <w:tcPr>
            <w:tcW w:w="480" w:type="dxa"/>
            <w:vAlign w:val="bottom"/>
            <w:shd w:val="clear" w:color="auto" w:fill="DCE2EF"/>
          </w:tcPr>
          <w:p>
            <w:pPr>
              <w:spacing w:after="0"/>
              <w:rPr>
                <w:sz w:val="18"/>
                <w:szCs w:val="18"/>
                <w:color w:val="auto"/>
              </w:rPr>
            </w:pPr>
          </w:p>
        </w:tc>
        <w:tc>
          <w:tcPr>
            <w:tcW w:w="160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62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69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48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DCE2EF"/>
          </w:tcPr>
          <w:p>
            <w:pPr>
              <w:spacing w:after="0"/>
              <w:rPr>
                <w:sz w:val="18"/>
                <w:szCs w:val="18"/>
                <w:color w:val="auto"/>
              </w:rPr>
            </w:pPr>
          </w:p>
        </w:tc>
        <w:tc>
          <w:tcPr>
            <w:tcW w:w="480" w:type="dxa"/>
            <w:vAlign w:val="bottom"/>
            <w:shd w:val="clear" w:color="auto" w:fill="DCE2EF"/>
          </w:tcPr>
          <w:p>
            <w:pPr>
              <w:jc w:val="right"/>
              <w:ind w:right="2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hanging="172"/>
        <w:spacing w:after="0" w:line="235" w:lineRule="auto"/>
        <w:tabs>
          <w:tab w:leader="none" w:pos="205"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Excludes the impact of potentially dilutive outstanding share-based securities that are excluded from the calculation of diluted loss per share in periods when we have a loss, as their inclusion would have an anti-dilutive effect. Such impact is included in the table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60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Three Months Ended January 31,</w:t>
            </w:r>
          </w:p>
        </w:tc>
      </w:tr>
      <w:tr>
        <w:trPr>
          <w:trHeight w:val="169"/>
        </w:trPr>
        <w:tc>
          <w:tcPr>
            <w:tcW w:w="20" w:type="dxa"/>
            <w:vAlign w:val="bottom"/>
          </w:tcPr>
          <w:p>
            <w:pPr>
              <w:spacing w:after="0"/>
              <w:rPr>
                <w:sz w:val="14"/>
                <w:szCs w:val="14"/>
                <w:color w:val="auto"/>
              </w:rPr>
            </w:pPr>
          </w:p>
        </w:tc>
        <w:tc>
          <w:tcPr>
            <w:tcW w:w="604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i w:val="1"/>
                <w:iCs w:val="1"/>
                <w:color w:val="auto"/>
              </w:rPr>
              <w:t>(in millions)</w:t>
            </w:r>
          </w:p>
        </w:tc>
        <w:tc>
          <w:tcPr>
            <w:tcW w:w="2420" w:type="dxa"/>
            <w:vAlign w:val="bottom"/>
          </w:tcPr>
          <w:p>
            <w:pPr>
              <w:ind w:left="1020"/>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080" w:type="dxa"/>
            <w:vAlign w:val="bottom"/>
          </w:tcPr>
          <w:p>
            <w:pPr>
              <w:jc w:val="right"/>
              <w:ind w:right="779"/>
              <w:spacing w:after="0" w:line="169" w:lineRule="exact"/>
              <w:rPr>
                <w:sz w:val="20"/>
                <w:szCs w:val="20"/>
                <w:color w:val="auto"/>
              </w:rPr>
            </w:pPr>
            <w:r>
              <w:rPr>
                <w:rFonts w:ascii="Arial" w:cs="Arial" w:eastAsia="Arial" w:hAnsi="Arial"/>
                <w:sz w:val="16"/>
                <w:szCs w:val="16"/>
                <w:b w:val="1"/>
                <w:bCs w:val="1"/>
                <w:color w:val="auto"/>
              </w:rPr>
              <w:t>2023</w:t>
            </w: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800" w:type="dxa"/>
            <w:vAlign w:val="bottom"/>
            <w:tcBorders>
              <w:top w:val="single" w:sz="8" w:color="auto"/>
              <w:bottom w:val="single" w:sz="8" w:color="DCE2EF"/>
            </w:tcBorders>
          </w:tcPr>
          <w:p>
            <w:pPr>
              <w:spacing w:after="0" w:line="20" w:lineRule="exact"/>
              <w:rPr>
                <w:sz w:val="1"/>
                <w:szCs w:val="1"/>
                <w:color w:val="auto"/>
              </w:rPr>
            </w:pPr>
          </w:p>
        </w:tc>
        <w:tc>
          <w:tcPr>
            <w:tcW w:w="5240" w:type="dxa"/>
            <w:vAlign w:val="bottom"/>
            <w:tcBorders>
              <w:bottom w:val="single" w:sz="8" w:color="DCE2E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60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Anti-dilutive</w:t>
            </w:r>
          </w:p>
        </w:tc>
        <w:tc>
          <w:tcPr>
            <w:tcW w:w="24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CE2EF"/>
          </w:tcPr>
          <w:p>
            <w:pPr>
              <w:spacing w:after="0"/>
              <w:rPr>
                <w:sz w:val="18"/>
                <w:szCs w:val="18"/>
                <w:color w:val="auto"/>
              </w:rPr>
            </w:pPr>
          </w:p>
        </w:tc>
        <w:tc>
          <w:tcPr>
            <w:tcW w:w="2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6"/>
                <w:szCs w:val="16"/>
                <w:color w:val="auto"/>
              </w:rPr>
            </w:pPr>
          </w:p>
        </w:tc>
        <w:tc>
          <w:tcPr>
            <w:tcW w:w="18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31, 2024</w:t>
            </w:r>
          </w:p>
        </w:tc>
        <w:tc>
          <w:tcPr>
            <w:tcW w:w="200" w:type="dxa"/>
            <w:vAlign w:val="bottom"/>
          </w:tcPr>
          <w:p>
            <w:pPr>
              <w:spacing w:after="0"/>
              <w:rPr>
                <w:sz w:val="16"/>
                <w:szCs w:val="16"/>
                <w:color w:val="auto"/>
              </w:rPr>
            </w:pPr>
          </w:p>
        </w:tc>
        <w:tc>
          <w:tcPr>
            <w:tcW w:w="17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October 31,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Hierarchy</w:t>
            </w:r>
          </w:p>
        </w:tc>
        <w:tc>
          <w:tcPr>
            <w:tcW w:w="2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860" w:type="dxa"/>
            <w:vAlign w:val="bottom"/>
            <w:tcBorders>
              <w:bottom w:val="single" w:sz="8" w:color="DCE2E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0" w:lineRule="exact"/>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5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6" w:lineRule="exact"/>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54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1,313.8</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6" w:lineRule="exact"/>
              <w:rPr>
                <w:sz w:val="20"/>
                <w:szCs w:val="20"/>
                <w:color w:val="auto"/>
              </w:rPr>
            </w:pPr>
            <w:r>
              <w:rPr>
                <w:rFonts w:ascii="Arial" w:cs="Arial" w:eastAsia="Arial" w:hAnsi="Arial"/>
                <w:sz w:val="16"/>
                <w:szCs w:val="16"/>
                <w:color w:val="auto"/>
              </w:rPr>
              <w:t>Interest rate swap assets</w:t>
            </w:r>
            <w:r>
              <w:rPr>
                <w:rFonts w:ascii="Arial" w:cs="Arial" w:eastAsia="Arial" w:hAnsi="Arial"/>
                <w:sz w:val="21"/>
                <w:szCs w:val="21"/>
                <w:color w:val="auto"/>
                <w:vertAlign w:val="superscript"/>
              </w:rPr>
              <w:t>(5)</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6"/>
                <w:szCs w:val="16"/>
                <w:color w:val="auto"/>
              </w:rPr>
              <w:t>Preferred equity investment</w:t>
            </w:r>
            <w:r>
              <w:rPr>
                <w:rFonts w:ascii="Arial" w:cs="Arial" w:eastAsia="Arial" w:hAnsi="Arial"/>
                <w:sz w:val="21"/>
                <w:szCs w:val="21"/>
                <w:color w:val="auto"/>
                <w:vertAlign w:val="superscript"/>
              </w:rPr>
              <w:t>(6)</w:t>
            </w:r>
          </w:p>
        </w:tc>
        <w:tc>
          <w:tcPr>
            <w:tcW w:w="154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680" w:type="dxa"/>
            <w:vAlign w:val="bottom"/>
            <w:gridSpan w:val="2"/>
            <w:shd w:val="clear" w:color="auto" w:fill="DCE2EF"/>
          </w:tcPr>
          <w:p>
            <w:pPr>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(7)</w:t>
            </w:r>
          </w:p>
        </w:tc>
        <w:tc>
          <w:tcPr>
            <w:tcW w:w="154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DCE2EF"/>
          </w:tcPr>
          <w:p>
            <w:pPr>
              <w:spacing w:after="0"/>
              <w:rPr>
                <w:sz w:val="18"/>
                <w:szCs w:val="18"/>
                <w:color w:val="auto"/>
              </w:rPr>
            </w:pPr>
          </w:p>
        </w:tc>
        <w:tc>
          <w:tcPr>
            <w:tcW w:w="200" w:type="dxa"/>
            <w:vAlign w:val="bottom"/>
            <w:shd w:val="clear" w:color="auto" w:fill="DCE2EF"/>
          </w:tcPr>
          <w:p>
            <w:pPr>
              <w:spacing w:after="0"/>
              <w:rPr>
                <w:sz w:val="18"/>
                <w:szCs w:val="18"/>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Cash and cash equivalents are stated at nominal value, which equals fair value.</w:t>
      </w:r>
    </w:p>
    <w:p>
      <w:pPr>
        <w:spacing w:after="0" w:line="103" w:lineRule="exact"/>
        <w:rPr>
          <w:rFonts w:ascii="Arial" w:cs="Arial" w:eastAsia="Arial" w:hAnsi="Arial"/>
          <w:sz w:val="18"/>
          <w:szCs w:val="18"/>
          <w:color w:val="auto"/>
          <w:vertAlign w:val="superscript"/>
        </w:rPr>
      </w:pPr>
    </w:p>
    <w:p>
      <w:pPr>
        <w:jc w:val="both"/>
        <w:ind w:left="180" w:hanging="172"/>
        <w:spacing w:after="0" w:line="233" w:lineRule="auto"/>
        <w:tabs>
          <w:tab w:leader="none" w:pos="209"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96" w:lineRule="exact"/>
        <w:rPr>
          <w:rFonts w:ascii="Arial" w:cs="Arial" w:eastAsia="Arial" w:hAnsi="Arial"/>
          <w:sz w:val="21"/>
          <w:szCs w:val="21"/>
          <w:color w:val="auto"/>
          <w:vertAlign w:val="superscript"/>
        </w:rPr>
      </w:pPr>
    </w:p>
    <w:p>
      <w:pPr>
        <w:jc w:val="both"/>
        <w:ind w:left="180" w:hanging="172"/>
        <w:spacing w:after="0" w:line="238" w:lineRule="auto"/>
        <w:tabs>
          <w:tab w:leader="none" w:pos="199"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84" w:lineRule="exact"/>
        <w:rPr>
          <w:rFonts w:ascii="Arial" w:cs="Arial" w:eastAsia="Arial" w:hAnsi="Arial"/>
          <w:sz w:val="21"/>
          <w:szCs w:val="21"/>
          <w:color w:val="auto"/>
          <w:vertAlign w:val="superscript"/>
        </w:rPr>
      </w:pPr>
    </w:p>
    <w:p>
      <w:pPr>
        <w:ind w:left="180" w:right="20" w:hanging="172"/>
        <w:spacing w:after="0" w:line="227" w:lineRule="auto"/>
        <w:tabs>
          <w:tab w:leader="none" w:pos="19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gross outstanding borrowings under our Amended Credit Facility. Due to variable interest rates, the carrying value of outstanding borrowings under this facility approximates the fair value. See Note 8, “Credit Facility,” for further information.</w:t>
      </w:r>
    </w:p>
    <w:p>
      <w:pPr>
        <w:spacing w:after="0" w:line="97" w:lineRule="exact"/>
        <w:rPr>
          <w:rFonts w:ascii="Arial" w:cs="Arial" w:eastAsia="Arial" w:hAnsi="Arial"/>
          <w:sz w:val="21"/>
          <w:szCs w:val="21"/>
          <w:color w:val="auto"/>
          <w:vertAlign w:val="superscript"/>
        </w:rPr>
      </w:pPr>
    </w:p>
    <w:p>
      <w:pPr>
        <w:jc w:val="both"/>
        <w:ind w:left="180" w:hanging="172"/>
        <w:spacing w:after="0" w:line="242" w:lineRule="auto"/>
        <w:tabs>
          <w:tab w:leader="none" w:pos="197"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Our interest rate swap assets and liabilities are included in “Other noncurrent assets” and “Other noncurrent liabilities,” respectively, on the accompanying unaudited Consolidated Balance Sheets. See Note 8, “Credit Facility,” for further information.</w:t>
      </w:r>
    </w:p>
    <w:p>
      <w:pPr>
        <w:spacing w:after="0" w:line="94" w:lineRule="exact"/>
        <w:rPr>
          <w:rFonts w:ascii="Arial" w:cs="Arial" w:eastAsia="Arial" w:hAnsi="Arial"/>
          <w:sz w:val="21"/>
          <w:szCs w:val="21"/>
          <w:color w:val="auto"/>
          <w:vertAlign w:val="superscript"/>
        </w:rPr>
      </w:pPr>
    </w:p>
    <w:p>
      <w:pPr>
        <w:ind w:left="180" w:hanging="172"/>
        <w:spacing w:after="0" w:line="227" w:lineRule="auto"/>
        <w:tabs>
          <w:tab w:leader="none" w:pos="199"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investments do not have a readily determinable fair value; therefore, we account for the investments using the measurement alternative under Topic 321 and measure the investments at initial cost plus or minus fair value adjustments if there are observable prices minus impairment, if any.</w:t>
      </w:r>
    </w:p>
    <w:p>
      <w:pPr>
        <w:spacing w:after="0" w:line="97" w:lineRule="exact"/>
        <w:rPr>
          <w:rFonts w:ascii="Arial" w:cs="Arial" w:eastAsia="Arial" w:hAnsi="Arial"/>
          <w:sz w:val="21"/>
          <w:szCs w:val="21"/>
          <w:color w:val="auto"/>
          <w:vertAlign w:val="superscript"/>
        </w:rPr>
      </w:pPr>
    </w:p>
    <w:p>
      <w:pPr>
        <w:jc w:val="both"/>
        <w:ind w:left="180" w:hanging="172"/>
        <w:spacing w:after="0" w:line="248" w:lineRule="auto"/>
        <w:tabs>
          <w:tab w:leader="none" w:pos="216"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contingent consideration payable related to the RavenVolt Acquisition is remeasured at each reporting date, based on significant inputs not observable in the market, which represents a Level 3 measurement within the fair value hierarchy.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the “Selling, general and administrative expenses” of the unaudited Consolidated Statements of Comprehensive Income. There was no material change in the fair value of the contingent consideration during the three months ended January 31, 2024</w:t>
      </w:r>
      <w:r>
        <w:rPr>
          <w:rFonts w:ascii="Arial" w:cs="Arial" w:eastAsia="Arial" w:hAnsi="Arial"/>
          <w:sz w:val="17"/>
          <w:szCs w:val="17"/>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then we would evaluate these non-financial assets for impairment. If an impairment were to occur, then the asset would be recorded at the estimated fair value,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$1.0 million to $5.0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 Performed During First Quarter 2024</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first quarter of 2024, we performed a comprehensive actuarial review of the majority of our casualty insurance programs to evaluate changes made to claims reserves and claims payment activity for the period of May 1, 2023, through October 31, 2023 (the “Actuarial Review”). The Actuarial Review was comprehensive in nature and was based on loss development patterns, trend assumptions, and underlying expected loss costs during the period analyzed.</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the results of the Actuarial Review, we increased our total reserves related to prior years for known claims as well as our estimate of the loss amounts associated with incurred but not reported claims (“IBNR claims”) by $5.3 million during the three months ended January 31, 2024. During the three months ended January 31, 2023, it was determined that there was no adjustment required for our total reserves related to prior years. We will continue to assess ongoing developments, which may result in further adjustments to reserves.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Insurance-Related Balances and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2024</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2023</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64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claim reserves, excluding medical and dental</w:t>
            </w: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598.3</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555.0</w:t>
            </w:r>
          </w:p>
        </w:tc>
      </w:tr>
      <w:tr>
        <w:trPr>
          <w:trHeight w:val="215"/>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Medical and dental claim reserves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Insurance recoverables</w:t>
            </w: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67.1</w:t>
            </w:r>
          </w:p>
        </w:tc>
      </w:tr>
    </w:tbl>
    <w:p>
      <w:pPr>
        <w:spacing w:after="0" w:line="2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At January 31, 2024, and October 31, 2023, insurance recoverables are included in both “Other current assets” and “Other noncurrent assets” on the accompanying unaudited Consolidated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2024</w:t>
            </w:r>
          </w:p>
        </w:tc>
        <w:tc>
          <w:tcPr>
            <w:tcW w:w="220" w:type="dxa"/>
            <w:vAlign w:val="bottom"/>
          </w:tcPr>
          <w:p>
            <w:pPr>
              <w:spacing w:after="0"/>
              <w:rPr>
                <w:sz w:val="16"/>
                <w:szCs w:val="16"/>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2023</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64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Standby letters of credit</w:t>
            </w:r>
          </w:p>
        </w:tc>
        <w:tc>
          <w:tcPr>
            <w:tcW w:w="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53.5</w:t>
            </w:r>
          </w:p>
        </w:tc>
      </w:tr>
      <w:tr>
        <w:trPr>
          <w:trHeight w:val="215"/>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Surety bonds and surety-backed letters of credit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216"/>
        </w:trPr>
        <w:tc>
          <w:tcPr>
            <w:tcW w:w="20" w:type="dxa"/>
            <w:vAlign w:val="bottom"/>
            <w:shd w:val="clear" w:color="auto" w:fill="DCE2EF"/>
          </w:tcPr>
          <w:p>
            <w:pPr>
              <w:spacing w:after="0"/>
              <w:rPr>
                <w:sz w:val="18"/>
                <w:szCs w:val="18"/>
                <w:color w:val="auto"/>
              </w:rPr>
            </w:pPr>
          </w:p>
        </w:tc>
        <w:tc>
          <w:tcPr>
            <w:tcW w:w="71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Restricted insurance deposits</w:t>
            </w: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31, 2024</w:t>
            </w:r>
          </w:p>
        </w:tc>
        <w:tc>
          <w:tcPr>
            <w:tcW w:w="220" w:type="dxa"/>
            <w:vAlign w:val="bottom"/>
          </w:tcPr>
          <w:p>
            <w:pPr>
              <w:spacing w:after="0"/>
              <w:rPr>
                <w:sz w:val="17"/>
                <w:szCs w:val="17"/>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2023</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644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DCE2EF"/>
          </w:tcPr>
          <w:p>
            <w:pPr>
              <w:spacing w:after="0"/>
              <w:rPr>
                <w:sz w:val="17"/>
                <w:szCs w:val="17"/>
                <w:color w:val="auto"/>
              </w:rPr>
            </w:pPr>
          </w:p>
        </w:tc>
        <w:tc>
          <w:tcPr>
            <w:tcW w:w="7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Current portion of debt</w:t>
            </w:r>
          </w:p>
        </w:tc>
        <w:tc>
          <w:tcPr>
            <w:tcW w:w="220" w:type="dxa"/>
            <w:vAlign w:val="bottom"/>
            <w:shd w:val="clear" w:color="auto" w:fill="DCE2EF"/>
          </w:tcPr>
          <w:p>
            <w:pPr>
              <w:spacing w:after="0"/>
              <w:rPr>
                <w:sz w:val="17"/>
                <w:szCs w:val="17"/>
                <w:color w:val="auto"/>
              </w:rPr>
            </w:pPr>
          </w:p>
        </w:tc>
        <w:tc>
          <w:tcPr>
            <w:tcW w:w="174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1760" w:type="dxa"/>
            <w:vAlign w:val="bottom"/>
            <w:shd w:val="clear" w:color="auto" w:fill="DCE2E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6"/>
                <w:szCs w:val="16"/>
                <w:color w:val="auto"/>
              </w:rPr>
              <w:t>Gross term loan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7"/>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Unamortized deferred financing costs</w:t>
            </w:r>
          </w:p>
        </w:tc>
        <w:tc>
          <w:tcPr>
            <w:tcW w:w="220" w:type="dxa"/>
            <w:vAlign w:val="bottom"/>
            <w:tcBorders>
              <w:bottom w:val="single" w:sz="8" w:color="auto"/>
            </w:tcBorders>
            <w:shd w:val="clear" w:color="auto" w:fill="DCE2EF"/>
          </w:tcPr>
          <w:p>
            <w:pPr>
              <w:spacing w:after="0"/>
              <w:rPr>
                <w:sz w:val="18"/>
                <w:szCs w:val="18"/>
                <w:color w:val="auto"/>
              </w:rPr>
            </w:pP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0" w:type="dxa"/>
            <w:vAlign w:val="bottom"/>
          </w:tcPr>
          <w:p>
            <w:pPr>
              <w:spacing w:after="0"/>
              <w:rPr>
                <w:sz w:val="18"/>
                <w:szCs w:val="18"/>
                <w:color w:val="auto"/>
              </w:rPr>
            </w:pPr>
          </w:p>
        </w:tc>
        <w:tc>
          <w:tcPr>
            <w:tcW w:w="7160" w:type="dxa"/>
            <w:vAlign w:val="bottom"/>
            <w:gridSpan w:val="2"/>
          </w:tcPr>
          <w:p>
            <w:pPr>
              <w:ind w:left="460"/>
              <w:spacing w:after="0"/>
              <w:rPr>
                <w:sz w:val="20"/>
                <w:szCs w:val="20"/>
                <w:color w:val="auto"/>
              </w:rPr>
            </w:pPr>
            <w:r>
              <w:rPr>
                <w:rFonts w:ascii="Arial" w:cs="Arial" w:eastAsia="Arial" w:hAnsi="Arial"/>
                <w:sz w:val="16"/>
                <w:szCs w:val="16"/>
                <w:color w:val="auto"/>
              </w:rPr>
              <w:t>Current portion of term loan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57"/>
        </w:trPr>
        <w:tc>
          <w:tcPr>
            <w:tcW w:w="20" w:type="dxa"/>
            <w:vAlign w:val="bottom"/>
            <w:shd w:val="clear" w:color="auto" w:fill="DCE2EF"/>
          </w:tcPr>
          <w:p>
            <w:pPr>
              <w:spacing w:after="0"/>
              <w:rPr>
                <w:sz w:val="22"/>
                <w:szCs w:val="22"/>
                <w:color w:val="auto"/>
              </w:rPr>
            </w:pPr>
          </w:p>
        </w:tc>
        <w:tc>
          <w:tcPr>
            <w:tcW w:w="720" w:type="dxa"/>
            <w:vAlign w:val="bottom"/>
            <w:shd w:val="clear" w:color="auto" w:fill="DCE2EF"/>
          </w:tcPr>
          <w:p>
            <w:pPr>
              <w:spacing w:after="0"/>
              <w:rPr>
                <w:sz w:val="22"/>
                <w:szCs w:val="22"/>
                <w:color w:val="auto"/>
              </w:rPr>
            </w:pPr>
          </w:p>
        </w:tc>
        <w:tc>
          <w:tcPr>
            <w:tcW w:w="644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7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760" w:type="dxa"/>
            <w:vAlign w:val="bottom"/>
            <w:shd w:val="clear" w:color="auto" w:fill="DCE2EF"/>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Gross term loan</w:t>
            </w: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528.1</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536.3</w:t>
            </w:r>
          </w:p>
        </w:tc>
      </w:tr>
      <w:tr>
        <w:trPr>
          <w:trHeight w:val="215"/>
        </w:trPr>
        <w:tc>
          <w:tcPr>
            <w:tcW w:w="20" w:type="dxa"/>
            <w:vAlign w:val="bottom"/>
            <w:tcBorders>
              <w:bottom w:val="single" w:sz="8" w:color="DCE2EF"/>
            </w:tcBorders>
          </w:tcPr>
          <w:p>
            <w:pPr>
              <w:spacing w:after="0"/>
              <w:rPr>
                <w:sz w:val="18"/>
                <w:szCs w:val="18"/>
                <w:color w:val="auto"/>
              </w:rPr>
            </w:pPr>
          </w:p>
        </w:tc>
        <w:tc>
          <w:tcPr>
            <w:tcW w:w="7160" w:type="dxa"/>
            <w:vAlign w:val="bottom"/>
            <w:tcBorders>
              <w:bottom w:val="single" w:sz="8" w:color="DCE2EF"/>
            </w:tcBorders>
            <w:gridSpan w:val="2"/>
          </w:tcPr>
          <w:p>
            <w:pPr>
              <w:ind w:left="200"/>
              <w:spacing w:after="0"/>
              <w:rPr>
                <w:sz w:val="20"/>
                <w:szCs w:val="20"/>
                <w:color w:val="auto"/>
              </w:rPr>
            </w:pPr>
            <w:r>
              <w:rPr>
                <w:rFonts w:ascii="Arial" w:cs="Arial" w:eastAsia="Arial" w:hAnsi="Arial"/>
                <w:sz w:val="16"/>
                <w:szCs w:val="16"/>
                <w:color w:val="auto"/>
              </w:rPr>
              <w:t>Unamortized deferred financing costs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20" w:type="dxa"/>
            <w:vAlign w:val="bottom"/>
            <w:shd w:val="clear" w:color="auto" w:fill="DCE2EF"/>
          </w:tcPr>
          <w:p>
            <w:pPr>
              <w:spacing w:after="0"/>
              <w:rPr>
                <w:sz w:val="18"/>
                <w:szCs w:val="18"/>
                <w:color w:val="auto"/>
              </w:rPr>
            </w:pPr>
          </w:p>
        </w:tc>
        <w:tc>
          <w:tcPr>
            <w:tcW w:w="7160" w:type="dxa"/>
            <w:vAlign w:val="bottom"/>
            <w:gridSpan w:val="2"/>
            <w:shd w:val="clear" w:color="auto" w:fill="DCE2EF"/>
          </w:tcPr>
          <w:p>
            <w:pPr>
              <w:ind w:left="460"/>
              <w:spacing w:after="0"/>
              <w:rPr>
                <w:sz w:val="20"/>
                <w:szCs w:val="20"/>
                <w:color w:val="auto"/>
              </w:rPr>
            </w:pPr>
            <w:r>
              <w:rPr>
                <w:rFonts w:ascii="Arial" w:cs="Arial" w:eastAsia="Arial" w:hAnsi="Arial"/>
                <w:sz w:val="16"/>
                <w:szCs w:val="16"/>
                <w:color w:val="auto"/>
              </w:rPr>
              <w:t>Total noncurrent portion of term loan</w:t>
            </w:r>
          </w:p>
        </w:tc>
        <w:tc>
          <w:tcPr>
            <w:tcW w:w="220" w:type="dxa"/>
            <w:vAlign w:val="bottom"/>
            <w:shd w:val="clear" w:color="auto" w:fill="DCE2EF"/>
          </w:tcPr>
          <w:p>
            <w:pPr>
              <w:spacing w:after="0"/>
              <w:rPr>
                <w:sz w:val="18"/>
                <w:szCs w:val="18"/>
                <w:color w:val="auto"/>
              </w:rPr>
            </w:pPr>
          </w:p>
        </w:tc>
        <w:tc>
          <w:tcPr>
            <w:tcW w:w="17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526.9</w:t>
            </w:r>
          </w:p>
        </w:tc>
        <w:tc>
          <w:tcPr>
            <w:tcW w:w="1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7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534.8</w:t>
            </w:r>
          </w:p>
        </w:tc>
      </w:tr>
      <w:tr>
        <w:trPr>
          <w:trHeight w:val="216"/>
        </w:trPr>
        <w:tc>
          <w:tcPr>
            <w:tcW w:w="20" w:type="dxa"/>
            <w:vAlign w:val="bottom"/>
            <w:tcBorders>
              <w:bottom w:val="single" w:sz="8" w:color="DCE2EF"/>
            </w:tcBorders>
          </w:tcPr>
          <w:p>
            <w:pPr>
              <w:spacing w:after="0"/>
              <w:rPr>
                <w:sz w:val="18"/>
                <w:szCs w:val="18"/>
                <w:color w:val="auto"/>
              </w:rPr>
            </w:pPr>
          </w:p>
        </w:tc>
        <w:tc>
          <w:tcPr>
            <w:tcW w:w="7160" w:type="dxa"/>
            <w:vAlign w:val="bottom"/>
            <w:tcBorders>
              <w:bottom w:val="single" w:sz="8" w:color="DCE2EF"/>
            </w:tcBorders>
            <w:gridSpan w:val="2"/>
          </w:tcPr>
          <w:p>
            <w:pPr>
              <w:ind w:left="200"/>
              <w:spacing w:after="0" w:line="216" w:lineRule="exact"/>
              <w:rPr>
                <w:sz w:val="20"/>
                <w:szCs w:val="20"/>
                <w:color w:val="auto"/>
              </w:rPr>
            </w:pPr>
            <w:r>
              <w:rPr>
                <w:rFonts w:ascii="Arial" w:cs="Arial" w:eastAsia="Arial" w:hAnsi="Arial"/>
                <w:sz w:val="16"/>
                <w:szCs w:val="16"/>
                <w:color w:val="auto"/>
              </w:rPr>
              <w:t>Revolving line of credit</w:t>
            </w:r>
            <w:r>
              <w:rPr>
                <w:rFonts w:ascii="Arial" w:cs="Arial" w:eastAsia="Arial" w:hAnsi="Arial"/>
                <w:sz w:val="21"/>
                <w:szCs w:val="21"/>
                <w:color w:val="auto"/>
                <w:vertAlign w:val="superscript"/>
              </w:rPr>
              <w:t>(1)(2)</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Borders>
              <w:bottom w:val="single" w:sz="8" w:color="DCE2E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w:t>
            </w:r>
          </w:p>
        </w:tc>
      </w:tr>
      <w:tr>
        <w:trPr>
          <w:trHeight w:val="235"/>
        </w:trPr>
        <w:tc>
          <w:tcPr>
            <w:tcW w:w="20" w:type="dxa"/>
            <w:vAlign w:val="bottom"/>
            <w:tcBorders>
              <w:bottom w:val="single" w:sz="8" w:color="DCE2EF"/>
            </w:tcBorders>
            <w:shd w:val="clear" w:color="auto" w:fill="DCE2EF"/>
          </w:tcPr>
          <w:p>
            <w:pPr>
              <w:spacing w:after="0"/>
              <w:rPr>
                <w:sz w:val="19"/>
                <w:szCs w:val="19"/>
                <w:color w:val="auto"/>
              </w:rPr>
            </w:pPr>
          </w:p>
        </w:tc>
        <w:tc>
          <w:tcPr>
            <w:tcW w:w="716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1,296.9</w:t>
            </w:r>
          </w:p>
        </w:tc>
        <w:tc>
          <w:tcPr>
            <w:tcW w:w="120" w:type="dxa"/>
            <w:vAlign w:val="bottom"/>
            <w:tcBorders>
              <w:bottom w:val="single" w:sz="8" w:color="DCE2EF"/>
            </w:tcBorders>
            <w:shd w:val="clear" w:color="auto" w:fill="DCE2EF"/>
          </w:tcPr>
          <w:p>
            <w:pPr>
              <w:spacing w:after="0"/>
              <w:rPr>
                <w:sz w:val="19"/>
                <w:szCs w:val="19"/>
                <w:color w:val="auto"/>
              </w:rPr>
            </w:pP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1,279.8</w:t>
            </w:r>
          </w:p>
        </w:tc>
      </w:tr>
      <w:tr>
        <w:trPr>
          <w:trHeight w:val="20"/>
        </w:trPr>
        <w:tc>
          <w:tcPr>
            <w:tcW w:w="20" w:type="dxa"/>
            <w:vAlign w:val="bottom"/>
            <w:tcBorders>
              <w:top w:val="single" w:sz="8" w:color="DCE2EF"/>
            </w:tcBorders>
          </w:tcPr>
          <w:p>
            <w:pPr>
              <w:spacing w:after="0" w:line="20" w:lineRule="exact"/>
              <w:rPr>
                <w:sz w:val="1"/>
                <w:szCs w:val="1"/>
                <w:color w:val="auto"/>
              </w:rPr>
            </w:pPr>
          </w:p>
        </w:tc>
        <w:tc>
          <w:tcPr>
            <w:tcW w:w="720" w:type="dxa"/>
            <w:vAlign w:val="bottom"/>
            <w:tcBorders>
              <w:top w:val="single" w:sz="8" w:color="DCE2EF"/>
            </w:tcBorders>
          </w:tcPr>
          <w:p>
            <w:pPr>
              <w:spacing w:after="0" w:line="20" w:lineRule="exact"/>
              <w:rPr>
                <w:sz w:val="1"/>
                <w:szCs w:val="1"/>
                <w:color w:val="auto"/>
              </w:rPr>
            </w:pPr>
          </w:p>
        </w:tc>
        <w:tc>
          <w:tcPr>
            <w:tcW w:w="644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74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220" w:type="dxa"/>
            <w:vAlign w:val="bottom"/>
            <w:tcBorders>
              <w:top w:val="single" w:sz="8" w:color="DCE2EF"/>
              <w:bottom w:val="single" w:sz="8" w:color="auto"/>
            </w:tcBorders>
          </w:tcPr>
          <w:p>
            <w:pPr>
              <w:spacing w:after="0" w:line="20" w:lineRule="exact"/>
              <w:rPr>
                <w:sz w:val="1"/>
                <w:szCs w:val="1"/>
                <w:color w:val="auto"/>
              </w:rPr>
            </w:pPr>
          </w:p>
        </w:tc>
        <w:tc>
          <w:tcPr>
            <w:tcW w:w="1760" w:type="dxa"/>
            <w:vAlign w:val="bottom"/>
            <w:tcBorders>
              <w:top w:val="single" w:sz="8" w:color="DCE2E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Standby letters of credit amounted to $58.2 million at January 31, 2024.</w:t>
      </w:r>
    </w:p>
    <w:p>
      <w:pPr>
        <w:spacing w:after="0" w:line="70" w:lineRule="exact"/>
        <w:rPr>
          <w:rFonts w:ascii="Arial" w:cs="Arial" w:eastAsia="Arial" w:hAnsi="Arial"/>
          <w:sz w:val="21"/>
          <w:szCs w:val="21"/>
          <w:color w:val="auto"/>
          <w:vertAlign w:val="superscript"/>
        </w:rPr>
      </w:pPr>
    </w:p>
    <w:p>
      <w:pPr>
        <w:ind w:left="180" w:hanging="172"/>
        <w:spacing w:after="0" w:line="238"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At January 31, 2024, we had borrowing capacity of $449.8 million.</w:t>
      </w:r>
    </w:p>
    <w:p>
      <w:pPr>
        <w:spacing w:after="0" w:line="82" w:lineRule="exact"/>
        <w:rPr>
          <w:sz w:val="20"/>
          <w:szCs w:val="20"/>
          <w:color w:val="auto"/>
        </w:rPr>
      </w:pPr>
    </w:p>
    <w:p>
      <w:pPr>
        <w:jc w:val="both"/>
        <w:ind w:left="180" w:hanging="161"/>
        <w:spacing w:after="0" w:line="286" w:lineRule="auto"/>
        <w:rPr>
          <w:sz w:val="20"/>
          <w:szCs w:val="20"/>
          <w:color w:val="auto"/>
        </w:rPr>
      </w:pPr>
      <w:r>
        <w:rPr>
          <w:rFonts w:ascii="Arial" w:cs="Arial" w:eastAsia="Arial" w:hAnsi="Arial"/>
          <w:sz w:val="16"/>
          <w:szCs w:val="16"/>
          <w:color w:val="auto"/>
        </w:rPr>
        <w:t>At January 31, 2024, and October 31, 2023, the weighted average interest rate on all outstanding borrowings, not including letters of credit and swaps, was 7.20% and 7.17%, respectively.</w:t>
      </w:r>
    </w:p>
    <w:p>
      <w:pPr>
        <w:spacing w:after="0" w:line="1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(the “Revolver”) and an $800.0 million amortizing term loan, both of which matured on September 1, 2022. In accordance with terms of the Credit Facility, the revolver was reduced to $800.0 million on September 1, 2018.</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28, 2021, the Company amended and restated the Credit Facility (the “Amended Credit Facility”), extending the maturity date to June 28, 2026, and increasing the capacity of the revolving credit facility from $ 800.0 million to $1.3 billion and the then-remaining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November 1, 2022, we amended our Amended Credit Facility pursuant to the LIBOR (London Interbank Offered Rate) Transition Amendment and the Fifth Amendment to replace the benchmark rate at which U.S.-dollar-denominated borrowings bear interest from LIBOR to the forward-looking Secured Overnight Financing Rate (“SOFR”) term rate administered by CME Group Benchmark Administration Limited. As a result of these amendments, we can borrow at Term SOFR plus a credit spread adjustment of 0.10% subject to a floor of zero.</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January 31, 2024, we were in compliance with these covenants.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Amended Credit Facility also includes customary events of default, including: failure to pay principal, interest, or fees when due; failure to comply with covenants; the occurrence of certain material judgments; and a 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incurred deferred financing costs of $6.4 million in conjunction with the execution of the Amended Credit Facility and carried over $6.2 million of unamortized deferred financing from initial execution and previous amendments of the Credit Facility. Total deferred financing costs of $12.6 million, consisting of $4.9 million related to the term loan and $7.7 million related to the revolver, are being amortized to interest expense over the term of the Amended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Long-Term Debt Maturities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During the three months ended January 31, 2024, we made principal payments under the term loan of $8.1 million. As of January 31, 2024, the following principal payments are required under the Amended Credit Facility: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2028</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302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DCE2EF"/>
          </w:tcPr>
          <w:p>
            <w:pPr>
              <w:spacing w:after="0"/>
              <w:rPr>
                <w:sz w:val="18"/>
                <w:szCs w:val="18"/>
                <w:color w:val="auto"/>
              </w:rPr>
            </w:pPr>
          </w:p>
        </w:tc>
        <w:tc>
          <w:tcPr>
            <w:tcW w:w="3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Debt maturities</w:t>
            </w:r>
          </w:p>
        </w:tc>
        <w:tc>
          <w:tcPr>
            <w:tcW w:w="96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DCE2EF"/>
          </w:tcPr>
          <w:p>
            <w:pPr>
              <w:spacing w:after="0"/>
              <w:rPr>
                <w:sz w:val="18"/>
                <w:szCs w:val="18"/>
                <w:color w:val="auto"/>
              </w:rPr>
            </w:pPr>
          </w:p>
        </w:tc>
        <w:tc>
          <w:tcPr>
            <w:tcW w:w="960" w:type="dxa"/>
            <w:vAlign w:val="bottom"/>
            <w:shd w:val="clear" w:color="auto" w:fill="DCE2E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1,273.8</w:t>
            </w:r>
          </w:p>
        </w:tc>
        <w:tc>
          <w:tcPr>
            <w:tcW w:w="100" w:type="dxa"/>
            <w:vAlign w:val="bottom"/>
            <w:shd w:val="clear" w:color="auto" w:fill="DCE2EF"/>
          </w:tcPr>
          <w:p>
            <w:pPr>
              <w:spacing w:after="0"/>
              <w:rPr>
                <w:sz w:val="18"/>
                <w:szCs w:val="18"/>
                <w:color w:val="auto"/>
              </w:rPr>
            </w:pPr>
          </w:p>
        </w:tc>
        <w:tc>
          <w:tcPr>
            <w:tcW w:w="30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 interest rate swap agreements to fix the variable interest rates on portions of our debt. The purpose of using these derivatives is to reduce our exposure to the interest rate risk associated with variable borrowings. Under these agreements, we typically pay a fixed interest rate in exchange for a SOFR-based variable interest rate on a given notional amount. All of our interest rate swaps are designated and accounted for as cash flow hedges. Changes in the fair value of these derivatives are reported as a component of other comprehensive income and are reclassified into earnings in the period or periods in which the hedged transaction affects earnings. For information regarding the valuation of our interest rate swaps, see Note 6, “Fair Value of Financial Instruments.”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Notional Amount</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Fixed Interest Rate</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Effective Date</w:t>
            </w:r>
          </w:p>
        </w:tc>
        <w:tc>
          <w:tcPr>
            <w:tcW w:w="2740" w:type="dxa"/>
            <w:vAlign w:val="bottom"/>
          </w:tcPr>
          <w:p>
            <w:pPr>
              <w:ind w:left="860"/>
              <w:spacing w:after="0"/>
              <w:rPr>
                <w:sz w:val="20"/>
                <w:szCs w:val="20"/>
                <w:color w:val="auto"/>
              </w:rPr>
            </w:pPr>
            <w:r>
              <w:rPr>
                <w:rFonts w:ascii="Arial" w:cs="Arial" w:eastAsia="Arial" w:hAnsi="Arial"/>
                <w:sz w:val="16"/>
                <w:szCs w:val="16"/>
                <w:b w:val="1"/>
                <w:bCs w:val="1"/>
                <w:color w:val="auto"/>
              </w:rPr>
              <w:t>Maturity Date</w:t>
            </w:r>
          </w:p>
        </w:tc>
      </w:tr>
      <w:tr>
        <w:trPr>
          <w:trHeight w:val="209"/>
        </w:trPr>
        <w:tc>
          <w:tcPr>
            <w:tcW w:w="270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$100.0 million</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1.72%</w:t>
            </w:r>
          </w:p>
        </w:tc>
        <w:tc>
          <w:tcPr>
            <w:tcW w:w="120" w:type="dxa"/>
            <w:vAlign w:val="bottom"/>
            <w:tcBorders>
              <w:top w:val="single" w:sz="8" w:color="DCE2EF"/>
            </w:tcBorders>
            <w:shd w:val="clear" w:color="auto" w:fill="DCE2EF"/>
          </w:tcPr>
          <w:p>
            <w:pPr>
              <w:spacing w:after="0"/>
              <w:rPr>
                <w:sz w:val="18"/>
                <w:szCs w:val="18"/>
                <w:color w:val="auto"/>
              </w:rPr>
            </w:pPr>
          </w:p>
        </w:tc>
        <w:tc>
          <w:tcPr>
            <w:tcW w:w="27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6"/>
                <w:szCs w:val="16"/>
                <w:color w:val="auto"/>
              </w:rPr>
              <w:t>February 9, 2022</w:t>
            </w:r>
          </w:p>
        </w:tc>
        <w:tc>
          <w:tcPr>
            <w:tcW w:w="100" w:type="dxa"/>
            <w:vAlign w:val="bottom"/>
            <w:tcBorders>
              <w:top w:val="single" w:sz="8" w:color="DCE2EF"/>
            </w:tcBorders>
            <w:shd w:val="clear" w:color="auto" w:fill="DCE2EF"/>
          </w:tcPr>
          <w:p>
            <w:pPr>
              <w:spacing w:after="0"/>
              <w:rPr>
                <w:sz w:val="18"/>
                <w:szCs w:val="18"/>
                <w:color w:val="auto"/>
              </w:rPr>
            </w:pPr>
          </w:p>
        </w:tc>
        <w:tc>
          <w:tcPr>
            <w:tcW w:w="2740" w:type="dxa"/>
            <w:vAlign w:val="bottom"/>
            <w:tcBorders>
              <w:top w:val="single" w:sz="8" w:color="auto"/>
            </w:tcBorders>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$150.0 million</w:t>
            </w:r>
          </w:p>
        </w:tc>
        <w:tc>
          <w:tcPr>
            <w:tcW w:w="2720" w:type="dxa"/>
            <w:vAlign w:val="bottom"/>
          </w:tcPr>
          <w:p>
            <w:pPr>
              <w:jc w:val="center"/>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February 25,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7"/>
        </w:trPr>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$100.0 million</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20"/>
              <w:spacing w:after="0"/>
              <w:rPr>
                <w:sz w:val="20"/>
                <w:szCs w:val="20"/>
                <w:color w:val="auto"/>
              </w:rPr>
            </w:pPr>
            <w:r>
              <w:rPr>
                <w:rFonts w:ascii="Arial" w:cs="Arial" w:eastAsia="Arial" w:hAnsi="Arial"/>
                <w:sz w:val="16"/>
                <w:szCs w:val="16"/>
                <w:color w:val="auto"/>
              </w:rPr>
              <w:t>May 4,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6"/>
        </w:trPr>
        <w:tc>
          <w:tcPr>
            <w:tcW w:w="2820" w:type="dxa"/>
            <w:vAlign w:val="bottom"/>
            <w:gridSpan w:val="2"/>
          </w:tcPr>
          <w:p>
            <w:pPr>
              <w:jc w:val="center"/>
              <w:ind w:left="39"/>
              <w:spacing w:after="0" w:line="216" w:lineRule="exact"/>
              <w:rPr>
                <w:sz w:val="20"/>
                <w:szCs w:val="20"/>
                <w:color w:val="auto"/>
              </w:rPr>
            </w:pPr>
            <w:r>
              <w:rPr>
                <w:rFonts w:ascii="Arial" w:cs="Arial" w:eastAsia="Arial" w:hAnsi="Arial"/>
                <w:sz w:val="16"/>
                <w:szCs w:val="16"/>
                <w:color w:val="auto"/>
                <w:w w:val="98"/>
              </w:rPr>
              <w:t xml:space="preserve">$210.6 million </w:t>
            </w:r>
            <w:r>
              <w:rPr>
                <w:rFonts w:ascii="Arial" w:cs="Arial" w:eastAsia="Arial" w:hAnsi="Arial"/>
                <w:sz w:val="21"/>
                <w:szCs w:val="21"/>
                <w:color w:val="auto"/>
                <w:w w:val="98"/>
                <w:vertAlign w:val="superscript"/>
              </w:rPr>
              <w:t>(1)</w:t>
            </w:r>
          </w:p>
        </w:tc>
        <w:tc>
          <w:tcPr>
            <w:tcW w:w="2720" w:type="dxa"/>
            <w:vAlign w:val="bottom"/>
          </w:tcPr>
          <w:p>
            <w:pPr>
              <w:jc w:val="center"/>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July 7,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r>
        <w:trPr>
          <w:trHeight w:val="216"/>
        </w:trPr>
        <w:tc>
          <w:tcPr>
            <w:tcW w:w="2820" w:type="dxa"/>
            <w:vAlign w:val="bottom"/>
            <w:gridSpan w:val="2"/>
            <w:shd w:val="clear" w:color="auto" w:fill="DCE2EF"/>
          </w:tcPr>
          <w:p>
            <w:pPr>
              <w:jc w:val="center"/>
              <w:ind w:left="39"/>
              <w:spacing w:after="0" w:line="216" w:lineRule="exact"/>
              <w:rPr>
                <w:sz w:val="20"/>
                <w:szCs w:val="20"/>
                <w:color w:val="auto"/>
              </w:rPr>
            </w:pPr>
            <w:r>
              <w:rPr>
                <w:rFonts w:ascii="Arial" w:cs="Arial" w:eastAsia="Arial" w:hAnsi="Arial"/>
                <w:sz w:val="16"/>
                <w:szCs w:val="16"/>
                <w:color w:val="auto"/>
                <w:w w:val="98"/>
              </w:rPr>
              <w:t xml:space="preserve">$89.4 million </w:t>
            </w:r>
            <w:r>
              <w:rPr>
                <w:rFonts w:ascii="Arial" w:cs="Arial" w:eastAsia="Arial" w:hAnsi="Arial"/>
                <w:sz w:val="21"/>
                <w:szCs w:val="21"/>
                <w:color w:val="auto"/>
                <w:w w:val="98"/>
                <w:vertAlign w:val="superscript"/>
              </w:rPr>
              <w:t>(1)</w:t>
            </w:r>
          </w:p>
        </w:tc>
        <w:tc>
          <w:tcPr>
            <w:tcW w:w="2720" w:type="dxa"/>
            <w:vAlign w:val="bottom"/>
            <w:shd w:val="clear" w:color="auto" w:fill="DCE2EF"/>
          </w:tcPr>
          <w:p>
            <w:pPr>
              <w:jc w:val="center"/>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DCE2EF"/>
          </w:tcPr>
          <w:p>
            <w:pPr>
              <w:spacing w:after="0"/>
              <w:rPr>
                <w:sz w:val="18"/>
                <w:szCs w:val="18"/>
                <w:color w:val="auto"/>
              </w:rPr>
            </w:pPr>
          </w:p>
        </w:tc>
        <w:tc>
          <w:tcPr>
            <w:tcW w:w="2820" w:type="dxa"/>
            <w:vAlign w:val="bottom"/>
            <w:gridSpan w:val="2"/>
            <w:shd w:val="clear" w:color="auto" w:fill="DCE2EF"/>
          </w:tcPr>
          <w:p>
            <w:pPr>
              <w:jc w:val="center"/>
              <w:ind w:right="100"/>
              <w:spacing w:after="0"/>
              <w:rPr>
                <w:sz w:val="20"/>
                <w:szCs w:val="20"/>
                <w:color w:val="auto"/>
              </w:rPr>
            </w:pPr>
            <w:r>
              <w:rPr>
                <w:rFonts w:ascii="Arial" w:cs="Arial" w:eastAsia="Arial" w:hAnsi="Arial"/>
                <w:sz w:val="16"/>
                <w:szCs w:val="16"/>
                <w:color w:val="auto"/>
              </w:rPr>
              <w:t>July 18, 2022</w:t>
            </w:r>
          </w:p>
        </w:tc>
        <w:tc>
          <w:tcPr>
            <w:tcW w:w="2740" w:type="dxa"/>
            <w:vAlign w:val="bottom"/>
            <w:shd w:val="clear" w:color="auto" w:fill="DCE2EF"/>
          </w:tcPr>
          <w:p>
            <w:pPr>
              <w:ind w:left="860"/>
              <w:spacing w:after="0"/>
              <w:rPr>
                <w:sz w:val="20"/>
                <w:szCs w:val="20"/>
                <w:color w:val="auto"/>
              </w:rPr>
            </w:pPr>
            <w:r>
              <w:rPr>
                <w:rFonts w:ascii="Arial" w:cs="Arial" w:eastAsia="Arial" w:hAnsi="Arial"/>
                <w:sz w:val="16"/>
                <w:szCs w:val="16"/>
                <w:color w:val="auto"/>
              </w:rPr>
              <w:t>June 28, 2026</w:t>
            </w:r>
          </w:p>
        </w:tc>
      </w:tr>
      <w:tr>
        <w:trPr>
          <w:trHeight w:val="215"/>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$170.0 million</w:t>
            </w:r>
          </w:p>
        </w:tc>
        <w:tc>
          <w:tcPr>
            <w:tcW w:w="2720" w:type="dxa"/>
            <w:vAlign w:val="bottom"/>
          </w:tcPr>
          <w:p>
            <w:pPr>
              <w:jc w:val="center"/>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color w:val="auto"/>
              </w:rPr>
              <w:t>November 1, 2022</w:t>
            </w:r>
          </w:p>
        </w:tc>
        <w:tc>
          <w:tcPr>
            <w:tcW w:w="2740" w:type="dxa"/>
            <w:vAlign w:val="bottom"/>
          </w:tcPr>
          <w:p>
            <w:pPr>
              <w:ind w:left="860"/>
              <w:spacing w:after="0"/>
              <w:rPr>
                <w:sz w:val="20"/>
                <w:szCs w:val="20"/>
                <w:color w:val="auto"/>
              </w:rPr>
            </w:pPr>
            <w:r>
              <w:rPr>
                <w:rFonts w:ascii="Arial" w:cs="Arial" w:eastAsia="Arial" w:hAnsi="Arial"/>
                <w:sz w:val="16"/>
                <w:szCs w:val="16"/>
                <w:color w:val="auto"/>
              </w:rPr>
              <w:t>June 28, 2026</w:t>
            </w:r>
          </w:p>
        </w:tc>
      </w:tr>
    </w:tbl>
    <w:p>
      <w:pPr>
        <w:spacing w:after="0" w:line="303" w:lineRule="exact"/>
        <w:rPr>
          <w:sz w:val="20"/>
          <w:szCs w:val="20"/>
          <w:color w:val="auto"/>
        </w:rPr>
      </w:pPr>
    </w:p>
    <w:p>
      <w:pPr>
        <w:ind w:left="180" w:hanging="172"/>
        <w:spacing w:after="0" w:line="226" w:lineRule="auto"/>
        <w:tabs>
          <w:tab w:leader="none" w:pos="191"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In July 2022, we entered into interest rate swap agreements with notional values totaling $300.0 million at inception. The notional amount reduces to $250.0 million in April 2024, $175.0 million in October 2024, and $100.0 million in October 2025 before maturing on June 28, 2026.</w:t>
      </w:r>
    </w:p>
    <w:p>
      <w:pPr>
        <w:spacing w:after="0" w:line="1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January 31, 2024, and October 31, 2023, amounts recorded in accumulated other comprehensive loss (“AOCL”) for interest rate swaps were a gain of $14.1 million, net of taxes of $6.2 million, and a gain of $26.0 million, net of taxes of $10.5 million, respectively. At January 31, 2024, the total amount expected to be reclassified from AOCL to earnings during the next 12 months is a gain of $6.2 million, net of taxes of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9.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We did not repurchase shares under the share repurchase program during the three months ended January 31, 2024 and 2023. At January 31, 2024, authorization for $210.3 million of repurchases remained under our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January 31, 2024, these letters of credit totaled $58.2 million and surety bonds and surety-backed letters of credit totaled $795.6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January 31, 2024, total guarantees were $230.4 million and extend through 2043. We include the estimated costs of guarantees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Historically, we have not incurred any material losses in connection with these guarantees.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collect sales tax from clients and remit those collections to the applicable states. In some cases when clients fail to pay their invoices, including the amount of any sales tax that we paid on their behalf, we may be entitled to seek a refund of that amount of sales tax from the applicable state.</w:t>
      </w:r>
    </w:p>
    <w:p>
      <w:pPr>
        <w:spacing w:after="0" w:line="1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that are conducting ongoing audits. The outcomes of ongoing and any future audits and changes in the states’ interpretation of the sales tax laws and regulations could materially adversely impact our results of operations</w:t>
      </w:r>
      <w:r>
        <w:rPr>
          <w:rFonts w:ascii="Arial" w:cs="Arial" w:eastAsia="Arial" w:hAnsi="Arial"/>
          <w:sz w:val="18"/>
          <w:szCs w:val="18"/>
          <w:b w:val="1"/>
          <w:bCs w:val="1"/>
          <w:color w:val="0046AD"/>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January 31, 2024, the total amount accrued for probable litigation losses where a reasonable estimate of the loss could be made was $13.4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$7.2 million. Factors underlying this estimated range of loss may change from time to time, and actual results may vary significantly from this estimate.</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8"/>
          <w:szCs w:val="18"/>
          <w:color w:val="auto"/>
        </w:rPr>
        <w:t>our accrual for probable losses and our estimated range of loss for reasonably possible losses do not represent our maximum possible exposure.</w:t>
      </w:r>
    </w:p>
    <w:p>
      <w:pPr>
        <w:spacing w:after="0" w:line="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whether to include any particular lawsuit or other proceeding in our disclosure,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currently not a party to any material legal proceedings, and we are not aware of filings of any pending or contemplated litigation, claims, or assessments. There can be no assurance that future legal proceedings arising in the ordinary course of business or otherwise will not have a material adverse effect on our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tax provision is calculated using an estimated annual effective tax rate that is adjusted for discrete items occurring during the period to arrive at our effective tax rate. During the three months ended January 31, 2024 and 2023, we had effective tax rates of 17.3% and 26.9%, respectively, resulting in provisions for taxes of $9.3 million and $14.2 million, respectively. The difference between the estimated annual effective tax rate before discrete items and statutory rate is primarily related to state income taxes, non-deductible compensation, and tax credits.</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effective tax rate for the three months ended January 31, 2024, benefited from discrete items, primarily by $2.9 million for uncertain tax positions, $ 2.1 million for share-based compensation and $2.0 million for return to provision adjustments related to our non-U.S. operations. Our effective tax rate for the three months ended January 31, 2023, benefited by $1.3 million for share-based compensation.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reportable segments consist of B&amp;I, M&amp;D, Education, Aviation, and Technical Solutions,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208280</wp:posOffset>
            </wp:positionH>
            <wp:positionV relativeFrom="page">
              <wp:posOffset>826135</wp:posOffset>
            </wp:positionV>
            <wp:extent cx="7140575" cy="2459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2459990"/>
                    </a:xfrm>
                    <a:prstGeom prst="rect">
                      <a:avLst/>
                    </a:prstGeom>
                    <a:noFill/>
                  </pic:spPr>
                </pic:pic>
              </a:graphicData>
            </a:graphic>
          </wp:anchor>
        </w:drawing>
        <w:t>REPORTABLE SEGMENTS AND DESCRIPTIONS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220" w:type="dxa"/>
            <w:vAlign w:val="bottom"/>
            <w:tcBorders>
              <w:top w:val="single" w:sz="8" w:color="auto"/>
              <w:right w:val="single" w:sz="8" w:color="auto"/>
            </w:tcBorders>
          </w:tcPr>
          <w:p>
            <w:pPr>
              <w:spacing w:after="0"/>
              <w:rPr>
                <w:sz w:val="22"/>
                <w:szCs w:val="22"/>
                <w:color w:val="auto"/>
              </w:rPr>
            </w:pPr>
          </w:p>
        </w:tc>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B&amp;I, our largest reportable segment, encompasses janitorial, facilities engineering, and parking services for</w:t>
            </w:r>
          </w:p>
        </w:tc>
        <w:tc>
          <w:tcPr>
            <w:tcW w:w="0" w:type="dxa"/>
            <w:vAlign w:val="bottom"/>
          </w:tcPr>
          <w:p>
            <w:pPr>
              <w:spacing w:after="0"/>
              <w:rPr>
                <w:sz w:val="1"/>
                <w:szCs w:val="1"/>
                <w:color w:val="auto"/>
              </w:rPr>
            </w:pPr>
          </w:p>
        </w:tc>
      </w:tr>
      <w:tr>
        <w:trPr>
          <w:trHeight w:val="162"/>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B&amp;I</w:t>
            </w:r>
          </w:p>
        </w:tc>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commercial real estate properties (including corporate offices for high-tech clients), sports and entertainment</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venues, and traditional hospitals and non-acute healthcare facilities. B&amp;I also provides vehicle maintenance</w:t>
            </w: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8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220" w:type="dxa"/>
            <w:vAlign w:val="bottom"/>
            <w:tcBorders>
              <w:right w:val="single" w:sz="8" w:color="auto"/>
            </w:tcBorders>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6"/>
                <w:szCs w:val="16"/>
                <w:color w:val="auto"/>
              </w:rPr>
              <w:t>and other services to rental car providers.</w:t>
            </w: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220" w:type="dxa"/>
            <w:vAlign w:val="bottom"/>
            <w:tcBorders>
              <w:right w:val="single" w:sz="8" w:color="auto"/>
            </w:tcBorders>
          </w:tcPr>
          <w:p>
            <w:pPr>
              <w:spacing w:after="0"/>
              <w:rPr>
                <w:sz w:val="13"/>
                <w:szCs w:val="13"/>
                <w:color w:val="auto"/>
              </w:rPr>
            </w:pPr>
          </w:p>
        </w:tc>
        <w:tc>
          <w:tcPr>
            <w:tcW w:w="8040" w:type="dxa"/>
            <w:vAlign w:val="bottom"/>
          </w:tcPr>
          <w:p>
            <w:pPr>
              <w:ind w:left="20"/>
              <w:spacing w:after="0" w:line="155" w:lineRule="exact"/>
              <w:rPr>
                <w:sz w:val="20"/>
                <w:szCs w:val="20"/>
                <w:color w:val="auto"/>
              </w:rPr>
            </w:pPr>
            <w:r>
              <w:rPr>
                <w:rFonts w:ascii="Arial" w:cs="Arial" w:eastAsia="Arial" w:hAnsi="Arial"/>
                <w:sz w:val="16"/>
                <w:szCs w:val="16"/>
                <w:color w:val="auto"/>
              </w:rPr>
              <w:t>M&amp;D provides integrated facility services, engineering, janitorial, and other specialized services in different</w:t>
            </w:r>
          </w:p>
        </w:tc>
        <w:tc>
          <w:tcPr>
            <w:tcW w:w="0" w:type="dxa"/>
            <w:vAlign w:val="bottom"/>
          </w:tcPr>
          <w:p>
            <w:pPr>
              <w:spacing w:after="0"/>
              <w:rPr>
                <w:sz w:val="1"/>
                <w:szCs w:val="1"/>
                <w:color w:val="auto"/>
              </w:rPr>
            </w:pPr>
          </w:p>
        </w:tc>
      </w:tr>
      <w:tr>
        <w:trPr>
          <w:trHeight w:val="162"/>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M&amp;D</w:t>
            </w:r>
          </w:p>
        </w:tc>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types of manufacturing, distribution, and data center facilities. Manufacturing facilities include traditional motor</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vehicles, electric vehicles, batteries, pharmaceuticals, steel, semiconductors, chemicals, and many others.</w:t>
            </w: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8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220" w:type="dxa"/>
            <w:vAlign w:val="bottom"/>
            <w:tcBorders>
              <w:bottom w:val="single" w:sz="8" w:color="auto"/>
              <w:right w:val="single" w:sz="8" w:color="auto"/>
            </w:tcBorders>
          </w:tcPr>
          <w:p>
            <w:pPr>
              <w:spacing w:after="0"/>
              <w:rPr>
                <w:sz w:val="18"/>
                <w:szCs w:val="18"/>
                <w:color w:val="auto"/>
              </w:rPr>
            </w:pPr>
          </w:p>
        </w:tc>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 facilities include e-commerce, cold storage, logistics, general warehousing, and others.</w:t>
            </w:r>
          </w:p>
        </w:tc>
        <w:tc>
          <w:tcPr>
            <w:tcW w:w="0" w:type="dxa"/>
            <w:vAlign w:val="bottom"/>
          </w:tcPr>
          <w:p>
            <w:pPr>
              <w:spacing w:after="0"/>
              <w:rPr>
                <w:sz w:val="1"/>
                <w:szCs w:val="1"/>
                <w:color w:val="auto"/>
              </w:rPr>
            </w:pPr>
          </w:p>
        </w:tc>
      </w:tr>
      <w:tr>
        <w:trPr>
          <w:trHeight w:val="264"/>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Education</w:t>
            </w:r>
          </w:p>
        </w:tc>
        <w:tc>
          <w:tcPr>
            <w:tcW w:w="8040" w:type="dxa"/>
            <w:vAlign w:val="bottom"/>
          </w:tcPr>
          <w:p>
            <w:pPr>
              <w:ind w:left="20"/>
              <w:spacing w:after="0"/>
              <w:rPr>
                <w:sz w:val="20"/>
                <w:szCs w:val="20"/>
                <w:color w:val="auto"/>
              </w:rPr>
            </w:pPr>
            <w:r>
              <w:rPr>
                <w:rFonts w:ascii="Arial" w:cs="Arial" w:eastAsia="Arial" w:hAnsi="Arial"/>
                <w:sz w:val="16"/>
                <w:szCs w:val="16"/>
                <w:color w:val="auto"/>
              </w:rPr>
              <w:t>Education delivers janitorial, custodial, landscaping and grounds, facilities engineering, and parking services</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rPr>
                <w:sz w:val="20"/>
                <w:szCs w:val="20"/>
                <w:color w:val="auto"/>
              </w:rPr>
            </w:pPr>
            <w:r>
              <w:rPr>
                <w:rFonts w:ascii="Arial" w:cs="Arial" w:eastAsia="Arial" w:hAnsi="Arial"/>
                <w:sz w:val="16"/>
                <w:szCs w:val="16"/>
                <w:color w:val="auto"/>
              </w:rPr>
              <w:t>for public school districts, private schools, colleges, and universities.</w:t>
            </w:r>
          </w:p>
        </w:tc>
        <w:tc>
          <w:tcPr>
            <w:tcW w:w="0" w:type="dxa"/>
            <w:vAlign w:val="bottom"/>
          </w:tcPr>
          <w:p>
            <w:pPr>
              <w:spacing w:after="0"/>
              <w:rPr>
                <w:sz w:val="1"/>
                <w:szCs w:val="1"/>
                <w:color w:val="auto"/>
              </w:rPr>
            </w:pPr>
          </w:p>
        </w:tc>
      </w:tr>
      <w:tr>
        <w:trPr>
          <w:trHeight w:val="82"/>
        </w:trPr>
        <w:tc>
          <w:tcPr>
            <w:tcW w:w="3220" w:type="dxa"/>
            <w:vAlign w:val="bottom"/>
            <w:tcBorders>
              <w:right w:val="single" w:sz="8" w:color="auto"/>
            </w:tcBorders>
          </w:tcPr>
          <w:p>
            <w:pPr>
              <w:spacing w:after="0"/>
              <w:rPr>
                <w:sz w:val="7"/>
                <w:szCs w:val="7"/>
                <w:color w:val="auto"/>
              </w:rPr>
            </w:pPr>
          </w:p>
        </w:tc>
        <w:tc>
          <w:tcPr>
            <w:tcW w:w="8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Aviation</w:t>
            </w:r>
          </w:p>
        </w:tc>
        <w:tc>
          <w:tcPr>
            <w:tcW w:w="8040" w:type="dxa"/>
            <w:vAlign w:val="bottom"/>
          </w:tcPr>
          <w:p>
            <w:pPr>
              <w:ind w:left="20"/>
              <w:spacing w:after="0"/>
              <w:rPr>
                <w:sz w:val="20"/>
                <w:szCs w:val="20"/>
                <w:color w:val="auto"/>
              </w:rPr>
            </w:pPr>
            <w:r>
              <w:rPr>
                <w:rFonts w:ascii="Arial" w:cs="Arial" w:eastAsia="Arial" w:hAnsi="Arial"/>
                <w:sz w:val="16"/>
                <w:szCs w:val="16"/>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vMerge w:val="continue"/>
          </w:tcPr>
          <w:p>
            <w:pPr>
              <w:spacing w:after="0"/>
              <w:rPr>
                <w:sz w:val="11"/>
                <w:szCs w:val="11"/>
                <w:color w:val="auto"/>
              </w:rPr>
            </w:pPr>
          </w:p>
        </w:tc>
        <w:tc>
          <w:tcPr>
            <w:tcW w:w="8040" w:type="dxa"/>
            <w:vAlign w:val="bottom"/>
            <w:vMerge w:val="restart"/>
          </w:tcPr>
          <w:p>
            <w:pPr>
              <w:ind w:left="20"/>
              <w:spacing w:after="0"/>
              <w:rPr>
                <w:sz w:val="20"/>
                <w:szCs w:val="20"/>
                <w:color w:val="auto"/>
              </w:rPr>
            </w:pPr>
            <w:r>
              <w:rPr>
                <w:rFonts w:ascii="Arial" w:cs="Arial" w:eastAsia="Arial" w:hAnsi="Arial"/>
                <w:sz w:val="16"/>
                <w:szCs w:val="16"/>
                <w:color w:val="auto"/>
              </w:rPr>
              <w:t>assistance, catering logistics, air cabin maintenance, and transportation.</w:t>
            </w:r>
          </w:p>
        </w:tc>
        <w:tc>
          <w:tcPr>
            <w:tcW w:w="0" w:type="dxa"/>
            <w:vAlign w:val="bottom"/>
          </w:tcPr>
          <w:p>
            <w:pPr>
              <w:spacing w:after="0"/>
              <w:rPr>
                <w:sz w:val="1"/>
                <w:szCs w:val="1"/>
                <w:color w:val="auto"/>
              </w:rPr>
            </w:pPr>
          </w:p>
        </w:tc>
      </w:tr>
      <w:tr>
        <w:trPr>
          <w:trHeight w:val="82"/>
        </w:trPr>
        <w:tc>
          <w:tcPr>
            <w:tcW w:w="3220" w:type="dxa"/>
            <w:vAlign w:val="bottom"/>
            <w:tcBorders>
              <w:right w:val="single" w:sz="8" w:color="auto"/>
            </w:tcBorders>
          </w:tcPr>
          <w:p>
            <w:pPr>
              <w:spacing w:after="0"/>
              <w:rPr>
                <w:sz w:val="7"/>
                <w:szCs w:val="7"/>
                <w:color w:val="auto"/>
              </w:rPr>
            </w:pPr>
          </w:p>
        </w:tc>
        <w:tc>
          <w:tcPr>
            <w:tcW w:w="8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Technical Solutions</w:t>
            </w:r>
          </w:p>
        </w:tc>
        <w:tc>
          <w:tcPr>
            <w:tcW w:w="8040" w:type="dxa"/>
            <w:vAlign w:val="bottom"/>
          </w:tcPr>
          <w:p>
            <w:pPr>
              <w:ind w:left="20"/>
              <w:spacing w:after="0"/>
              <w:rPr>
                <w:sz w:val="20"/>
                <w:szCs w:val="20"/>
                <w:color w:val="auto"/>
              </w:rPr>
            </w:pPr>
            <w:r>
              <w:rPr>
                <w:rFonts w:ascii="Arial" w:cs="Arial" w:eastAsia="Arial" w:hAnsi="Arial"/>
                <w:sz w:val="16"/>
                <w:szCs w:val="16"/>
                <w:color w:val="auto"/>
              </w:rPr>
              <w:t>Technical Solutions specializes in facility infrastructure, mechanical, and electrical services, including power</w:t>
            </w:r>
          </w:p>
        </w:tc>
        <w:tc>
          <w:tcPr>
            <w:tcW w:w="0" w:type="dxa"/>
            <w:vAlign w:val="bottom"/>
          </w:tcPr>
          <w:p>
            <w:pPr>
              <w:spacing w:after="0"/>
              <w:rPr>
                <w:sz w:val="1"/>
                <w:szCs w:val="1"/>
                <w:color w:val="auto"/>
              </w:rPr>
            </w:pPr>
          </w:p>
        </w:tc>
      </w:tr>
      <w:tr>
        <w:trPr>
          <w:trHeight w:val="162"/>
        </w:trPr>
        <w:tc>
          <w:tcPr>
            <w:tcW w:w="3220" w:type="dxa"/>
            <w:vAlign w:val="bottom"/>
            <w:tcBorders>
              <w:right w:val="single" w:sz="8" w:color="auto"/>
            </w:tcBorders>
            <w:vMerge w:val="continue"/>
          </w:tcPr>
          <w:p>
            <w:pPr>
              <w:spacing w:after="0"/>
              <w:rPr>
                <w:sz w:val="14"/>
                <w:szCs w:val="14"/>
                <w:color w:val="auto"/>
              </w:rPr>
            </w:pPr>
          </w:p>
        </w:tc>
        <w:tc>
          <w:tcPr>
            <w:tcW w:w="8040" w:type="dxa"/>
            <w:vAlign w:val="bottom"/>
          </w:tcPr>
          <w:p>
            <w:pPr>
              <w:ind w:left="20"/>
              <w:spacing w:after="0" w:line="162" w:lineRule="exact"/>
              <w:rPr>
                <w:sz w:val="20"/>
                <w:szCs w:val="20"/>
                <w:color w:val="auto"/>
              </w:rPr>
            </w:pPr>
            <w:r>
              <w:rPr>
                <w:rFonts w:ascii="Arial" w:cs="Arial" w:eastAsia="Arial" w:hAnsi="Arial"/>
                <w:sz w:val="16"/>
                <w:szCs w:val="16"/>
                <w:color w:val="auto"/>
              </w:rPr>
              <w:t>design, installation, and maintenance, as well as microgrid systems installations. These services can also be</w:t>
            </w:r>
          </w:p>
        </w:tc>
        <w:tc>
          <w:tcPr>
            <w:tcW w:w="0" w:type="dxa"/>
            <w:vAlign w:val="bottom"/>
          </w:tcPr>
          <w:p>
            <w:pPr>
              <w:spacing w:after="0"/>
              <w:rPr>
                <w:sz w:val="1"/>
                <w:szCs w:val="1"/>
                <w:color w:val="auto"/>
              </w:rPr>
            </w:pPr>
          </w:p>
        </w:tc>
      </w:tr>
      <w:tr>
        <w:trPr>
          <w:trHeight w:val="215"/>
        </w:trPr>
        <w:tc>
          <w:tcPr>
            <w:tcW w:w="3220" w:type="dxa"/>
            <w:vAlign w:val="bottom"/>
            <w:tcBorders>
              <w:right w:val="single" w:sz="8" w:color="auto"/>
            </w:tcBorders>
          </w:tcPr>
          <w:p>
            <w:pPr>
              <w:spacing w:after="0"/>
              <w:rPr>
                <w:sz w:val="18"/>
                <w:szCs w:val="18"/>
                <w:color w:val="auto"/>
              </w:rPr>
            </w:pPr>
          </w:p>
        </w:tc>
        <w:tc>
          <w:tcPr>
            <w:tcW w:w="8040" w:type="dxa"/>
            <w:vAlign w:val="bottom"/>
          </w:tcPr>
          <w:p>
            <w:pPr>
              <w:ind w:left="20"/>
              <w:spacing w:after="0"/>
              <w:rPr>
                <w:sz w:val="20"/>
                <w:szCs w:val="20"/>
                <w:color w:val="auto"/>
              </w:rPr>
            </w:pPr>
            <w:r>
              <w:rPr>
                <w:rFonts w:ascii="Arial" w:cs="Arial" w:eastAsia="Arial" w:hAnsi="Arial"/>
                <w:sz w:val="16"/>
                <w:szCs w:val="16"/>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13"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 January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3"/>
                <w:szCs w:val="13"/>
                <w:color w:val="auto"/>
              </w:rPr>
            </w:pPr>
          </w:p>
        </w:tc>
        <w:tc>
          <w:tcPr>
            <w:tcW w:w="1820" w:type="dxa"/>
            <w:vAlign w:val="bottom"/>
          </w:tcPr>
          <w:p>
            <w:pPr>
              <w:jc w:val="right"/>
              <w:ind w:right="939"/>
              <w:spacing w:after="0" w:line="142"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Pr>
          <w:p>
            <w:pPr>
              <w:jc w:val="right"/>
              <w:ind w:right="939"/>
              <w:spacing w:after="0" w:line="142"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558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DCE2E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56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560" w:type="dxa"/>
            <w:vAlign w:val="bottom"/>
            <w:shd w:val="clear" w:color="auto" w:fill="DCE2EF"/>
          </w:tcPr>
          <w:p>
            <w:pPr>
              <w:spacing w:after="0"/>
              <w:rPr>
                <w:sz w:val="17"/>
                <w:szCs w:val="17"/>
                <w:color w:val="auto"/>
              </w:rPr>
            </w:pPr>
          </w:p>
        </w:tc>
        <w:tc>
          <w:tcPr>
            <w:tcW w:w="18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1,033.1</w:t>
            </w:r>
          </w:p>
        </w:tc>
        <w:tc>
          <w:tcPr>
            <w:tcW w:w="14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1,036.6</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560" w:type="dxa"/>
            <w:vAlign w:val="bottom"/>
            <w:shd w:val="clear" w:color="auto" w:fill="DCE2EF"/>
          </w:tcPr>
          <w:p>
            <w:pPr>
              <w:spacing w:after="0"/>
              <w:rPr>
                <w:sz w:val="18"/>
                <w:szCs w:val="18"/>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400.9</w:t>
            </w:r>
          </w:p>
        </w:tc>
        <w:tc>
          <w:tcPr>
            <w:tcW w:w="140" w:type="dxa"/>
            <w:vAlign w:val="bottom"/>
            <w:shd w:val="clear" w:color="auto" w:fill="DCE2EF"/>
          </w:tcPr>
          <w:p>
            <w:pPr>
              <w:spacing w:after="0"/>
              <w:rPr>
                <w:sz w:val="18"/>
                <w:szCs w:val="18"/>
                <w:color w:val="auto"/>
              </w:rPr>
            </w:pPr>
          </w:p>
        </w:tc>
        <w:tc>
          <w:tcPr>
            <w:tcW w:w="560" w:type="dxa"/>
            <w:vAlign w:val="bottom"/>
            <w:shd w:val="clear" w:color="auto" w:fill="DCE2EF"/>
          </w:tcPr>
          <w:p>
            <w:pPr>
              <w:spacing w:after="0"/>
              <w:rPr>
                <w:sz w:val="18"/>
                <w:szCs w:val="18"/>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220.1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560" w:type="dxa"/>
            <w:vAlign w:val="bottom"/>
            <w:shd w:val="clear" w:color="auto" w:fill="DCE2EF"/>
          </w:tcPr>
          <w:p>
            <w:pPr>
              <w:spacing w:after="0"/>
              <w:rPr>
                <w:sz w:val="18"/>
                <w:szCs w:val="18"/>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249.5</w:t>
            </w:r>
          </w:p>
        </w:tc>
        <w:tc>
          <w:tcPr>
            <w:tcW w:w="140" w:type="dxa"/>
            <w:vAlign w:val="bottom"/>
            <w:shd w:val="clear" w:color="auto" w:fill="DCE2EF"/>
          </w:tcPr>
          <w:p>
            <w:pPr>
              <w:spacing w:after="0"/>
              <w:rPr>
                <w:sz w:val="18"/>
                <w:szCs w:val="18"/>
                <w:color w:val="auto"/>
              </w:rPr>
            </w:pPr>
          </w:p>
        </w:tc>
        <w:tc>
          <w:tcPr>
            <w:tcW w:w="560" w:type="dxa"/>
            <w:vAlign w:val="bottom"/>
            <w:shd w:val="clear" w:color="auto" w:fill="DCE2EF"/>
          </w:tcPr>
          <w:p>
            <w:pPr>
              <w:spacing w:after="0"/>
              <w:rPr>
                <w:sz w:val="18"/>
                <w:szCs w:val="18"/>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630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Technical Solutions</w:t>
            </w: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140" w:type="dxa"/>
            <w:vAlign w:val="bottom"/>
            <w:tcBorders>
              <w:bottom w:val="single" w:sz="8" w:color="DCE2E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19"/>
                <w:szCs w:val="19"/>
                <w:color w:val="auto"/>
              </w:rPr>
            </w:pPr>
          </w:p>
        </w:tc>
        <w:tc>
          <w:tcPr>
            <w:tcW w:w="720" w:type="dxa"/>
            <w:vAlign w:val="bottom"/>
            <w:tcBorders>
              <w:bottom w:val="single" w:sz="8" w:color="DCE2EF"/>
            </w:tcBorders>
            <w:shd w:val="clear" w:color="auto" w:fill="DCE2EF"/>
          </w:tcPr>
          <w:p>
            <w:pPr>
              <w:spacing w:after="0"/>
              <w:rPr>
                <w:sz w:val="19"/>
                <w:szCs w:val="19"/>
                <w:color w:val="auto"/>
              </w:rPr>
            </w:pPr>
          </w:p>
        </w:tc>
        <w:tc>
          <w:tcPr>
            <w:tcW w:w="5580" w:type="dxa"/>
            <w:vAlign w:val="bottom"/>
            <w:tcBorders>
              <w:bottom w:val="single" w:sz="8" w:color="DCE2EF"/>
            </w:tcBorders>
            <w:shd w:val="clear" w:color="auto" w:fill="DCE2EF"/>
          </w:tcPr>
          <w:p>
            <w:pPr>
              <w:spacing w:after="0"/>
              <w:rPr>
                <w:sz w:val="19"/>
                <w:szCs w:val="19"/>
                <w:color w:val="auto"/>
              </w:rPr>
            </w:pPr>
          </w:p>
        </w:tc>
        <w:tc>
          <w:tcPr>
            <w:tcW w:w="560" w:type="dxa"/>
            <w:vAlign w:val="bottom"/>
            <w:tcBorders>
              <w:bottom w:val="single" w:sz="8" w:color="auto"/>
            </w:tcBorders>
            <w:shd w:val="clear" w:color="auto" w:fill="DCE2EF"/>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140" w:type="dxa"/>
            <w:vAlign w:val="bottom"/>
            <w:tcBorders>
              <w:bottom w:val="single" w:sz="8" w:color="DCE2EF"/>
            </w:tcBorders>
            <w:shd w:val="clear" w:color="auto" w:fill="DCE2EF"/>
          </w:tcPr>
          <w:p>
            <w:pPr>
              <w:spacing w:after="0"/>
              <w:rPr>
                <w:sz w:val="19"/>
                <w:szCs w:val="19"/>
                <w:color w:val="auto"/>
              </w:rPr>
            </w:pPr>
          </w:p>
        </w:tc>
        <w:tc>
          <w:tcPr>
            <w:tcW w:w="560" w:type="dxa"/>
            <w:vAlign w:val="bottom"/>
            <w:tcBorders>
              <w:bottom w:val="single" w:sz="8" w:color="auto"/>
            </w:tcBorders>
            <w:shd w:val="clear" w:color="auto" w:fill="DCE2EF"/>
          </w:tcPr>
          <w:p>
            <w:pPr>
              <w:jc w:val="right"/>
              <w:ind w:right="3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1,991.3</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630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20" w:type="dxa"/>
            <w:vAlign w:val="bottom"/>
            <w:tcBorders>
              <w:top w:val="single" w:sz="8" w:color="DCE2EF"/>
              <w:bottom w:val="single" w:sz="8" w:color="auto"/>
            </w:tcBorders>
          </w:tcPr>
          <w:p>
            <w:pPr>
              <w:spacing w:after="0" w:line="20" w:lineRule="exact"/>
              <w:rPr>
                <w:sz w:val="1"/>
                <w:szCs w:val="1"/>
                <w:color w:val="auto"/>
              </w:rPr>
            </w:pPr>
          </w:p>
        </w:tc>
        <w:tc>
          <w:tcPr>
            <w:tcW w:w="140" w:type="dxa"/>
            <w:vAlign w:val="bottom"/>
            <w:tcBorders>
              <w:top w:val="single" w:sz="8" w:color="DCE2EF"/>
            </w:tcBorders>
          </w:tcPr>
          <w:p>
            <w:pPr>
              <w:spacing w:after="0" w:line="20" w:lineRule="exact"/>
              <w:rPr>
                <w:sz w:val="1"/>
                <w:szCs w:val="1"/>
                <w:color w:val="auto"/>
              </w:rPr>
            </w:pPr>
          </w:p>
        </w:tc>
        <w:tc>
          <w:tcPr>
            <w:tcW w:w="560" w:type="dxa"/>
            <w:vAlign w:val="bottom"/>
            <w:tcBorders>
              <w:top w:val="single" w:sz="8" w:color="DCE2EF"/>
              <w:bottom w:val="single" w:sz="8" w:color="auto"/>
            </w:tcBorders>
          </w:tcPr>
          <w:p>
            <w:pPr>
              <w:spacing w:after="0" w:line="20" w:lineRule="exact"/>
              <w:rPr>
                <w:sz w:val="1"/>
                <w:szCs w:val="1"/>
                <w:color w:val="auto"/>
              </w:rPr>
            </w:pPr>
          </w:p>
        </w:tc>
        <w:tc>
          <w:tcPr>
            <w:tcW w:w="184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63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560" w:type="dxa"/>
            <w:vAlign w:val="bottom"/>
            <w:shd w:val="clear" w:color="auto" w:fill="DCE2EF"/>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79.6</w:t>
            </w:r>
          </w:p>
        </w:tc>
        <w:tc>
          <w:tcPr>
            <w:tcW w:w="140" w:type="dxa"/>
            <w:vAlign w:val="bottom"/>
            <w:shd w:val="clear" w:color="auto" w:fill="DCE2EF"/>
          </w:tcPr>
          <w:p>
            <w:pPr>
              <w:spacing w:after="0"/>
              <w:rPr>
                <w:sz w:val="18"/>
                <w:szCs w:val="18"/>
                <w:color w:val="auto"/>
              </w:rPr>
            </w:pPr>
          </w:p>
        </w:tc>
        <w:tc>
          <w:tcPr>
            <w:tcW w:w="560" w:type="dxa"/>
            <w:vAlign w:val="bottom"/>
            <w:shd w:val="clear" w:color="auto" w:fill="DCE2EF"/>
          </w:tcPr>
          <w:p>
            <w:pPr>
              <w:jc w:val="right"/>
              <w:ind w:right="37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Manufacturing &amp; Distribution</w:t>
            </w: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41.3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560" w:type="dxa"/>
            <w:vAlign w:val="bottom"/>
            <w:shd w:val="clear" w:color="auto" w:fill="DCE2EF"/>
          </w:tcPr>
          <w:p>
            <w:pPr>
              <w:spacing w:after="0"/>
              <w:rPr>
                <w:sz w:val="18"/>
                <w:szCs w:val="18"/>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DCE2EF"/>
          </w:tcPr>
          <w:p>
            <w:pPr>
              <w:spacing w:after="0"/>
              <w:rPr>
                <w:sz w:val="18"/>
                <w:szCs w:val="18"/>
                <w:color w:val="auto"/>
              </w:rPr>
            </w:pPr>
          </w:p>
        </w:tc>
        <w:tc>
          <w:tcPr>
            <w:tcW w:w="560" w:type="dxa"/>
            <w:vAlign w:val="bottom"/>
            <w:shd w:val="clear" w:color="auto" w:fill="DCE2EF"/>
          </w:tcPr>
          <w:p>
            <w:pPr>
              <w:spacing w:after="0"/>
              <w:rPr>
                <w:sz w:val="18"/>
                <w:szCs w:val="18"/>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560" w:type="dxa"/>
            <w:vAlign w:val="bottom"/>
            <w:shd w:val="clear" w:color="auto" w:fill="DCE2EF"/>
          </w:tcPr>
          <w:p>
            <w:pPr>
              <w:spacing w:after="0"/>
              <w:rPr>
                <w:sz w:val="18"/>
                <w:szCs w:val="18"/>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w:t>
            </w:r>
          </w:p>
        </w:tc>
        <w:tc>
          <w:tcPr>
            <w:tcW w:w="140" w:type="dxa"/>
            <w:vAlign w:val="bottom"/>
            <w:shd w:val="clear" w:color="auto" w:fill="DCE2EF"/>
          </w:tcPr>
          <w:p>
            <w:pPr>
              <w:spacing w:after="0"/>
              <w:rPr>
                <w:sz w:val="18"/>
                <w:szCs w:val="18"/>
                <w:color w:val="auto"/>
              </w:rPr>
            </w:pPr>
          </w:p>
        </w:tc>
        <w:tc>
          <w:tcPr>
            <w:tcW w:w="560" w:type="dxa"/>
            <w:vAlign w:val="bottom"/>
            <w:shd w:val="clear" w:color="auto" w:fill="DCE2EF"/>
          </w:tcPr>
          <w:p>
            <w:pPr>
              <w:spacing w:after="0"/>
              <w:rPr>
                <w:sz w:val="18"/>
                <w:szCs w:val="18"/>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(74.7)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560" w:type="dxa"/>
            <w:vAlign w:val="bottom"/>
            <w:shd w:val="clear" w:color="auto" w:fill="DCE2EF"/>
          </w:tcPr>
          <w:p>
            <w:pPr>
              <w:spacing w:after="0"/>
              <w:rPr>
                <w:sz w:val="17"/>
                <w:szCs w:val="17"/>
                <w:color w:val="auto"/>
              </w:rPr>
            </w:pPr>
          </w:p>
        </w:tc>
        <w:tc>
          <w:tcPr>
            <w:tcW w:w="1820" w:type="dxa"/>
            <w:vAlign w:val="bottom"/>
            <w:shd w:val="clear" w:color="auto" w:fill="DCE2EF"/>
          </w:tcPr>
          <w:p>
            <w:pPr>
              <w:spacing w:after="0"/>
              <w:rPr>
                <w:sz w:val="17"/>
                <w:szCs w:val="17"/>
                <w:color w:val="auto"/>
              </w:rPr>
            </w:pPr>
          </w:p>
        </w:tc>
        <w:tc>
          <w:tcPr>
            <w:tcW w:w="140" w:type="dxa"/>
            <w:vAlign w:val="bottom"/>
            <w:shd w:val="clear" w:color="auto" w:fill="DCE2EF"/>
          </w:tcPr>
          <w:p>
            <w:pPr>
              <w:spacing w:after="0"/>
              <w:rPr>
                <w:sz w:val="17"/>
                <w:szCs w:val="17"/>
                <w:color w:val="auto"/>
              </w:rPr>
            </w:pPr>
          </w:p>
        </w:tc>
        <w:tc>
          <w:tcPr>
            <w:tcW w:w="560" w:type="dxa"/>
            <w:vAlign w:val="bottom"/>
            <w:shd w:val="clear" w:color="auto" w:fill="DCE2EF"/>
          </w:tcPr>
          <w:p>
            <w:pPr>
              <w:spacing w:after="0"/>
              <w:rPr>
                <w:sz w:val="17"/>
                <w:szCs w:val="17"/>
                <w:color w:val="auto"/>
              </w:rPr>
            </w:pPr>
          </w:p>
        </w:tc>
        <w:tc>
          <w:tcPr>
            <w:tcW w:w="18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CE2EF"/>
          </w:tcPr>
          <w:p>
            <w:pPr>
              <w:spacing w:after="0"/>
              <w:rPr>
                <w:sz w:val="21"/>
                <w:szCs w:val="21"/>
                <w:color w:val="auto"/>
              </w:rPr>
            </w:pPr>
          </w:p>
        </w:tc>
        <w:tc>
          <w:tcPr>
            <w:tcW w:w="630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Technical Solutions</w:t>
            </w:r>
          </w:p>
        </w:tc>
        <w:tc>
          <w:tcPr>
            <w:tcW w:w="560" w:type="dxa"/>
            <w:vAlign w:val="bottom"/>
            <w:shd w:val="clear" w:color="auto" w:fill="DCE2EF"/>
          </w:tcPr>
          <w:p>
            <w:pPr>
              <w:spacing w:after="0"/>
              <w:rPr>
                <w:sz w:val="21"/>
                <w:szCs w:val="21"/>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18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Adjustment for tax deductions for energy efficient government buildings, included in</w:t>
            </w:r>
          </w:p>
        </w:tc>
        <w:tc>
          <w:tcPr>
            <w:tcW w:w="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gridSpan w:val="2"/>
          </w:tcPr>
          <w:p>
            <w:pPr>
              <w:ind w:left="160"/>
              <w:spacing w:after="0"/>
              <w:rPr>
                <w:sz w:val="20"/>
                <w:szCs w:val="20"/>
                <w:color w:val="auto"/>
              </w:rPr>
            </w:pPr>
            <w:r>
              <w:rPr>
                <w:rFonts w:ascii="Arial" w:cs="Arial" w:eastAsia="Arial" w:hAnsi="Arial"/>
                <w:sz w:val="16"/>
                <w:szCs w:val="16"/>
                <w:color w:val="auto"/>
              </w:rPr>
              <w:t>Technical Solutions</w:t>
            </w:r>
          </w:p>
        </w:tc>
        <w:tc>
          <w:tcPr>
            <w:tcW w:w="56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1"/>
        </w:trPr>
        <w:tc>
          <w:tcPr>
            <w:tcW w:w="20" w:type="dxa"/>
            <w:vAlign w:val="bottom"/>
            <w:tcBorders>
              <w:top w:val="single" w:sz="8" w:color="DCE2EF"/>
            </w:tcBorders>
            <w:shd w:val="clear" w:color="auto" w:fill="DCE2EF"/>
          </w:tcPr>
          <w:p>
            <w:pPr>
              <w:spacing w:after="0"/>
              <w:rPr>
                <w:sz w:val="18"/>
                <w:szCs w:val="18"/>
                <w:color w:val="auto"/>
              </w:rPr>
            </w:pPr>
          </w:p>
        </w:tc>
        <w:tc>
          <w:tcPr>
            <w:tcW w:w="720" w:type="dxa"/>
            <w:vAlign w:val="bottom"/>
            <w:tcBorders>
              <w:top w:val="single" w:sz="8" w:color="DCE2EF"/>
            </w:tcBorders>
            <w:shd w:val="clear" w:color="auto" w:fill="DCE2EF"/>
          </w:tcPr>
          <w:p>
            <w:pPr>
              <w:spacing w:after="0"/>
              <w:rPr>
                <w:sz w:val="18"/>
                <w:szCs w:val="18"/>
                <w:color w:val="auto"/>
              </w:rPr>
            </w:pPr>
          </w:p>
        </w:tc>
        <w:tc>
          <w:tcPr>
            <w:tcW w:w="5580" w:type="dxa"/>
            <w:vAlign w:val="bottom"/>
            <w:tcBorders>
              <w:top w:val="single" w:sz="8" w:color="DCE2EF"/>
            </w:tcBorders>
            <w:shd w:val="clear" w:color="auto" w:fill="DCE2EF"/>
          </w:tcPr>
          <w:p>
            <w:pPr>
              <w:spacing w:after="0"/>
              <w:rPr>
                <w:sz w:val="18"/>
                <w:szCs w:val="18"/>
                <w:color w:val="auto"/>
              </w:rPr>
            </w:pPr>
          </w:p>
        </w:tc>
        <w:tc>
          <w:tcPr>
            <w:tcW w:w="560" w:type="dxa"/>
            <w:vAlign w:val="bottom"/>
            <w:tcBorders>
              <w:top w:val="single" w:sz="8" w:color="auto"/>
              <w:bottom w:val="single" w:sz="8" w:color="auto"/>
            </w:tcBorders>
            <w:shd w:val="clear" w:color="auto" w:fill="DCE2EF"/>
          </w:tcPr>
          <w:p>
            <w:pPr>
              <w:spacing w:after="0"/>
              <w:rPr>
                <w:sz w:val="18"/>
                <w:szCs w:val="18"/>
                <w:color w:val="auto"/>
              </w:rPr>
            </w:pPr>
          </w:p>
        </w:tc>
        <w:tc>
          <w:tcPr>
            <w:tcW w:w="18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74.1</w:t>
            </w:r>
          </w:p>
        </w:tc>
        <w:tc>
          <w:tcPr>
            <w:tcW w:w="140" w:type="dxa"/>
            <w:vAlign w:val="bottom"/>
            <w:tcBorders>
              <w:top w:val="single" w:sz="8" w:color="DCE2EF"/>
            </w:tcBorders>
            <w:shd w:val="clear" w:color="auto" w:fill="DCE2EF"/>
          </w:tcPr>
          <w:p>
            <w:pPr>
              <w:spacing w:after="0"/>
              <w:rPr>
                <w:sz w:val="18"/>
                <w:szCs w:val="18"/>
                <w:color w:val="auto"/>
              </w:rPr>
            </w:pPr>
          </w:p>
        </w:tc>
        <w:tc>
          <w:tcPr>
            <w:tcW w:w="560" w:type="dxa"/>
            <w:vAlign w:val="bottom"/>
            <w:tcBorders>
              <w:top w:val="single" w:sz="8" w:color="auto"/>
              <w:bottom w:val="single" w:sz="8" w:color="auto"/>
            </w:tcBorders>
            <w:shd w:val="clear" w:color="auto" w:fill="DCE2EF"/>
          </w:tcPr>
          <w:p>
            <w:pPr>
              <w:spacing w:after="0"/>
              <w:rPr>
                <w:sz w:val="18"/>
                <w:szCs w:val="18"/>
                <w:color w:val="auto"/>
              </w:rPr>
            </w:pPr>
          </w:p>
        </w:tc>
        <w:tc>
          <w:tcPr>
            <w:tcW w:w="18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63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560" w:type="dxa"/>
            <w:vAlign w:val="bottom"/>
            <w:tcBorders>
              <w:bottom w:val="single" w:sz="8" w:color="auto"/>
            </w:tcBorders>
            <w:shd w:val="clear" w:color="auto" w:fill="DCE2EF"/>
          </w:tcPr>
          <w:p>
            <w:pPr>
              <w:spacing w:after="0"/>
              <w:rPr>
                <w:sz w:val="18"/>
                <w:szCs w:val="18"/>
                <w:color w:val="auto"/>
              </w:rPr>
            </w:pPr>
          </w:p>
        </w:tc>
        <w:tc>
          <w:tcPr>
            <w:tcW w:w="18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140" w:type="dxa"/>
            <w:vAlign w:val="bottom"/>
            <w:shd w:val="clear" w:color="auto" w:fill="DCE2EF"/>
          </w:tcPr>
          <w:p>
            <w:pPr>
              <w:spacing w:after="0"/>
              <w:rPr>
                <w:sz w:val="18"/>
                <w:szCs w:val="18"/>
                <w:color w:val="auto"/>
              </w:rPr>
            </w:pPr>
          </w:p>
        </w:tc>
        <w:tc>
          <w:tcPr>
            <w:tcW w:w="560" w:type="dxa"/>
            <w:vAlign w:val="bottom"/>
            <w:tcBorders>
              <w:bottom w:val="single" w:sz="8" w:color="auto"/>
            </w:tcBorders>
            <w:shd w:val="clear" w:color="auto" w:fill="DCE2EF"/>
          </w:tcPr>
          <w:p>
            <w:pPr>
              <w:spacing w:after="0"/>
              <w:rPr>
                <w:sz w:val="18"/>
                <w:szCs w:val="18"/>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certain actuarial adjustments to self-insurance reserves, acquisition and integration costs, and changes in fair values of contingent consideration. Management does not review asset information by segment, therefore we do not present assets in this note.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This MD&amp;A is provided as a supplement to, and should be read in conjunction with, our Financial Statements and our Annual Report on Form 10-K for the year ended October 31, 2023, which has been filed with the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2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years, which end on October 31.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8"/>
          <w:szCs w:val="18"/>
          <w:color w:val="auto"/>
        </w:rPr>
        <w:t xml:space="preserve">ABM is a leading provider of integrated facility solutions, customized by industry, with a mission to </w:t>
      </w:r>
      <w:r>
        <w:rPr>
          <w:rFonts w:ascii="Arial" w:cs="Arial" w:eastAsia="Arial" w:hAnsi="Arial"/>
          <w:sz w:val="18"/>
          <w:szCs w:val="18"/>
          <w:b w:val="1"/>
          <w:bCs w:val="1"/>
          <w:color w:val="326ABD"/>
        </w:rPr>
        <w:t>make a difference, every</w:t>
      </w:r>
      <w:r>
        <w:rPr>
          <w:rFonts w:ascii="Arial" w:cs="Arial" w:eastAsia="Arial" w:hAnsi="Arial"/>
          <w:sz w:val="18"/>
          <w:szCs w:val="18"/>
          <w:color w:val="auto"/>
        </w:rPr>
        <w:t xml:space="preserve"> </w:t>
      </w:r>
      <w:r>
        <w:rPr>
          <w:rFonts w:ascii="Arial" w:cs="Arial" w:eastAsia="Arial" w:hAnsi="Arial"/>
          <w:sz w:val="18"/>
          <w:szCs w:val="18"/>
          <w:b w:val="1"/>
          <w:bCs w:val="1"/>
          <w:color w:val="326ABD"/>
        </w:rPr>
        <w:t>person,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E98300"/>
        </w:rPr>
        <w:t xml:space="preserve">ELEVATE </w:t>
      </w:r>
      <w:r>
        <w:rPr>
          <w:rFonts w:ascii="Arial" w:cs="Arial" w:eastAsia="Arial" w:hAnsi="Arial"/>
          <w:sz w:val="18"/>
          <w:szCs w:val="18"/>
          <w:b w:val="1"/>
          <w:bCs w:val="1"/>
          <w:color w:val="0046AD"/>
        </w:rPr>
        <w:t>Strategy</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In December 2021, we announced our multiyear strategic plan called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The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is designed to strengthen our industry leadership position through end-market repositioning and build on our core services, which we expect will drive significant long-term value for our stakeholders.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 xml:space="preserve">We will continue to make significant investments over the life of the program, which are expected to total $200 - $215 million, and we will continue to implement various measures with the aim to </w:t>
      </w:r>
      <w:r>
        <w:rPr>
          <w:rFonts w:ascii="Arial" w:cs="Arial" w:eastAsia="Arial" w:hAnsi="Arial"/>
          <w:sz w:val="18"/>
          <w:szCs w:val="18"/>
          <w:b w:val="1"/>
          <w:bCs w:val="1"/>
          <w:color w:val="E98300"/>
        </w:rPr>
        <w:t>ELEVATE</w:t>
      </w:r>
      <w:r>
        <w:rPr>
          <w:rFonts w:ascii="Arial" w:cs="Arial" w:eastAsia="Arial" w:hAnsi="Arial"/>
          <w:sz w:val="18"/>
          <w:szCs w:val="18"/>
          <w:color w:val="auto"/>
        </w:rPr>
        <w:t>:</w:t>
      </w:r>
    </w:p>
    <w:p>
      <w:pPr>
        <w:spacing w:after="0" w:line="83" w:lineRule="exact"/>
        <w:rPr>
          <w:sz w:val="20"/>
          <w:szCs w:val="20"/>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client experience, by serving as a trusted advisor who can provide innovative multiservice solutions and consistent service delivery;</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team member experience, by investing in workforce management, training, developing the next generation of ABM leaders, and building on our inclusive culture;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use of technology and data to power client and employee experiences with cutting-edge data and analytics, processes, and tools that will fundamentally change how we operate our business.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Macro-Economic Environment in Commercial Real Estate and Other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actively monitor the economic environment and its potential impact on demand for our services and our financial condition. Largely driven by the lingering effects of the Pandemic, especially the normalization of hybrid work, the commercial real estate industry, particularly multi -tenant and owner-occupied commercial office buildings, is experiencing an increase in vacancy rates. Given that Class A and high-quality commercial office buildings are a key end market for the Company, we expect a decline in demand for janitorial services and work orders in these markets near-term. As a result, we expect our B&amp;I industry to experience muted growth in the near-term. Longer term, we expect the vacancy rates of Class A and high-quality buildings to gradually decrease and our volume of work to stabilize</w:t>
      </w:r>
      <w:r>
        <w:rPr>
          <w:rFonts w:ascii="Arial" w:cs="Arial" w:eastAsia="Arial" w:hAnsi="Arial"/>
          <w:sz w:val="18"/>
          <w:szCs w:val="18"/>
          <w:b w:val="1"/>
          <w:bCs w:val="1"/>
          <w:color w:val="0046AD"/>
        </w:rPr>
        <w:t>.</w:t>
      </w:r>
    </w:p>
    <w:p>
      <w:pPr>
        <w:spacing w:after="0" w:line="1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 large M&amp;D client has mostly completed rebidding and rebalancing a portion of its work needs as part of its normal procurement process. We expect M&amp;D’s financial results to be adversely impacted in the near-term.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review our self-insurance liabilities on a regular basis and adjust our accruals accordingly. Actual claims activity or development may vary from our assumptions and estimates, which may result in material losses or gains. As we obtain additional information that affects the assumptions and estimates used in our reserve liability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jc w:val="both"/>
        <w:ind w:right="20"/>
        <w:spacing w:after="0" w:line="287" w:lineRule="auto"/>
        <w:rPr>
          <w:sz w:val="20"/>
          <w:szCs w:val="20"/>
          <w:color w:val="auto"/>
        </w:rPr>
      </w:pPr>
      <w:r>
        <w:rPr>
          <w:rFonts w:ascii="Arial" w:cs="Arial" w:eastAsia="Arial" w:hAnsi="Arial"/>
          <w:sz w:val="18"/>
          <w:szCs w:val="18"/>
          <w:color w:val="auto"/>
        </w:rPr>
        <w:t>calculations, we adjust our self-insurance rates and reserves for future periods and, if appropriate, adjust our reserves for claims incurred in prior accounting periods.</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third quarter of 2023, we performed a comprehensive actuarial review of the majority of our casualty insurance programs to evaluate changes made to claims reserves and claims payment activity for the period of November 1, 2022, through April 30, 2023 (the “Actuarial Review”). The Actuarial Review was comprehensive in nature and was based on loss development patterns, trend assumptions, and underlying expected loss costs during the period analyzed.</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claims management strategies and programs that we have implemented have resulted in improvements. Based on the results of the Actuarial Review, we increased our total reserves related to prior years for known claims as well as our estimate of the loss amounts associated with IBNR claims by $5.3 million during the nine months ended January 31, 2024. The favorable review was primarily attributable to reduced claim frequency and severity development within the workers’ compensation program. During the three months ended January 31, 2023, it was determined that there was no adjustment required for our total reserves related to prior year. We will continue to assess ongoing developments, which may result in further adjustments to reserves.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Segment Reporting</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Our current reportable segments consist of B&amp;I, M&amp;D, Education, Aviation, and Technical Solutions,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40575" cy="3549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3549015"/>
                    </a:xfrm>
                    <a:prstGeom prst="rect">
                      <a:avLst/>
                    </a:prstGeom>
                    <a:noFill/>
                  </pic:spPr>
                </pic:pic>
              </a:graphicData>
            </a:graphic>
          </wp:anchor>
        </w:drawing>
      </w:r>
    </w:p>
    <w:p>
      <w:pPr>
        <w:spacing w:after="0" w:line="156" w:lineRule="exact"/>
        <w:rPr>
          <w:sz w:val="20"/>
          <w:szCs w:val="20"/>
          <w:color w:val="auto"/>
        </w:rPr>
      </w:pPr>
    </w:p>
    <w:p>
      <w:pPr>
        <w:jc w:val="center"/>
        <w:ind w:left="2620"/>
        <w:spacing w:after="0"/>
        <w:rPr>
          <w:sz w:val="20"/>
          <w:szCs w:val="20"/>
          <w:color w:val="auto"/>
        </w:rPr>
      </w:pPr>
      <w:r>
        <w:rPr>
          <w:rFonts w:ascii="Arial" w:cs="Arial" w:eastAsia="Arial" w:hAnsi="Arial"/>
          <w:sz w:val="16"/>
          <w:szCs w:val="16"/>
          <w:b w:val="1"/>
          <w:bCs w:val="1"/>
          <w:color w:val="0046AD"/>
        </w:rPr>
        <w:t>REPORTABLE SEGMENTS AND DESCRIPTIONS</w:t>
      </w:r>
    </w:p>
    <w:p>
      <w:pPr>
        <w:spacing w:after="0" w:line="154" w:lineRule="exact"/>
        <w:rPr>
          <w:sz w:val="20"/>
          <w:szCs w:val="20"/>
          <w:color w:val="auto"/>
        </w:rPr>
      </w:pPr>
    </w:p>
    <w:p>
      <w:pPr>
        <w:jc w:val="both"/>
        <w:ind w:left="2660" w:right="180"/>
        <w:spacing w:after="0" w:line="222" w:lineRule="auto"/>
        <w:rPr>
          <w:sz w:val="20"/>
          <w:szCs w:val="20"/>
          <w:color w:val="auto"/>
        </w:rPr>
      </w:pPr>
      <w:r>
        <w:rPr>
          <w:rFonts w:ascii="Arial" w:cs="Arial" w:eastAsia="Arial" w:hAnsi="Arial"/>
          <w:sz w:val="16"/>
          <w:szCs w:val="16"/>
          <w:color w:val="auto"/>
        </w:rPr>
        <w:t>B&amp;I, our largest reportable segment, encompasses janitorial, facilities engineering, and parking services for commercial real estate properties (including corporate offices for high tech clients), sports and entertainment venues, and traditional hospitals and non-acute healthcare facilities. B&amp;I also provides vehicle maintenance and other services to rental car providers. We typically provide these services pursuant to monthly fixed-price, square-foot, cost-plus, and parking arrangements (i.e., management reimbursement, leased location, or allowance) that are obtained through a competitive bid process as well as pursuant to work orders.</w:t>
      </w:r>
    </w:p>
    <w:p>
      <w:pPr>
        <w:spacing w:after="0" w:line="261" w:lineRule="exact"/>
        <w:rPr>
          <w:sz w:val="20"/>
          <w:szCs w:val="20"/>
          <w:color w:val="auto"/>
        </w:rPr>
      </w:pPr>
    </w:p>
    <w:p>
      <w:pPr>
        <w:jc w:val="both"/>
        <w:ind w:left="2660" w:right="20"/>
        <w:spacing w:after="0"/>
        <w:rPr>
          <w:sz w:val="20"/>
          <w:szCs w:val="20"/>
          <w:color w:val="auto"/>
        </w:rPr>
      </w:pPr>
      <w:r>
        <w:rPr>
          <w:rFonts w:ascii="Arial" w:cs="Arial" w:eastAsia="Arial" w:hAnsi="Arial"/>
          <w:sz w:val="16"/>
          <w:szCs w:val="16"/>
          <w:color w:val="auto"/>
        </w:rPr>
        <w:t>M&amp;D provides integrated facility services, engineering, janitorial, and other specialized services to a variety of manufacturing, distribution, and data center facilities. We typically provide these services pursuant to monthly fixed-price, square-foot, and cost-plus, that are obtained through a competitive bid process as well as pursuant to work orders.</w:t>
      </w:r>
    </w:p>
    <w:p>
      <w:pPr>
        <w:spacing w:after="0" w:line="200" w:lineRule="exact"/>
        <w:rPr>
          <w:sz w:val="20"/>
          <w:szCs w:val="20"/>
          <w:color w:val="auto"/>
        </w:rPr>
      </w:pPr>
    </w:p>
    <w:p>
      <w:pPr>
        <w:spacing w:after="0" w:line="247" w:lineRule="exact"/>
        <w:rPr>
          <w:sz w:val="20"/>
          <w:szCs w:val="20"/>
          <w:color w:val="auto"/>
        </w:rPr>
      </w:pPr>
    </w:p>
    <w:p>
      <w:pPr>
        <w:jc w:val="both"/>
        <w:ind w:left="2660" w:right="20"/>
        <w:spacing w:after="0" w:line="228" w:lineRule="auto"/>
        <w:rPr>
          <w:sz w:val="20"/>
          <w:szCs w:val="20"/>
          <w:color w:val="auto"/>
        </w:rPr>
      </w:pPr>
      <w:r>
        <w:rPr>
          <w:rFonts w:ascii="Arial" w:cs="Arial" w:eastAsia="Arial" w:hAnsi="Arial"/>
          <w:sz w:val="16"/>
          <w:szCs w:val="16"/>
          <w:color w:val="auto"/>
        </w:rPr>
        <w:t>Education delivers janitorial, custodial, landscaping and grounds, facilities engineering, and parking services for public school districts, private schools, colleges, and universities. These services are typically provided pursuant to monthly fixed-price, square-foot, and cost-plus arrangements that are obtained through either a competitive bid process or re-bid upon renewal as well as pursuant to work orders.</w:t>
      </w:r>
    </w:p>
    <w:p>
      <w:pPr>
        <w:spacing w:after="0" w:line="300" w:lineRule="exact"/>
        <w:rPr>
          <w:sz w:val="20"/>
          <w:szCs w:val="20"/>
          <w:color w:val="auto"/>
        </w:rPr>
      </w:pPr>
    </w:p>
    <w:p>
      <w:pPr>
        <w:jc w:val="both"/>
        <w:ind w:left="2660" w:right="20"/>
        <w:spacing w:after="0" w:line="228" w:lineRule="auto"/>
        <w:rPr>
          <w:sz w:val="20"/>
          <w:szCs w:val="20"/>
          <w:color w:val="auto"/>
        </w:rPr>
      </w:pPr>
      <w:r>
        <w:rPr>
          <w:rFonts w:ascii="Arial" w:cs="Arial" w:eastAsia="Arial" w:hAnsi="Arial"/>
          <w:sz w:val="16"/>
          <w:szCs w:val="16"/>
          <w:color w:val="auto"/>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monthly fixed-price, square-foot, cost-plus, parking, transaction-price, and hourly arrangements.</w:t>
      </w:r>
    </w:p>
    <w:p>
      <w:pPr>
        <w:spacing w:after="0" w:line="273" w:lineRule="exact"/>
        <w:rPr>
          <w:sz w:val="20"/>
          <w:szCs w:val="20"/>
          <w:color w:val="auto"/>
        </w:rPr>
      </w:pPr>
    </w:p>
    <w:p>
      <w:pPr>
        <w:jc w:val="both"/>
        <w:ind w:left="2660" w:right="20"/>
        <w:spacing w:after="0" w:line="225" w:lineRule="auto"/>
        <w:rPr>
          <w:sz w:val="20"/>
          <w:szCs w:val="20"/>
          <w:color w:val="auto"/>
        </w:rPr>
      </w:pPr>
      <w:r>
        <w:rPr>
          <w:rFonts w:ascii="Arial" w:cs="Arial" w:eastAsia="Arial" w:hAnsi="Arial"/>
          <w:sz w:val="16"/>
          <w:szCs w:val="16"/>
          <w:color w:val="auto"/>
        </w:rPr>
        <w:t>Technical Solutions specializes in facility infrastructure, mechanical and electrical services, including EV power design, installation and maintenance, as well as microgrid systems design and installation. These services can also be leveraged for cross-selling across all of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46AD"/>
        </w:rPr>
        <w:t>Key Financial Highlights</w:t>
      </w:r>
    </w:p>
    <w:p>
      <w:pPr>
        <w:spacing w:after="0" w:line="225" w:lineRule="exact"/>
        <w:rPr>
          <w:sz w:val="20"/>
          <w:szCs w:val="20"/>
          <w:color w:val="auto"/>
        </w:rPr>
      </w:pPr>
    </w:p>
    <w:p>
      <w:pPr>
        <w:jc w:val="both"/>
        <w:ind w:left="660" w:hanging="328"/>
        <w:spacing w:after="0" w:line="259" w:lineRule="auto"/>
        <w:tabs>
          <w:tab w:leader="none" w:pos="652" w:val="left"/>
        </w:tabs>
        <w:numPr>
          <w:ilvl w:val="0"/>
          <w:numId w:val="13"/>
        </w:numPr>
        <w:rPr>
          <w:rFonts w:ascii="Calibri" w:cs="Calibri" w:eastAsia="Calibri" w:hAnsi="Calibri"/>
          <w:sz w:val="9"/>
          <w:szCs w:val="9"/>
          <w:b w:val="1"/>
          <w:bCs w:val="1"/>
          <w:i w:val="1"/>
          <w:iCs w:val="1"/>
          <w:color w:val="0046AD"/>
        </w:rPr>
      </w:pPr>
      <w:r>
        <w:rPr>
          <w:rFonts w:ascii="Arial" w:cs="Arial" w:eastAsia="Arial" w:hAnsi="Arial"/>
          <w:sz w:val="18"/>
          <w:szCs w:val="18"/>
          <w:color w:val="auto"/>
        </w:rPr>
        <w:t>Revenues increased by $78.3 million, or 3.9%, to $2,069.6 million during the three months ended January 31, 2024, as compared to the prior year period. The increase was primarily driven by the net new business and expansion of business with existing customers within M&amp;D and Education, the recovery in volume and new business in Aviation, and the timing of completion of certain energy solution projects within Technical Solutions. The increase in revenues was partially offset by a decline in work orders and expected attrition of certain engineering clients in B&amp;I.</w:t>
      </w:r>
    </w:p>
    <w:p>
      <w:pPr>
        <w:spacing w:after="0" w:line="125" w:lineRule="exact"/>
        <w:rPr>
          <w:rFonts w:ascii="Calibri" w:cs="Calibri" w:eastAsia="Calibri" w:hAnsi="Calibri"/>
          <w:sz w:val="9"/>
          <w:szCs w:val="9"/>
          <w:b w:val="1"/>
          <w:bCs w:val="1"/>
          <w:i w:val="1"/>
          <w:iCs w:val="1"/>
          <w:color w:val="0046AD"/>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increased by $1.5 million, to $21.3 million during the three months ended January 31, 2024, as compared to the prior year period, and was driven by higher interest rates on our Amended Credit Facility.</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effective tax rate on income from operations was 17.3% for the three months ended January 31, 2024, as compared to 26.9% for the three months ended January 31, 2023. Our effective tax rate for the three months ended January 31, 2024, benefited from discrete items, primarily uncertain tax positions, share-based compensation, and return to provision adjustments. Our effective tax rate for the three months ended January 31, 2023, benefited from discrete items, primarily share-based compensation.</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cash provided by operating activities was $0.1 million during the three months ended January 31, 2024. Our total net cash provided by operating cash flows was higher compared to the prior year period, primarily due to the timing of working capital requirements, which included a $66.0 million payment of previously deferred payroll taxes during the three months ended January 31, 2023.</w:t>
      </w:r>
    </w:p>
    <w:p>
      <w:pPr>
        <w:spacing w:after="0" w:line="12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of $14.1 million were paid to shareholders, and dividends totaling $0.225 per common share were declared during the three months ended January 31, 2024.</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January 31, 2024, total outstanding borrowings under our Amended Credit Facility were $1.3 billion. At January 31, 2024, we had up to $449.8 million of borrowing capacity.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0"/>
          <w:szCs w:val="20"/>
          <w:color w:val="auto"/>
        </w:rPr>
      </w:pPr>
    </w:p>
    <w:p>
      <w:pPr>
        <w:ind w:right="2920"/>
        <w:spacing w:after="0" w:line="463" w:lineRule="auto"/>
        <w:rPr>
          <w:sz w:val="20"/>
          <w:szCs w:val="20"/>
          <w:color w:val="auto"/>
        </w:rPr>
      </w:pPr>
      <w:r>
        <w:rPr>
          <w:rFonts w:ascii="Arial" w:cs="Arial" w:eastAsia="Arial" w:hAnsi="Arial"/>
          <w:sz w:val="18"/>
          <w:szCs w:val="18"/>
          <w:b w:val="1"/>
          <w:bCs w:val="1"/>
          <w:i w:val="1"/>
          <w:iCs w:val="1"/>
          <w:color w:val="0046AD"/>
        </w:rPr>
        <w:t>Three Months Ended January 31, 2024, Compared with the Three Months Ended January 31, 2023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80"/>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60"/>
              <w:spacing w:after="0" w:line="169"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480" w:type="dxa"/>
            <w:vAlign w:val="bottom"/>
            <w:tcBorders>
              <w:top w:val="single" w:sz="8" w:color="auto"/>
              <w:bottom w:val="single" w:sz="8" w:color="DCE2EF"/>
            </w:tcBorders>
          </w:tcPr>
          <w:p>
            <w:pPr>
              <w:spacing w:after="0" w:line="20" w:lineRule="exact"/>
              <w:rPr>
                <w:sz w:val="1"/>
                <w:szCs w:val="1"/>
                <w:color w:val="auto"/>
              </w:rPr>
            </w:pPr>
          </w:p>
        </w:tc>
        <w:tc>
          <w:tcPr>
            <w:tcW w:w="274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2,069.6</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1,991.3</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78.3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3.9%</w:t>
            </w:r>
          </w:p>
        </w:tc>
      </w:tr>
      <w:tr>
        <w:trPr>
          <w:trHeight w:val="215"/>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1,826.3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1,749.8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76.5</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4.4%</w:t>
            </w:r>
          </w:p>
        </w:tc>
      </w:tr>
      <w:tr>
        <w:trPr>
          <w:trHeight w:val="21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12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shd w:val="clear" w:color="auto" w:fill="DCE2EF"/>
          </w:tcPr>
          <w:p>
            <w:pPr>
              <w:spacing w:after="0"/>
              <w:rPr>
                <w:sz w:val="18"/>
                <w:szCs w:val="18"/>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11.8 %</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12.1 %</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(37) bps</w:t>
            </w:r>
          </w:p>
        </w:tc>
        <w:tc>
          <w:tcPr>
            <w:tcW w:w="1280" w:type="dxa"/>
            <w:vAlign w:val="bottom"/>
            <w:shd w:val="clear" w:color="auto" w:fill="DCE2E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2.7%</w:t>
            </w:r>
          </w:p>
        </w:tc>
      </w:tr>
      <w:tr>
        <w:trPr>
          <w:trHeight w:val="21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DCE2EF"/>
          </w:tcPr>
          <w:p>
            <w:pPr>
              <w:spacing w:after="0"/>
              <w:rPr>
                <w:sz w:val="18"/>
                <w:szCs w:val="18"/>
                <w:color w:val="auto"/>
              </w:rPr>
            </w:pPr>
          </w:p>
        </w:tc>
        <w:tc>
          <w:tcPr>
            <w:tcW w:w="140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(24.8)%</w:t>
            </w:r>
          </w:p>
        </w:tc>
      </w:tr>
      <w:tr>
        <w:trPr>
          <w:trHeight w:val="209"/>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3.7%</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from unconsolidated affiliates</w:t>
            </w:r>
          </w:p>
        </w:tc>
        <w:tc>
          <w:tcPr>
            <w:tcW w:w="26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16.4%</w:t>
            </w:r>
          </w:p>
        </w:tc>
      </w:tr>
      <w:tr>
        <w:trPr>
          <w:trHeight w:val="215"/>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8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(7.6)%</w:t>
            </w:r>
          </w:p>
        </w:tc>
      </w:tr>
      <w:tr>
        <w:trPr>
          <w:trHeight w:val="210"/>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2.5%</w:t>
            </w:r>
          </w:p>
        </w:tc>
      </w:tr>
      <w:tr>
        <w:trPr>
          <w:trHeight w:val="215"/>
        </w:trPr>
        <w:tc>
          <w:tcPr>
            <w:tcW w:w="20" w:type="dxa"/>
            <w:vAlign w:val="bottom"/>
            <w:tcBorders>
              <w:bottom w:val="single" w:sz="8" w:color="DCE2EF"/>
            </w:tcBorders>
          </w:tcPr>
          <w:p>
            <w:pPr>
              <w:spacing w:after="0"/>
              <w:rPr>
                <w:sz w:val="18"/>
                <w:szCs w:val="18"/>
                <w:color w:val="auto"/>
              </w:rPr>
            </w:pPr>
          </w:p>
        </w:tc>
        <w:tc>
          <w:tcPr>
            <w:tcW w:w="522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DCE2E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34.4%</w:t>
            </w:r>
          </w:p>
        </w:tc>
      </w:tr>
      <w:tr>
        <w:trPr>
          <w:trHeight w:val="210"/>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DCE2EF"/>
          </w:tcPr>
          <w:p>
            <w:pPr>
              <w:spacing w:after="0"/>
              <w:rPr>
                <w:sz w:val="18"/>
                <w:szCs w:val="18"/>
                <w:color w:val="auto"/>
              </w:rPr>
            </w:pPr>
          </w:p>
        </w:tc>
        <w:tc>
          <w:tcPr>
            <w:tcW w:w="140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16.1%</w:t>
            </w:r>
          </w:p>
        </w:tc>
      </w:tr>
      <w:tr>
        <w:trPr>
          <w:trHeight w:val="195"/>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Interest rate swaps</w:t>
            </w:r>
          </w:p>
        </w:tc>
        <w:tc>
          <w:tcPr>
            <w:tcW w:w="26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DCE2EF"/>
          </w:tcPr>
          <w:p>
            <w:pPr>
              <w:spacing w:after="0"/>
              <w:rPr>
                <w:sz w:val="18"/>
                <w:szCs w:val="18"/>
                <w:color w:val="auto"/>
              </w:rPr>
            </w:pPr>
          </w:p>
        </w:tc>
        <w:tc>
          <w:tcPr>
            <w:tcW w:w="38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22.8%</w:t>
            </w:r>
          </w:p>
        </w:tc>
      </w:tr>
      <w:tr>
        <w:trPr>
          <w:trHeight w:val="215"/>
        </w:trPr>
        <w:tc>
          <w:tcPr>
            <w:tcW w:w="20" w:type="dxa"/>
            <w:vAlign w:val="bottom"/>
          </w:tcPr>
          <w:p>
            <w:pPr>
              <w:spacing w:after="0"/>
              <w:rPr>
                <w:sz w:val="18"/>
                <w:szCs w:val="18"/>
                <w:color w:val="auto"/>
              </w:rPr>
            </w:pPr>
          </w:p>
        </w:tc>
        <w:tc>
          <w:tcPr>
            <w:tcW w:w="5220" w:type="dxa"/>
            <w:vAlign w:val="bottom"/>
            <w:gridSpan w:val="2"/>
          </w:tcPr>
          <w:p>
            <w:pPr>
              <w:ind w:left="340"/>
              <w:spacing w:after="0"/>
              <w:rPr>
                <w:sz w:val="20"/>
                <w:szCs w:val="20"/>
                <w:color w:val="auto"/>
              </w:rPr>
            </w:pPr>
            <w:r>
              <w:rPr>
                <w:rFonts w:ascii="Arial" w:cs="Arial" w:eastAsia="Arial" w:hAnsi="Arial"/>
                <w:sz w:val="16"/>
                <w:szCs w:val="16"/>
                <w:color w:val="auto"/>
              </w:rPr>
              <w:t>Foreign currency translation and other</w:t>
            </w:r>
          </w:p>
        </w:tc>
        <w:tc>
          <w:tcPr>
            <w:tcW w:w="26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(48.6)%</w:t>
            </w:r>
          </w:p>
        </w:tc>
      </w:tr>
      <w:tr>
        <w:trPr>
          <w:trHeight w:val="216"/>
        </w:trPr>
        <w:tc>
          <w:tcPr>
            <w:tcW w:w="20" w:type="dxa"/>
            <w:vAlign w:val="bottom"/>
            <w:shd w:val="clear" w:color="auto" w:fill="DCE2EF"/>
          </w:tcPr>
          <w:p>
            <w:pPr>
              <w:spacing w:after="0"/>
              <w:rPr>
                <w:sz w:val="18"/>
                <w:szCs w:val="18"/>
                <w:color w:val="auto"/>
              </w:rPr>
            </w:pPr>
          </w:p>
        </w:tc>
        <w:tc>
          <w:tcPr>
            <w:tcW w:w="52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DCE2EF"/>
          </w:tcPr>
          <w:p>
            <w:pPr>
              <w:spacing w:after="0"/>
              <w:rPr>
                <w:sz w:val="18"/>
                <w:szCs w:val="18"/>
                <w:color w:val="auto"/>
              </w:rPr>
            </w:pPr>
          </w:p>
        </w:tc>
        <w:tc>
          <w:tcPr>
            <w:tcW w:w="140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DCE2EF"/>
          </w:tcPr>
          <w:p>
            <w:pPr>
              <w:spacing w:after="0"/>
              <w:rPr>
                <w:sz w:val="18"/>
                <w:szCs w:val="18"/>
                <w:color w:val="auto"/>
              </w:rPr>
            </w:pPr>
          </w:p>
        </w:tc>
        <w:tc>
          <w:tcPr>
            <w:tcW w:w="380" w:type="dxa"/>
            <w:vAlign w:val="bottom"/>
            <w:tcBorders>
              <w:bottom w:val="single" w:sz="8" w:color="auto"/>
            </w:tcBorders>
            <w:shd w:val="clear" w:color="auto" w:fill="DCE2EF"/>
          </w:tcPr>
          <w:p>
            <w:pPr>
              <w:spacing w:after="0"/>
              <w:rPr>
                <w:sz w:val="18"/>
                <w:szCs w:val="18"/>
                <w:color w:val="auto"/>
              </w:rPr>
            </w:pPr>
          </w:p>
        </w:tc>
        <w:tc>
          <w:tcPr>
            <w:tcW w:w="128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DCE2EF"/>
          </w:tcPr>
          <w:p>
            <w:pPr>
              <w:spacing w:after="0"/>
              <w:rPr>
                <w:sz w:val="18"/>
                <w:szCs w:val="18"/>
                <w:color w:val="auto"/>
              </w:rPr>
            </w:pPr>
          </w:p>
        </w:tc>
        <w:tc>
          <w:tcPr>
            <w:tcW w:w="2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16.0%</w:t>
            </w:r>
          </w:p>
        </w:tc>
      </w:tr>
      <w:tr>
        <w:trPr>
          <w:trHeight w:val="210"/>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(3.4)%</w:t>
            </w: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increased by $78.3 million, or 3.9%, to $ 2,069.6 million during the three months ended January 31, 2024, as compared to the prior year period. The increase was primarily driven by the net new business and expansion of business with existing customers within M&amp;D and Education, the recovery in volume and new business in Aviation, and the timing of completion of certain energy solution projects within Technical Solutions. The increase in revenues was partially offset by a decline in work orders and expected attrition of certain engineering clients in B&amp;I.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expenses increased by $76.5 million, or 4.4%, to $ 1,826.3 million during the three months ended January 31, 2024, as compared to the prior year period. Gross margin decreased by 37 bps to 11.8% in the three months ended January 31, 2024, from 12.1% in the prior year period. The decrease in gross margin was primarily driven by the change in contact mix as well as an unfavorable self-insurance adjustment related to prior year claims as the result of actuarial evaluations completed.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Selling, general and administrative expenses increased by $4.0 million to $154.6 million during the three months ended January 31, 2024, as compared to the prior year period. The increase in selling, general and administrative expenses was primarily attributable to:</w:t>
      </w:r>
    </w:p>
    <w:p>
      <w:pPr>
        <w:spacing w:after="0" w:line="153" w:lineRule="exact"/>
        <w:rPr>
          <w:sz w:val="20"/>
          <w:szCs w:val="20"/>
          <w:color w:val="auto"/>
        </w:rPr>
      </w:pPr>
    </w:p>
    <w:p>
      <w:pPr>
        <w:ind w:left="640" w:hanging="308"/>
        <w:spacing w:after="0"/>
        <w:tabs>
          <w:tab w:leader="none" w:pos="640" w:val="left"/>
        </w:tabs>
        <w:numPr>
          <w:ilvl w:val="0"/>
          <w:numId w:val="14"/>
        </w:numPr>
        <w:rPr>
          <w:rFonts w:ascii="Calibri" w:cs="Calibri" w:eastAsia="Calibri" w:hAnsi="Calibri"/>
          <w:sz w:val="12"/>
          <w:szCs w:val="12"/>
          <w:b w:val="1"/>
          <w:bCs w:val="1"/>
          <w:i w:val="1"/>
          <w:iCs w:val="1"/>
          <w:color w:val="auto"/>
        </w:rPr>
      </w:pPr>
      <w:r>
        <w:rPr>
          <w:rFonts w:ascii="Arial" w:cs="Arial" w:eastAsia="Arial" w:hAnsi="Arial"/>
          <w:sz w:val="18"/>
          <w:szCs w:val="18"/>
          <w:color w:val="auto"/>
        </w:rPr>
        <w:t>a $7.8 million increase in outside professional costs primarily related to consulting costs for our technology projects and</w:t>
      </w:r>
    </w:p>
    <w:p>
      <w:pPr>
        <w:spacing w:after="0" w:line="171" w:lineRule="exact"/>
        <w:rPr>
          <w:rFonts w:ascii="Calibri" w:cs="Calibri" w:eastAsia="Calibri" w:hAnsi="Calibri"/>
          <w:sz w:val="12"/>
          <w:szCs w:val="12"/>
          <w:b w:val="1"/>
          <w:bCs w:val="1"/>
          <w:i w:val="1"/>
          <w:iCs w:val="1"/>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$2.9 million increase in bad debt, including a favorable adjustment of $1.0 million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$10.2 million decrease in certain technology projects primarily attributable to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6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Amortization of intangible assets decreased by $4.9 million, or 24.8%, to $ 14.6 million during the three months ended January 31, 2024, as compared to the prior year period. The decrease was primarily due to the amortization of intangibles acquired as part of the RavenVolt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Interest expense increased by $1.5 million, to $ 21.3 million during the three months ended January 31, 2024, as compared to the prior year period, and was driven by higher interest rates on our Amended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Operations</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Our effective tax rates from income on operations for the three months ended January 31, 2024, and January 31, 2023, were 17.3% and 26.9%, respectively, resulting in provisions for taxes of $9.3 million and $14.2 million, respectively.</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effective tax rate for the three months ended January 31, 2024, benefited from discrete items, primarily by $2.9 million for uncertain tax positions, $2.1 million for share-based compensation, and $2.0 million for return to provision adjustments related to our non-U.S. operations. Our effective tax rate for the three months ended January 31, 2023, benefited by $1.3 million for share-based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had a loss of $16.0 million on interest rate swaps during the three months ended January 31, 2024, as compared to a loss of $13.1 million during the three months ended January 31, 2023, primarily due to underlying changes in the fair value of our interest rate swaps.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foreign currency translation gain of $5.4 million during the three months ended January 31, 2024, as compared to a foreign currency translation gain of $10.5 million during the three months ended January 31, 2023.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581"/>
              <w:spacing w:after="0" w:line="169"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81"/>
              <w:spacing w:after="0" w:line="169"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2"/>
          </w:tcPr>
          <w:p>
            <w:pPr>
              <w:jc w:val="right"/>
              <w:ind w:right="339"/>
              <w:spacing w:after="0" w:line="169" w:lineRule="exact"/>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CE2EF"/>
          </w:tcPr>
          <w:p>
            <w:pPr>
              <w:spacing w:after="0"/>
              <w:rPr>
                <w:sz w:val="17"/>
                <w:szCs w:val="17"/>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spacing w:after="0"/>
              <w:rPr>
                <w:sz w:val="17"/>
                <w:szCs w:val="17"/>
                <w:color w:val="auto"/>
              </w:rPr>
            </w:pPr>
          </w:p>
        </w:tc>
        <w:tc>
          <w:tcPr>
            <w:tcW w:w="14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00" w:type="dxa"/>
            <w:vAlign w:val="bottom"/>
            <w:shd w:val="clear" w:color="auto" w:fill="DCE2EF"/>
          </w:tcPr>
          <w:p>
            <w:pPr>
              <w:spacing w:after="0"/>
              <w:rPr>
                <w:sz w:val="17"/>
                <w:szCs w:val="17"/>
                <w:color w:val="auto"/>
              </w:rPr>
            </w:pPr>
          </w:p>
        </w:tc>
        <w:tc>
          <w:tcPr>
            <w:tcW w:w="12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28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1"/>
              <w:spacing w:after="0"/>
              <w:rPr>
                <w:sz w:val="20"/>
                <w:szCs w:val="20"/>
                <w:color w:val="auto"/>
              </w:rPr>
            </w:pPr>
            <w:r>
              <w:rPr>
                <w:rFonts w:ascii="Arial" w:cs="Arial" w:eastAsia="Arial" w:hAnsi="Arial"/>
                <w:sz w:val="16"/>
                <w:szCs w:val="16"/>
                <w:color w:val="auto"/>
              </w:rPr>
              <w:t>1,033.1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1,036.6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1280" w:type="dxa"/>
            <w:vAlign w:val="bottom"/>
          </w:tcPr>
          <w:p>
            <w:pPr>
              <w:jc w:val="center"/>
              <w:ind w:left="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28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400.9</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380.5</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20.4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280" w:type="dxa"/>
            <w:vAlign w:val="bottom"/>
          </w:tcPr>
          <w:p>
            <w:pPr>
              <w:spacing w:after="0"/>
              <w:rPr>
                <w:sz w:val="18"/>
                <w:szCs w:val="18"/>
                <w:color w:val="auto"/>
              </w:rPr>
            </w:pPr>
          </w:p>
        </w:tc>
        <w:tc>
          <w:tcPr>
            <w:tcW w:w="1400" w:type="dxa"/>
            <w:vAlign w:val="bottom"/>
          </w:tcPr>
          <w:p>
            <w:pPr>
              <w:jc w:val="right"/>
              <w:ind w:right="121"/>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18"/>
                <w:szCs w:val="18"/>
                <w:color w:val="auto"/>
              </w:rPr>
            </w:pP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37.2</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20" w:type="dxa"/>
            <w:vAlign w:val="bottom"/>
            <w:tcBorders>
              <w:bottom w:val="single" w:sz="8" w:color="DCE2EF"/>
            </w:tcBorders>
          </w:tcPr>
          <w:p>
            <w:pPr>
              <w:spacing w:after="0"/>
              <w:rPr>
                <w:sz w:val="18"/>
                <w:szCs w:val="18"/>
                <w:color w:val="auto"/>
              </w:rPr>
            </w:pPr>
          </w:p>
        </w:tc>
        <w:tc>
          <w:tcPr>
            <w:tcW w:w="5180" w:type="dxa"/>
            <w:vAlign w:val="bottom"/>
            <w:tcBorders>
              <w:bottom w:val="single" w:sz="8" w:color="DCE2EF"/>
            </w:tcBorders>
            <w:gridSpan w:val="2"/>
          </w:tcPr>
          <w:p>
            <w:pPr>
              <w:spacing w:after="0"/>
              <w:rPr>
                <w:sz w:val="20"/>
                <w:szCs w:val="20"/>
                <w:color w:val="auto"/>
              </w:rPr>
            </w:pPr>
            <w:r>
              <w:rPr>
                <w:rFonts w:ascii="Arial" w:cs="Arial" w:eastAsia="Arial" w:hAnsi="Arial"/>
                <w:sz w:val="16"/>
                <w:szCs w:val="16"/>
                <w:color w:val="auto"/>
              </w:rPr>
              <w:t>Technical Solutions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165.9</w:t>
            </w:r>
          </w:p>
        </w:tc>
        <w:tc>
          <w:tcPr>
            <w:tcW w:w="100" w:type="dxa"/>
            <w:vAlign w:val="bottom"/>
            <w:tcBorders>
              <w:bottom w:val="single" w:sz="8" w:color="DCE2E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w:t>
            </w:r>
          </w:p>
        </w:tc>
        <w:tc>
          <w:tcPr>
            <w:tcW w:w="128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5"/>
        </w:trPr>
        <w:tc>
          <w:tcPr>
            <w:tcW w:w="20" w:type="dxa"/>
            <w:vAlign w:val="bottom"/>
            <w:tcBorders>
              <w:bottom w:val="single" w:sz="8" w:color="DCE2EF"/>
            </w:tcBorders>
            <w:shd w:val="clear" w:color="auto" w:fill="DCE2EF"/>
          </w:tcPr>
          <w:p>
            <w:pPr>
              <w:spacing w:after="0"/>
              <w:rPr>
                <w:sz w:val="20"/>
                <w:szCs w:val="20"/>
                <w:color w:val="auto"/>
              </w:rPr>
            </w:pPr>
          </w:p>
        </w:tc>
        <w:tc>
          <w:tcPr>
            <w:tcW w:w="740" w:type="dxa"/>
            <w:vAlign w:val="bottom"/>
            <w:tcBorders>
              <w:bottom w:val="single" w:sz="8" w:color="DCE2EF"/>
            </w:tcBorders>
            <w:shd w:val="clear" w:color="auto" w:fill="DCE2EF"/>
          </w:tcPr>
          <w:p>
            <w:pPr>
              <w:spacing w:after="0"/>
              <w:rPr>
                <w:sz w:val="20"/>
                <w:szCs w:val="20"/>
                <w:color w:val="auto"/>
              </w:rPr>
            </w:pPr>
          </w:p>
        </w:tc>
        <w:tc>
          <w:tcPr>
            <w:tcW w:w="4440" w:type="dxa"/>
            <w:vAlign w:val="bottom"/>
            <w:tcBorders>
              <w:bottom w:val="single" w:sz="8" w:color="DCE2EF"/>
            </w:tcBorders>
            <w:shd w:val="clear" w:color="auto" w:fill="DCE2EF"/>
          </w:tcPr>
          <w:p>
            <w:pPr>
              <w:spacing w:after="0"/>
              <w:rPr>
                <w:sz w:val="20"/>
                <w:szCs w:val="20"/>
                <w:color w:val="auto"/>
              </w:rPr>
            </w:pP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2,069.6</w:t>
            </w:r>
          </w:p>
        </w:tc>
        <w:tc>
          <w:tcPr>
            <w:tcW w:w="100" w:type="dxa"/>
            <w:vAlign w:val="bottom"/>
            <w:tcBorders>
              <w:bottom w:val="single" w:sz="8" w:color="DCE2EF"/>
            </w:tcBorders>
            <w:shd w:val="clear" w:color="auto" w:fill="DCE2EF"/>
          </w:tcPr>
          <w:p>
            <w:pPr>
              <w:spacing w:after="0"/>
              <w:rPr>
                <w:sz w:val="20"/>
                <w:szCs w:val="20"/>
                <w:color w:val="auto"/>
              </w:rPr>
            </w:pPr>
          </w:p>
        </w:tc>
        <w:tc>
          <w:tcPr>
            <w:tcW w:w="40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1,991.3</w:t>
            </w:r>
          </w:p>
        </w:tc>
        <w:tc>
          <w:tcPr>
            <w:tcW w:w="100" w:type="dxa"/>
            <w:vAlign w:val="bottom"/>
            <w:tcBorders>
              <w:bottom w:val="single" w:sz="8" w:color="DCE2EF"/>
            </w:tcBorders>
            <w:shd w:val="clear" w:color="auto" w:fill="DCE2EF"/>
          </w:tcPr>
          <w:p>
            <w:pPr>
              <w:spacing w:after="0"/>
              <w:rPr>
                <w:sz w:val="20"/>
                <w:szCs w:val="20"/>
                <w:color w:val="auto"/>
              </w:rPr>
            </w:pP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CE2EF"/>
          </w:tcPr>
          <w:p>
            <w:pPr>
              <w:jc w:val="right"/>
              <w:ind w:right="1"/>
              <w:spacing w:after="0"/>
              <w:rPr>
                <w:sz w:val="20"/>
                <w:szCs w:val="20"/>
                <w:color w:val="auto"/>
              </w:rPr>
            </w:pPr>
            <w:r>
              <w:rPr>
                <w:rFonts w:ascii="Arial" w:cs="Arial" w:eastAsia="Arial" w:hAnsi="Arial"/>
                <w:sz w:val="16"/>
                <w:szCs w:val="16"/>
                <w:color w:val="auto"/>
              </w:rPr>
              <w:t>78.3</w:t>
            </w:r>
          </w:p>
        </w:tc>
        <w:tc>
          <w:tcPr>
            <w:tcW w:w="1280" w:type="dxa"/>
            <w:vAlign w:val="bottom"/>
            <w:tcBorders>
              <w:bottom w:val="single" w:sz="8" w:color="DCE2EF"/>
            </w:tcBorders>
            <w:shd w:val="clear" w:color="auto" w:fill="DCE2EF"/>
          </w:tcPr>
          <w:p>
            <w:pPr>
              <w:jc w:val="center"/>
              <w:ind w:lef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DCE2EF"/>
              <w:bottom w:val="single" w:sz="8" w:color="DCE2EF"/>
            </w:tcBorders>
            <w:vMerge w:val="restart"/>
          </w:tcPr>
          <w:p>
            <w:pPr>
              <w:spacing w:after="0" w:line="20" w:lineRule="exact"/>
              <w:rPr>
                <w:sz w:val="1"/>
                <w:szCs w:val="1"/>
                <w:color w:val="auto"/>
              </w:rPr>
            </w:pPr>
          </w:p>
        </w:tc>
        <w:tc>
          <w:tcPr>
            <w:tcW w:w="5180" w:type="dxa"/>
            <w:vAlign w:val="bottom"/>
            <w:tcBorders>
              <w:top w:val="single" w:sz="8" w:color="DCE2EF"/>
              <w:bottom w:val="single" w:sz="8" w:color="DCE2EF"/>
            </w:tcBorders>
            <w:gridSpan w:val="2"/>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14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28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128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3.7</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7.3 %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38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92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10.3 %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10.7 %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(43)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92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0.9</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5.8 %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28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9.7</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920" w:type="dxa"/>
            <w:vAlign w:val="bottom"/>
            <w:shd w:val="clear" w:color="auto" w:fill="DCE2EF"/>
          </w:tcPr>
          <w:p>
            <w:pPr>
              <w:jc w:val="right"/>
              <w:ind w:right="1"/>
              <w:spacing w:after="0"/>
              <w:rPr>
                <w:sz w:val="20"/>
                <w:szCs w:val="20"/>
                <w:color w:val="auto"/>
              </w:rPr>
            </w:pPr>
            <w:r>
              <w:rPr>
                <w:rFonts w:ascii="Arial" w:cs="Arial" w:eastAsia="Arial" w:hAnsi="Arial"/>
                <w:sz w:val="16"/>
                <w:szCs w:val="16"/>
                <w:color w:val="auto"/>
              </w:rPr>
              <w:t>1.4</w:t>
            </w:r>
          </w:p>
        </w:tc>
        <w:tc>
          <w:tcPr>
            <w:tcW w:w="128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i w:val="1"/>
                <w:iCs w:val="1"/>
                <w:color w:val="auto"/>
              </w:rPr>
              <w:t>4.0 %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(94) bps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51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DCE2EF"/>
          </w:tcPr>
          <w:p>
            <w:pPr>
              <w:spacing w:after="0"/>
              <w:rPr>
                <w:sz w:val="19"/>
                <w:szCs w:val="19"/>
                <w:color w:val="auto"/>
              </w:rPr>
            </w:pPr>
          </w:p>
        </w:tc>
        <w:tc>
          <w:tcPr>
            <w:tcW w:w="140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280" w:type="dxa"/>
            <w:vAlign w:val="bottom"/>
            <w:shd w:val="clear" w:color="auto" w:fill="DCE2EF"/>
          </w:tcPr>
          <w:p>
            <w:pPr>
              <w:jc w:val="right"/>
              <w:ind w:right="61"/>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w:t>
            </w:r>
          </w:p>
        </w:tc>
        <w:tc>
          <w:tcPr>
            <w:tcW w:w="128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line="162" w:lineRule="exact"/>
              <w:rPr>
                <w:sz w:val="20"/>
                <w:szCs w:val="20"/>
                <w:color w:val="auto"/>
              </w:rPr>
            </w:pPr>
            <w:r>
              <w:rPr>
                <w:rFonts w:ascii="Arial" w:cs="Arial" w:eastAsia="Arial" w:hAnsi="Arial"/>
                <w:sz w:val="16"/>
                <w:szCs w:val="16"/>
                <w:color w:val="auto"/>
              </w:rPr>
              <w:t>Adjustment for income from unconsolidated affiliates, included in</w:t>
            </w:r>
          </w:p>
        </w:tc>
        <w:tc>
          <w:tcPr>
            <w:tcW w:w="280" w:type="dxa"/>
            <w:vAlign w:val="bottom"/>
          </w:tcPr>
          <w:p>
            <w:pPr>
              <w:spacing w:after="0"/>
              <w:rPr>
                <w:sz w:val="14"/>
                <w:szCs w:val="14"/>
                <w:color w:val="auto"/>
              </w:rPr>
            </w:pPr>
          </w:p>
        </w:tc>
        <w:tc>
          <w:tcPr>
            <w:tcW w:w="1400" w:type="dxa"/>
            <w:vAlign w:val="bottom"/>
            <w:vMerge w:val="restart"/>
          </w:tcPr>
          <w:p>
            <w:pPr>
              <w:jc w:val="right"/>
              <w:ind w:right="6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6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280" w:type="dxa"/>
            <w:vAlign w:val="bottom"/>
            <w:vMerge w:val="restart"/>
          </w:tcPr>
          <w:p>
            <w:pPr>
              <w:jc w:val="center"/>
              <w:ind w:lef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6"/>
                <w:szCs w:val="16"/>
                <w:color w:val="auto"/>
              </w:rPr>
              <w:t>Aviation and Technical Solutions</w:t>
            </w: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DCE2EF"/>
          </w:tcPr>
          <w:p>
            <w:pPr>
              <w:spacing w:after="0"/>
              <w:rPr>
                <w:sz w:val="14"/>
                <w:szCs w:val="14"/>
                <w:color w:val="auto"/>
              </w:rPr>
            </w:pPr>
          </w:p>
        </w:tc>
        <w:tc>
          <w:tcPr>
            <w:tcW w:w="5180" w:type="dxa"/>
            <w:vAlign w:val="bottom"/>
            <w:gridSpan w:val="2"/>
            <w:shd w:val="clear" w:color="auto" w:fill="DCE2EF"/>
          </w:tcPr>
          <w:p>
            <w:pPr>
              <w:spacing w:after="0" w:line="163" w:lineRule="exact"/>
              <w:rPr>
                <w:sz w:val="20"/>
                <w:szCs w:val="20"/>
                <w:color w:val="auto"/>
              </w:rPr>
            </w:pPr>
            <w:r>
              <w:rPr>
                <w:rFonts w:ascii="Arial" w:cs="Arial" w:eastAsia="Arial" w:hAnsi="Arial"/>
                <w:sz w:val="16"/>
                <w:szCs w:val="16"/>
                <w:color w:val="auto"/>
              </w:rPr>
              <w:t>Adjustment for tax deductions for energy efficient government buildings,</w:t>
            </w:r>
          </w:p>
        </w:tc>
        <w:tc>
          <w:tcPr>
            <w:tcW w:w="280" w:type="dxa"/>
            <w:vAlign w:val="bottom"/>
            <w:shd w:val="clear" w:color="auto" w:fill="DCE2EF"/>
          </w:tcPr>
          <w:p>
            <w:pPr>
              <w:spacing w:after="0"/>
              <w:rPr>
                <w:sz w:val="14"/>
                <w:szCs w:val="14"/>
                <w:color w:val="auto"/>
              </w:rPr>
            </w:pPr>
          </w:p>
        </w:tc>
        <w:tc>
          <w:tcPr>
            <w:tcW w:w="1500" w:type="dxa"/>
            <w:vAlign w:val="bottom"/>
            <w:gridSpan w:val="2"/>
            <w:vMerge w:val="restart"/>
            <w:shd w:val="clear" w:color="auto" w:fill="DCE2E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CE2EF"/>
          </w:tcPr>
          <w:p>
            <w:pPr>
              <w:spacing w:after="0"/>
              <w:rPr>
                <w:sz w:val="14"/>
                <w:szCs w:val="14"/>
                <w:color w:val="auto"/>
              </w:rPr>
            </w:pPr>
          </w:p>
        </w:tc>
        <w:tc>
          <w:tcPr>
            <w:tcW w:w="1280" w:type="dxa"/>
            <w:vAlign w:val="bottom"/>
            <w:vMerge w:val="restart"/>
            <w:shd w:val="clear" w:color="auto" w:fill="DCE2EF"/>
          </w:tcPr>
          <w:p>
            <w:pPr>
              <w:jc w:val="right"/>
              <w:ind w:right="6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CE2EF"/>
          </w:tcPr>
          <w:p>
            <w:pPr>
              <w:spacing w:after="0"/>
              <w:rPr>
                <w:sz w:val="14"/>
                <w:szCs w:val="14"/>
                <w:color w:val="auto"/>
              </w:rPr>
            </w:pPr>
          </w:p>
        </w:tc>
        <w:tc>
          <w:tcPr>
            <w:tcW w:w="280" w:type="dxa"/>
            <w:vAlign w:val="bottom"/>
            <w:shd w:val="clear" w:color="auto" w:fill="DCE2EF"/>
          </w:tcPr>
          <w:p>
            <w:pPr>
              <w:spacing w:after="0"/>
              <w:rPr>
                <w:sz w:val="14"/>
                <w:szCs w:val="14"/>
                <w:color w:val="auto"/>
              </w:rPr>
            </w:pPr>
          </w:p>
        </w:tc>
        <w:tc>
          <w:tcPr>
            <w:tcW w:w="920" w:type="dxa"/>
            <w:vAlign w:val="bottom"/>
            <w:vMerge w:val="restart"/>
            <w:shd w:val="clear" w:color="auto" w:fill="DCE2EF"/>
          </w:tcPr>
          <w:p>
            <w:pPr>
              <w:jc w:val="right"/>
              <w:ind w:right="1"/>
              <w:spacing w:after="0"/>
              <w:rPr>
                <w:sz w:val="20"/>
                <w:szCs w:val="20"/>
                <w:color w:val="auto"/>
              </w:rPr>
            </w:pPr>
            <w:r>
              <w:rPr>
                <w:rFonts w:ascii="Arial" w:cs="Arial" w:eastAsia="Arial" w:hAnsi="Arial"/>
                <w:sz w:val="16"/>
                <w:szCs w:val="16"/>
                <w:color w:val="auto"/>
              </w:rPr>
              <w:t>0.1</w:t>
            </w:r>
          </w:p>
        </w:tc>
        <w:tc>
          <w:tcPr>
            <w:tcW w:w="1280" w:type="dxa"/>
            <w:vAlign w:val="bottom"/>
            <w:vMerge w:val="restart"/>
            <w:shd w:val="clear" w:color="auto" w:fill="DCE2EF"/>
          </w:tcPr>
          <w:p>
            <w:pPr>
              <w:jc w:val="right"/>
              <w:ind w:right="3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0" w:type="dxa"/>
            <w:vAlign w:val="bottom"/>
            <w:shd w:val="clear" w:color="auto" w:fill="DCE2EF"/>
          </w:tcPr>
          <w:p>
            <w:pPr>
              <w:spacing w:after="0"/>
              <w:rPr>
                <w:sz w:val="18"/>
                <w:szCs w:val="18"/>
                <w:color w:val="auto"/>
              </w:rPr>
            </w:pPr>
          </w:p>
        </w:tc>
        <w:tc>
          <w:tcPr>
            <w:tcW w:w="518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included in Technical Solutions</w:t>
            </w:r>
          </w:p>
        </w:tc>
        <w:tc>
          <w:tcPr>
            <w:tcW w:w="280" w:type="dxa"/>
            <w:vAlign w:val="bottom"/>
            <w:shd w:val="clear" w:color="auto" w:fill="DCE2EF"/>
          </w:tcPr>
          <w:p>
            <w:pPr>
              <w:spacing w:after="0"/>
              <w:rPr>
                <w:sz w:val="18"/>
                <w:szCs w:val="18"/>
                <w:color w:val="auto"/>
              </w:rPr>
            </w:pPr>
          </w:p>
        </w:tc>
        <w:tc>
          <w:tcPr>
            <w:tcW w:w="1500" w:type="dxa"/>
            <w:vAlign w:val="bottom"/>
            <w:gridSpan w:val="2"/>
            <w:vMerge w:val="continue"/>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280" w:type="dxa"/>
            <w:vAlign w:val="bottom"/>
            <w:vMerge w:val="continue"/>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920" w:type="dxa"/>
            <w:vAlign w:val="bottom"/>
            <w:vMerge w:val="continue"/>
            <w:shd w:val="clear" w:color="auto" w:fill="DCE2EF"/>
          </w:tcPr>
          <w:p>
            <w:pPr>
              <w:spacing w:after="0"/>
              <w:rPr>
                <w:sz w:val="18"/>
                <w:szCs w:val="18"/>
                <w:color w:val="auto"/>
              </w:rPr>
            </w:pPr>
          </w:p>
        </w:tc>
        <w:tc>
          <w:tcPr>
            <w:tcW w:w="1280" w:type="dxa"/>
            <w:vAlign w:val="bottom"/>
            <w:vMerge w:val="continue"/>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3"/>
          </w:tcPr>
          <w:p>
            <w:pPr>
              <w:spacing w:after="0"/>
              <w:rPr>
                <w:sz w:val="20"/>
                <w:szCs w:val="20"/>
                <w:color w:val="auto"/>
              </w:rPr>
            </w:pPr>
            <w:r>
              <w:rPr>
                <w:rFonts w:ascii="Arial" w:cs="Arial" w:eastAsia="Arial" w:hAnsi="Arial"/>
                <w:sz w:val="16"/>
                <w:szCs w:val="16"/>
                <w:color w:val="auto"/>
              </w:rPr>
              <w:t>*Not meaningful</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Business &amp; Industry</w:t>
            </w:r>
          </w:p>
        </w:tc>
        <w:tc>
          <w:tcPr>
            <w:tcW w:w="380" w:type="dxa"/>
            <w:vAlign w:val="bottom"/>
          </w:tcPr>
          <w:p>
            <w:pPr>
              <w:spacing w:after="0"/>
              <w:rPr>
                <w:sz w:val="24"/>
                <w:szCs w:val="24"/>
                <w:color w:val="auto"/>
              </w:rPr>
            </w:pPr>
          </w:p>
        </w:tc>
        <w:tc>
          <w:tcPr>
            <w:tcW w:w="354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gridSpan w:val="2"/>
          </w:tcPr>
          <w:p>
            <w:pPr>
              <w:jc w:val="right"/>
              <w:ind w:right="879"/>
              <w:spacing w:after="0" w:line="136" w:lineRule="exact"/>
              <w:rPr>
                <w:sz w:val="20"/>
                <w:szCs w:val="20"/>
                <w:color w:val="auto"/>
              </w:rPr>
            </w:pPr>
            <w:r>
              <w:rPr>
                <w:rFonts w:ascii="Arial" w:cs="Arial" w:eastAsia="Arial" w:hAnsi="Arial"/>
                <w:sz w:val="15"/>
                <w:szCs w:val="15"/>
                <w:b w:val="1"/>
                <w:bCs w:val="1"/>
                <w:color w:val="auto"/>
              </w:rPr>
              <w:t>(Decrease) / Increase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40" w:type="dxa"/>
            <w:vAlign w:val="bottom"/>
            <w:tcBorders>
              <w:bottom w:val="single" w:sz="8" w:color="DCE2E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7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1,033.1</w:t>
            </w:r>
          </w:p>
        </w:tc>
        <w:tc>
          <w:tcPr>
            <w:tcW w:w="100" w:type="dxa"/>
            <w:vAlign w:val="bottom"/>
            <w:shd w:val="clear" w:color="auto" w:fill="DCE2EF"/>
          </w:tcPr>
          <w:p>
            <w:pPr>
              <w:spacing w:after="0"/>
              <w:rPr>
                <w:sz w:val="18"/>
                <w:szCs w:val="18"/>
                <w:color w:val="auto"/>
              </w:rPr>
            </w:pPr>
          </w:p>
        </w:tc>
        <w:tc>
          <w:tcPr>
            <w:tcW w:w="44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1,036.6</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03"/>
              <w:spacing w:after="0"/>
              <w:rPr>
                <w:sz w:val="20"/>
                <w:szCs w:val="20"/>
                <w:color w:val="auto"/>
              </w:rPr>
            </w:pPr>
            <w:r>
              <w:rPr>
                <w:rFonts w:ascii="Arial" w:cs="Arial" w:eastAsia="Arial" w:hAnsi="Arial"/>
                <w:sz w:val="16"/>
                <w:szCs w:val="16"/>
                <w:color w:val="auto"/>
              </w:rPr>
              <w:t>(3.5)</w:t>
            </w:r>
          </w:p>
        </w:tc>
        <w:tc>
          <w:tcPr>
            <w:tcW w:w="1460" w:type="dxa"/>
            <w:vAlign w:val="bottom"/>
            <w:shd w:val="clear" w:color="auto" w:fill="DCE2EF"/>
          </w:tcPr>
          <w:p>
            <w:pPr>
              <w:jc w:val="right"/>
              <w:ind w:right="5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3.7</w:t>
            </w:r>
          </w:p>
        </w:tc>
        <w:tc>
          <w:tcPr>
            <w:tcW w:w="1460" w:type="dxa"/>
            <w:vAlign w:val="bottom"/>
          </w:tcPr>
          <w:p>
            <w:pPr>
              <w:jc w:val="right"/>
              <w:ind w:right="59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6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7.7 %</w:t>
            </w:r>
          </w:p>
        </w:tc>
        <w:tc>
          <w:tcPr>
            <w:tcW w:w="10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40" w:type="dxa"/>
            <w:vAlign w:val="bottom"/>
            <w:shd w:val="clear" w:color="auto" w:fill="DCE2EF"/>
          </w:tcPr>
          <w:p>
            <w:pPr>
              <w:ind w:left="720"/>
              <w:spacing w:after="0"/>
              <w:rPr>
                <w:sz w:val="20"/>
                <w:szCs w:val="20"/>
                <w:color w:val="auto"/>
              </w:rPr>
            </w:pPr>
            <w:r>
              <w:rPr>
                <w:rFonts w:ascii="Arial" w:cs="Arial" w:eastAsia="Arial" w:hAnsi="Arial"/>
                <w:sz w:val="14"/>
                <w:szCs w:val="14"/>
                <w:i w:val="1"/>
                <w:iCs w:val="1"/>
                <w:color w:val="auto"/>
              </w:rPr>
              <w:t>38 bps</w:t>
            </w:r>
          </w:p>
        </w:tc>
        <w:tc>
          <w:tcPr>
            <w:tcW w:w="146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B&amp;I revenues decreased by $ 3.5 million, or 0.3%, to $1,033.1 million during the three months ended January 31, 2024, as compared to the prior year period. The revenue decrease was primarily driven by the decline in work orders, soft commercial office market conditions, and expected attrition of certain engineering clients, partially offset by client expansions and increases in revenue in the sports sector and parking. Management reimbursement revenues for this segment totaled $70.5 million and $64.4 million for the three months ended January 31, 2024 and 2023, respectively.</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$3.7 million, or 4.8%, to $ 79.6 million during the three months ended January 31, 2024, as compared to the prior year period. Operating profit margin increased by 38 bps to 7.7% in the three months ended January 31, 2024, from 7.3% in the prior year period. The increase in operating profit margin was primarily driven by labor efficiencies.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Manufacturing &amp; Distribution</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gridSpan w:val="2"/>
          </w:tcPr>
          <w:p>
            <w:pPr>
              <w:jc w:val="right"/>
              <w:ind w:right="879"/>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400.9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380.5</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ind w:right="383"/>
              <w:spacing w:after="0"/>
              <w:rPr>
                <w:sz w:val="20"/>
                <w:szCs w:val="20"/>
                <w:color w:val="auto"/>
              </w:rPr>
            </w:pPr>
            <w:r>
              <w:rPr>
                <w:rFonts w:ascii="Arial" w:cs="Arial" w:eastAsia="Arial" w:hAnsi="Arial"/>
                <w:sz w:val="16"/>
                <w:szCs w:val="16"/>
                <w:color w:val="auto"/>
              </w:rPr>
              <w:t>20.4</w:t>
            </w:r>
          </w:p>
        </w:tc>
        <w:tc>
          <w:tcPr>
            <w:tcW w:w="144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jc w:val="right"/>
              <w:ind w:right="383"/>
              <w:spacing w:after="0"/>
              <w:rPr>
                <w:sz w:val="20"/>
                <w:szCs w:val="20"/>
                <w:color w:val="auto"/>
              </w:rPr>
            </w:pPr>
            <w:r>
              <w:rPr>
                <w:rFonts w:ascii="Arial" w:cs="Arial" w:eastAsia="Arial" w:hAnsi="Arial"/>
                <w:sz w:val="16"/>
                <w:szCs w:val="16"/>
                <w:color w:val="auto"/>
              </w:rPr>
              <w:t>0.4</w:t>
            </w:r>
          </w:p>
        </w:tc>
        <w:tc>
          <w:tcPr>
            <w:tcW w:w="1440" w:type="dxa"/>
            <w:vAlign w:val="bottom"/>
          </w:tcPr>
          <w:p>
            <w:pPr>
              <w:jc w:val="right"/>
              <w:ind w:right="59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10.3 %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10.7 %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60" w:type="dxa"/>
            <w:vAlign w:val="bottom"/>
            <w:shd w:val="clear" w:color="auto" w:fill="DCE2EF"/>
          </w:tcPr>
          <w:p>
            <w:pPr>
              <w:jc w:val="right"/>
              <w:ind w:right="323"/>
              <w:spacing w:after="0"/>
              <w:rPr>
                <w:sz w:val="20"/>
                <w:szCs w:val="20"/>
                <w:color w:val="auto"/>
              </w:rPr>
            </w:pPr>
            <w:r>
              <w:rPr>
                <w:rFonts w:ascii="Arial" w:cs="Arial" w:eastAsia="Arial" w:hAnsi="Arial"/>
                <w:sz w:val="14"/>
                <w:szCs w:val="14"/>
                <w:i w:val="1"/>
                <w:iCs w:val="1"/>
                <w:color w:val="auto"/>
              </w:rPr>
              <w:t>(43) bps</w:t>
            </w:r>
          </w:p>
        </w:tc>
        <w:tc>
          <w:tcPr>
            <w:tcW w:w="14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M&amp;D revenues increased by $20.4 million, or 5.4%, to $400.9 million during the three months ended January 31, 2024, as compared to the prior year period. The increase was primarily attributable to the expansion of business with existing customers.</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1.1% to $41.3 million during the three months ended January 31, 2024, as compared to the prior year period. Operating profit margin decreased by 43 bps to 10.3% in the three months ended January 31, 2024, from 10.7% in the prior year period. The decrease in operating profit margin was primarily attributable to the change in contract mix.</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Education</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ind w:left="760"/>
              <w:spacing w:after="0" w:line="136" w:lineRule="exact"/>
              <w:rPr>
                <w:sz w:val="20"/>
                <w:szCs w:val="20"/>
                <w:color w:val="auto"/>
              </w:rPr>
            </w:pPr>
            <w:r>
              <w:rPr>
                <w:rFonts w:ascii="Arial" w:cs="Arial" w:eastAsia="Arial" w:hAnsi="Arial"/>
                <w:sz w:val="15"/>
                <w:szCs w:val="15"/>
                <w:b w:val="1"/>
                <w:bCs w:val="1"/>
                <w:color w:val="auto"/>
              </w:rPr>
              <w:t>Increase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8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8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214.9</w:t>
            </w:r>
          </w:p>
        </w:tc>
        <w:tc>
          <w:tcPr>
            <w:tcW w:w="100" w:type="dxa"/>
            <w:vAlign w:val="bottom"/>
            <w:shd w:val="clear" w:color="auto" w:fill="DCE2EF"/>
          </w:tcPr>
          <w:p>
            <w:pPr>
              <w:spacing w:after="0"/>
              <w:rPr>
                <w:sz w:val="18"/>
                <w:szCs w:val="18"/>
                <w:color w:val="auto"/>
              </w:rPr>
            </w:pPr>
          </w:p>
        </w:tc>
        <w:tc>
          <w:tcPr>
            <w:tcW w:w="680" w:type="dxa"/>
            <w:vAlign w:val="bottom"/>
            <w:shd w:val="clear" w:color="auto" w:fill="DCE2E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ind w:left="740"/>
              <w:spacing w:after="0"/>
              <w:rPr>
                <w:sz w:val="20"/>
                <w:szCs w:val="20"/>
                <w:color w:val="auto"/>
              </w:rPr>
            </w:pPr>
            <w:r>
              <w:rPr>
                <w:rFonts w:ascii="Arial" w:cs="Arial" w:eastAsia="Arial" w:hAnsi="Arial"/>
                <w:sz w:val="16"/>
                <w:szCs w:val="16"/>
                <w:color w:val="auto"/>
              </w:rPr>
              <w:t>5.2</w:t>
            </w:r>
          </w:p>
        </w:tc>
        <w:tc>
          <w:tcPr>
            <w:tcW w:w="124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ind w:left="740"/>
              <w:spacing w:after="0"/>
              <w:rPr>
                <w:sz w:val="20"/>
                <w:szCs w:val="20"/>
                <w:color w:val="auto"/>
              </w:rPr>
            </w:pPr>
            <w:r>
              <w:rPr>
                <w:rFonts w:ascii="Arial" w:cs="Arial" w:eastAsia="Arial" w:hAnsi="Arial"/>
                <w:sz w:val="16"/>
                <w:szCs w:val="16"/>
                <w:color w:val="auto"/>
              </w:rPr>
              <w:t>0.9</w:t>
            </w:r>
          </w:p>
        </w:tc>
        <w:tc>
          <w:tcPr>
            <w:tcW w:w="1240" w:type="dxa"/>
            <w:vAlign w:val="bottom"/>
          </w:tcPr>
          <w:p>
            <w:pPr>
              <w:jc w:val="right"/>
              <w:ind w:right="59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80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5.5 %</w:t>
            </w: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620" w:type="dxa"/>
            <w:vAlign w:val="bottom"/>
            <w:shd w:val="clear" w:color="auto" w:fill="DCE2EF"/>
          </w:tcPr>
          <w:p>
            <w:pPr>
              <w:ind w:left="580"/>
              <w:spacing w:after="0"/>
              <w:rPr>
                <w:sz w:val="20"/>
                <w:szCs w:val="20"/>
                <w:color w:val="auto"/>
              </w:rPr>
            </w:pPr>
            <w:r>
              <w:rPr>
                <w:rFonts w:ascii="Arial" w:cs="Arial" w:eastAsia="Arial" w:hAnsi="Arial"/>
                <w:sz w:val="14"/>
                <w:szCs w:val="14"/>
                <w:i w:val="1"/>
                <w:iCs w:val="1"/>
                <w:color w:val="auto"/>
              </w:rPr>
              <w:t>28 bps</w:t>
            </w:r>
          </w:p>
        </w:tc>
        <w:tc>
          <w:tcPr>
            <w:tcW w:w="124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Education revenues increased by $5.2 million, or 2.4%, to $220.1 million during the three months ended January 31, 2024, as compared to the prior year period. The increase was primarily attributable to net new business and increases in scope of work with existing customers.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increased by $0.9 million, or 7.6%, to $12.7 million for the three months ended January 31, 2024, as compared to the prior year period. Operating profit margin increased by 28 bps to 5.8% in the three months ended January 31, 2024, from 5.5% in the prior year period. The increase in operating profit margin was primarily attributable to labor efficiencies and lower amortization of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Aviation</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jc w:val="right"/>
              <w:ind w:right="83"/>
              <w:spacing w:after="0" w:line="136" w:lineRule="exact"/>
              <w:rPr>
                <w:sz w:val="20"/>
                <w:szCs w:val="20"/>
                <w:color w:val="auto"/>
              </w:rPr>
            </w:pPr>
            <w:r>
              <w:rPr>
                <w:rFonts w:ascii="Arial" w:cs="Arial" w:eastAsia="Arial" w:hAnsi="Arial"/>
                <w:sz w:val="15"/>
                <w:szCs w:val="15"/>
                <w:b w:val="1"/>
                <w:bCs w:val="1"/>
                <w:color w:val="auto"/>
              </w:rPr>
              <w:t>Increase</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DCE2EF"/>
          </w:tcPr>
          <w:p>
            <w:pPr>
              <w:spacing w:after="0"/>
              <w:rPr>
                <w:sz w:val="18"/>
                <w:szCs w:val="18"/>
                <w:color w:val="auto"/>
              </w:rPr>
            </w:pPr>
          </w:p>
        </w:tc>
        <w:tc>
          <w:tcPr>
            <w:tcW w:w="700" w:type="dxa"/>
            <w:vAlign w:val="bottom"/>
            <w:shd w:val="clear" w:color="auto" w:fill="DCE2EF"/>
          </w:tcPr>
          <w:p>
            <w:pPr>
              <w:jc w:val="right"/>
              <w:ind w:right="4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ind w:right="543"/>
              <w:spacing w:after="0"/>
              <w:rPr>
                <w:sz w:val="20"/>
                <w:szCs w:val="20"/>
                <w:color w:val="auto"/>
              </w:rPr>
            </w:pPr>
            <w:r>
              <w:rPr>
                <w:rFonts w:ascii="Arial" w:cs="Arial" w:eastAsia="Arial" w:hAnsi="Arial"/>
                <w:sz w:val="16"/>
                <w:szCs w:val="16"/>
                <w:color w:val="auto"/>
              </w:rPr>
              <w:t>37.2</w:t>
            </w:r>
          </w:p>
        </w:tc>
        <w:tc>
          <w:tcPr>
            <w:tcW w:w="128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jc w:val="right"/>
              <w:ind w:right="543"/>
              <w:spacing w:after="0"/>
              <w:rPr>
                <w:sz w:val="20"/>
                <w:szCs w:val="20"/>
                <w:color w:val="auto"/>
              </w:rPr>
            </w:pPr>
            <w:r>
              <w:rPr>
                <w:rFonts w:ascii="Arial" w:cs="Arial" w:eastAsia="Arial" w:hAnsi="Arial"/>
                <w:sz w:val="16"/>
                <w:szCs w:val="16"/>
                <w:color w:val="auto"/>
              </w:rPr>
              <w:t>1.4</w:t>
            </w:r>
          </w:p>
        </w:tc>
        <w:tc>
          <w:tcPr>
            <w:tcW w:w="1280" w:type="dxa"/>
            <w:vAlign w:val="bottom"/>
          </w:tcPr>
          <w:p>
            <w:pPr>
              <w:jc w:val="right"/>
              <w:ind w:right="55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580" w:type="dxa"/>
            <w:vAlign w:val="bottom"/>
            <w:shd w:val="clear" w:color="auto" w:fill="DCE2EF"/>
          </w:tcPr>
          <w:p>
            <w:pPr>
              <w:jc w:val="right"/>
              <w:ind w:right="503"/>
              <w:spacing w:after="0"/>
              <w:rPr>
                <w:sz w:val="20"/>
                <w:szCs w:val="20"/>
                <w:color w:val="auto"/>
              </w:rPr>
            </w:pPr>
            <w:r>
              <w:rPr>
                <w:rFonts w:ascii="Arial" w:cs="Arial" w:eastAsia="Arial" w:hAnsi="Arial"/>
                <w:sz w:val="14"/>
                <w:szCs w:val="14"/>
                <w:i w:val="1"/>
                <w:iCs w:val="1"/>
                <w:color w:val="auto"/>
              </w:rPr>
              <w:t>— bps</w:t>
            </w:r>
          </w:p>
        </w:tc>
        <w:tc>
          <w:tcPr>
            <w:tcW w:w="12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Aviation revenues increased by $37.2 million, or 17.5%, to $249.5 million during the three months ended January 31, 2024, as compared to the prior year period. The increase was primarily attributable to a recovery in consumer and business travel (both domestic and international) and new business. Management reimbursement revenues for this segment totaled $9.5 million and $7.9 million for the three months ended January 31, 2024 and 2023, respectively.</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Operating profit increased by $1.4 million, to $9.7 million during the three months ended January 31, 2024, as compared to the prior year period. Operating profit margin of 3.9% was consistent with the three months ended January 31, 2023. The operating profit margin was positively impacted by labor efficiencies, offset by certain costs related to reconciliations of funds due under long-term contracts.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Technical Solutions</w:t>
            </w:r>
          </w:p>
        </w:tc>
        <w:tc>
          <w:tcPr>
            <w:tcW w:w="360" w:type="dxa"/>
            <w:vAlign w:val="bottom"/>
          </w:tcPr>
          <w:p>
            <w:pPr>
              <w:spacing w:after="0"/>
              <w:rPr>
                <w:sz w:val="19"/>
                <w:szCs w:val="19"/>
                <w:color w:val="auto"/>
              </w:rPr>
            </w:pPr>
          </w:p>
        </w:tc>
        <w:tc>
          <w:tcPr>
            <w:tcW w:w="35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61"/>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20" w:type="dxa"/>
            <w:vAlign w:val="bottom"/>
            <w:gridSpan w:val="2"/>
          </w:tcPr>
          <w:p>
            <w:pPr>
              <w:ind w:left="440"/>
              <w:spacing w:after="0" w:line="136" w:lineRule="exact"/>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2960" w:type="dxa"/>
            <w:vAlign w:val="bottom"/>
            <w:tcBorders>
              <w:bottom w:val="single" w:sz="8" w:color="DCE2E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CE2EF"/>
          </w:tcPr>
          <w:p>
            <w:pPr>
              <w:spacing w:after="0"/>
              <w:rPr>
                <w:sz w:val="18"/>
                <w:szCs w:val="18"/>
                <w:color w:val="auto"/>
              </w:rPr>
            </w:pPr>
          </w:p>
        </w:tc>
        <w:tc>
          <w:tcPr>
            <w:tcW w:w="37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DCE2EF"/>
          </w:tcPr>
          <w:p>
            <w:pPr>
              <w:spacing w:after="0"/>
              <w:rPr>
                <w:sz w:val="18"/>
                <w:szCs w:val="18"/>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CE2EF"/>
          </w:tcPr>
          <w:p>
            <w:pPr>
              <w:jc w:val="right"/>
              <w:ind w:right="343"/>
              <w:spacing w:after="0"/>
              <w:rPr>
                <w:sz w:val="20"/>
                <w:szCs w:val="20"/>
                <w:color w:val="auto"/>
              </w:rPr>
            </w:pPr>
            <w:r>
              <w:rPr>
                <w:rFonts w:ascii="Arial" w:cs="Arial" w:eastAsia="Arial" w:hAnsi="Arial"/>
                <w:sz w:val="16"/>
                <w:szCs w:val="16"/>
                <w:color w:val="auto"/>
              </w:rPr>
              <w:t>18.9</w:t>
            </w:r>
          </w:p>
        </w:tc>
        <w:tc>
          <w:tcPr>
            <w:tcW w:w="148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Operating profit</w:t>
            </w:r>
          </w:p>
        </w:tc>
        <w:tc>
          <w:tcPr>
            <w:tcW w:w="360" w:type="dxa"/>
            <w:vAlign w:val="bottom"/>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jc w:val="right"/>
              <w:ind w:right="303"/>
              <w:spacing w:after="0"/>
              <w:rPr>
                <w:sz w:val="20"/>
                <w:szCs w:val="20"/>
                <w:color w:val="auto"/>
              </w:rPr>
            </w:pPr>
            <w:r>
              <w:rPr>
                <w:rFonts w:ascii="Arial" w:cs="Arial" w:eastAsia="Arial" w:hAnsi="Arial"/>
                <w:sz w:val="16"/>
                <w:szCs w:val="16"/>
                <w:color w:val="auto"/>
              </w:rPr>
              <w:t>(0.6)</w:t>
            </w: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20" w:type="dxa"/>
            <w:vAlign w:val="bottom"/>
            <w:shd w:val="clear" w:color="auto" w:fill="DCE2EF"/>
          </w:tcPr>
          <w:p>
            <w:pPr>
              <w:spacing w:after="0"/>
              <w:rPr>
                <w:sz w:val="17"/>
                <w:szCs w:val="17"/>
                <w:color w:val="auto"/>
              </w:rPr>
            </w:pPr>
          </w:p>
        </w:tc>
        <w:tc>
          <w:tcPr>
            <w:tcW w:w="3780" w:type="dxa"/>
            <w:vAlign w:val="bottom"/>
            <w:gridSpan w:val="2"/>
            <w:shd w:val="clear" w:color="auto" w:fill="DCE2EF"/>
          </w:tcPr>
          <w:p>
            <w:pPr>
              <w:ind w:left="120"/>
              <w:spacing w:after="0"/>
              <w:rPr>
                <w:sz w:val="20"/>
                <w:szCs w:val="20"/>
                <w:color w:val="auto"/>
              </w:rPr>
            </w:pPr>
            <w:r>
              <w:rPr>
                <w:rFonts w:ascii="Arial" w:cs="Arial" w:eastAsia="Arial" w:hAnsi="Arial"/>
                <w:sz w:val="14"/>
                <w:szCs w:val="14"/>
                <w:i w:val="1"/>
                <w:iCs w:val="1"/>
                <w:color w:val="auto"/>
              </w:rPr>
              <w:t>Operating profit margin</w:t>
            </w:r>
          </w:p>
        </w:tc>
        <w:tc>
          <w:tcPr>
            <w:tcW w:w="360" w:type="dxa"/>
            <w:vAlign w:val="bottom"/>
            <w:shd w:val="clear" w:color="auto" w:fill="DCE2EF"/>
          </w:tcPr>
          <w:p>
            <w:pPr>
              <w:spacing w:after="0"/>
              <w:rPr>
                <w:sz w:val="17"/>
                <w:szCs w:val="17"/>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4.0 %</w:t>
            </w:r>
          </w:p>
        </w:tc>
        <w:tc>
          <w:tcPr>
            <w:tcW w:w="100" w:type="dxa"/>
            <w:vAlign w:val="bottom"/>
            <w:shd w:val="clear" w:color="auto" w:fill="DCE2EF"/>
          </w:tcPr>
          <w:p>
            <w:pPr>
              <w:spacing w:after="0"/>
              <w:rPr>
                <w:sz w:val="17"/>
                <w:szCs w:val="17"/>
                <w:color w:val="auto"/>
              </w:rPr>
            </w:pPr>
          </w:p>
        </w:tc>
        <w:tc>
          <w:tcPr>
            <w:tcW w:w="420" w:type="dxa"/>
            <w:vAlign w:val="bottom"/>
            <w:shd w:val="clear" w:color="auto" w:fill="DCE2EF"/>
          </w:tcPr>
          <w:p>
            <w:pPr>
              <w:spacing w:after="0"/>
              <w:rPr>
                <w:sz w:val="17"/>
                <w:szCs w:val="17"/>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1540" w:type="dxa"/>
            <w:vAlign w:val="bottom"/>
            <w:shd w:val="clear" w:color="auto" w:fill="DCE2EF"/>
          </w:tcPr>
          <w:p>
            <w:pPr>
              <w:jc w:val="right"/>
              <w:ind w:right="303"/>
              <w:spacing w:after="0"/>
              <w:rPr>
                <w:sz w:val="20"/>
                <w:szCs w:val="20"/>
                <w:color w:val="auto"/>
              </w:rPr>
            </w:pPr>
            <w:r>
              <w:rPr>
                <w:rFonts w:ascii="Arial" w:cs="Arial" w:eastAsia="Arial" w:hAnsi="Arial"/>
                <w:sz w:val="14"/>
                <w:szCs w:val="14"/>
                <w:i w:val="1"/>
                <w:iCs w:val="1"/>
                <w:color w:val="auto"/>
              </w:rPr>
              <w:t>(94) bps</w:t>
            </w:r>
          </w:p>
        </w:tc>
        <w:tc>
          <w:tcPr>
            <w:tcW w:w="1480" w:type="dxa"/>
            <w:vAlign w:val="bottom"/>
            <w:shd w:val="clear" w:color="auto" w:fill="DCE2EF"/>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Technical Solutions revenues increased by $18.9 million, or 12.9%, to $165.9 million during the three months ended January 31, 2024, as compared to the prior year period. The increase was primarily driven by higher project revenues due to the timing of completions of certain energy solutions projects, including microgrid systems installation, partially offset by a decrease in electric vehicle charging station installation sales.</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decreased $0.6 million, or 8.8%, to $6.6 million during the three months ended January 31, 2024, as compared to the prior year period. Operating profit margin decreased by 94 bps to 4.0% in the three months ended January 31, 2024, from 4.9% in the prior year period. The decrease in operating profit margin was primarily attributable to the contract mix, partially offset by lower amortization of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6"/>
                <w:szCs w:val="16"/>
                <w:b w:val="1"/>
                <w:bCs w:val="1"/>
                <w:i w:val="1"/>
                <w:iCs w:val="1"/>
                <w:color w:val="0046AD"/>
              </w:rPr>
              <w:t>Corporate</w:t>
            </w:r>
          </w:p>
        </w:tc>
        <w:tc>
          <w:tcPr>
            <w:tcW w:w="31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January 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20" w:type="dxa"/>
            <w:vAlign w:val="bottom"/>
            <w:tcBorders>
              <w:bottom w:val="single" w:sz="8" w:color="auto"/>
            </w:tcBorders>
            <w:gridSpan w:val="4"/>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jc w:val="right"/>
              <w:ind w:right="102"/>
              <w:spacing w:after="0" w:line="136" w:lineRule="exact"/>
              <w:rPr>
                <w:sz w:val="20"/>
                <w:szCs w:val="20"/>
                <w:color w:val="auto"/>
              </w:rPr>
            </w:pPr>
            <w:r>
              <w:rPr>
                <w:rFonts w:ascii="Arial" w:cs="Arial" w:eastAsia="Arial" w:hAnsi="Arial"/>
                <w:sz w:val="15"/>
                <w:szCs w:val="15"/>
                <w:b w:val="1"/>
                <w:bCs w:val="1"/>
                <w:color w:val="auto"/>
              </w:rPr>
              <w:t>Increase</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DCE2EF"/>
            </w:tcBorders>
          </w:tcPr>
          <w:p>
            <w:pPr>
              <w:spacing w:after="0"/>
              <w:rPr>
                <w:sz w:val="2"/>
                <w:szCs w:val="2"/>
                <w:color w:val="auto"/>
              </w:rPr>
            </w:pPr>
          </w:p>
        </w:tc>
        <w:tc>
          <w:tcPr>
            <w:tcW w:w="820" w:type="dxa"/>
            <w:vAlign w:val="bottom"/>
            <w:tcBorders>
              <w:top w:val="single" w:sz="8" w:color="auto"/>
              <w:bottom w:val="single" w:sz="8" w:color="DCE2EF"/>
            </w:tcBorders>
          </w:tcPr>
          <w:p>
            <w:pPr>
              <w:spacing w:after="0"/>
              <w:rPr>
                <w:sz w:val="2"/>
                <w:szCs w:val="2"/>
                <w:color w:val="auto"/>
              </w:rPr>
            </w:pPr>
          </w:p>
        </w:tc>
        <w:tc>
          <w:tcPr>
            <w:tcW w:w="3060" w:type="dxa"/>
            <w:vAlign w:val="bottom"/>
            <w:tcBorders>
              <w:bottom w:val="single" w:sz="8" w:color="DCE2E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DCE2E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388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Corporate expenses</w:t>
            </w:r>
          </w:p>
        </w:tc>
        <w:tc>
          <w:tcPr>
            <w:tcW w:w="1180" w:type="dxa"/>
            <w:vAlign w:val="bottom"/>
            <w:shd w:val="clear" w:color="auto" w:fill="DCE2E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DCE2EF"/>
          </w:tcPr>
          <w:p>
            <w:pPr>
              <w:spacing w:after="0"/>
              <w:rPr>
                <w:sz w:val="18"/>
                <w:szCs w:val="18"/>
                <w:color w:val="auto"/>
              </w:rPr>
            </w:pPr>
          </w:p>
        </w:tc>
        <w:tc>
          <w:tcPr>
            <w:tcW w:w="1260" w:type="dxa"/>
            <w:vAlign w:val="bottom"/>
            <w:shd w:val="clear" w:color="auto" w:fill="DCE2EF"/>
          </w:tcPr>
          <w:p>
            <w:pPr>
              <w:jc w:val="right"/>
              <w:ind w:right="10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DCE2EF"/>
          </w:tcPr>
          <w:p>
            <w:pPr>
              <w:spacing w:after="0"/>
              <w:rPr>
                <w:sz w:val="18"/>
                <w:szCs w:val="18"/>
                <w:color w:val="auto"/>
              </w:rPr>
            </w:pPr>
          </w:p>
        </w:tc>
        <w:tc>
          <w:tcPr>
            <w:tcW w:w="76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ind w:right="502"/>
              <w:spacing w:after="0"/>
              <w:rPr>
                <w:sz w:val="20"/>
                <w:szCs w:val="20"/>
                <w:color w:val="auto"/>
              </w:rPr>
            </w:pPr>
            <w:r>
              <w:rPr>
                <w:rFonts w:ascii="Arial" w:cs="Arial" w:eastAsia="Arial" w:hAnsi="Arial"/>
                <w:sz w:val="16"/>
                <w:szCs w:val="16"/>
                <w:color w:val="auto"/>
              </w:rPr>
              <w:t>(3.2)</w:t>
            </w:r>
          </w:p>
        </w:tc>
        <w:tc>
          <w:tcPr>
            <w:tcW w:w="1300" w:type="dxa"/>
            <w:vAlign w:val="bottom"/>
            <w:shd w:val="clear" w:color="auto" w:fill="DCE2EF"/>
          </w:tcPr>
          <w:p>
            <w:pPr>
              <w:jc w:val="right"/>
              <w:ind w:right="5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Corporate expenses increased by $3.2 million, or 4.4%, to $74.7 million during the three months ended January 31, 2024, as compared to the prior year period. The increase in corporate expenses was primarily attributable to:</w:t>
      </w:r>
    </w:p>
    <w:p>
      <w:pPr>
        <w:spacing w:after="0" w:line="153" w:lineRule="exact"/>
        <w:rPr>
          <w:sz w:val="20"/>
          <w:szCs w:val="20"/>
          <w:color w:val="auto"/>
        </w:rPr>
      </w:pPr>
    </w:p>
    <w:p>
      <w:pPr>
        <w:ind w:left="640" w:hanging="308"/>
        <w:spacing w:after="0"/>
        <w:tabs>
          <w:tab w:leader="none" w:pos="640" w:val="left"/>
        </w:tabs>
        <w:numPr>
          <w:ilvl w:val="0"/>
          <w:numId w:val="16"/>
        </w:numPr>
        <w:rPr>
          <w:rFonts w:ascii="Calibri" w:cs="Calibri" w:eastAsia="Calibri" w:hAnsi="Calibri"/>
          <w:sz w:val="12"/>
          <w:szCs w:val="12"/>
          <w:b w:val="1"/>
          <w:bCs w:val="1"/>
          <w:i w:val="1"/>
          <w:iCs w:val="1"/>
          <w:color w:val="0046AD"/>
        </w:rPr>
      </w:pPr>
      <w:r>
        <w:rPr>
          <w:rFonts w:ascii="Arial" w:cs="Arial" w:eastAsia="Arial" w:hAnsi="Arial"/>
          <w:sz w:val="18"/>
          <w:szCs w:val="18"/>
          <w:color w:val="auto"/>
        </w:rPr>
        <w:t>a $7.2 million increase in outside professional costs primarily related to consulting costs for our technology projects; and</w:t>
      </w:r>
    </w:p>
    <w:p>
      <w:pPr>
        <w:spacing w:after="0" w:line="171" w:lineRule="exact"/>
        <w:rPr>
          <w:rFonts w:ascii="Calibri" w:cs="Calibri" w:eastAsia="Calibri" w:hAnsi="Calibri"/>
          <w:sz w:val="12"/>
          <w:szCs w:val="12"/>
          <w:b w:val="1"/>
          <w:bCs w:val="1"/>
          <w:i w:val="1"/>
          <w:iCs w:val="1"/>
          <w:color w:val="0046AD"/>
        </w:rPr>
      </w:pPr>
    </w:p>
    <w:p>
      <w:pPr>
        <w:ind w:left="660" w:right="5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$5.3 million unfavorable self-insurance reserve adjustments from actuarial evaluations completed in the three months ended January 31, 2023.</w:t>
      </w:r>
    </w:p>
    <w:p>
      <w:pPr>
        <w:spacing w:after="0" w:line="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increase was partially offset by: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$10.2 million decrease in certain technology projects primarily attributable to discrete transformational costs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for developing the new ERP system, client-facing technology, workforce management tools, and data analytics.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primary sources of liquidity are operating cash flows and borrowing capacity under our Amended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to normal working capital requirements, we anticipate that our short- and long-term cash requirements will include funding legal settlements, insurance claims, dividend payments, capital expenditures, share repurchases, mandatory loan repayments, and systems and technology transformation initiatives under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We anticipate long-term cash uses may also include strategic acquisitions. On a long-term basis, we will continue to rely on our Amended Credit Facility for any long-term funding not provided by operating cash flows.</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believe that our operating cash flows and borrowing capacity under our Amended Credit Facility are sufficient to fund our cash requirements for the next 12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consisting of a $ 900.0 million revolver and an $800.0 million amortizing term loan. In accordance with terms of the Credit Facility, the revolver was reduced to $800.0 million on September 1, 2018.</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28, 2021, the Company amended and restated the Credit Facility, extending the maturity date to June 28, 2026, and increasing the capacity of the revolving credit facility from $800.0 million to $1.3 billion and the then-remaining term loan outstanding from $620.0 million to $650.0 million. The Amended Credit Facility provides for the issuance of up to $ 350.0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November 1, 2022, we amended our Amended Credit Facility pursuant to the LIBOR Transition Amendment and the Fifth Amendment to replace the benchmark rate at which U.S.-dollar-denominated borrowings bear interest from LIBOR to the forward -looking SOFR term rate administered by CME Group Benchmark Administration Limited. As a result of these amendments, we can borrow at Term SOFR plus a credit spread adjustment of 0.10% subject to a floor of zero.</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January 31, 2024, we were in compliance with these covenants.</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three months ended January 31, 2024, we made principal payments of $8.1 million under the term loan. At January 31, 2024, the total outstanding borrowings under our Amended Credit Facility in the form of cash borrowings and standby letters of credit were $1.3 billion and $58.2 million, respectively, and our weighted average interest rate on all outstanding borrowings, excluding letters of credit, was 7.20%. At January 31, 2024, we had up to $449.8 million of borrowing capacity.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IFM Insurance Company</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IFM Assurance Company (“IFM”) is a wholly 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did not repurchase shares under the share repurchase program during the three months ended January 31, 2024 and 2023.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The share repurchase program may be suspended or discontinued at any time without prior notice. At January 31, 2024, authorization for $210.3 million of repurchases remained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170"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Three Months Ended January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55" w:lineRule="exact"/>
              <w:rPr>
                <w:sz w:val="20"/>
                <w:szCs w:val="20"/>
                <w:color w:val="auto"/>
              </w:rPr>
            </w:pPr>
            <w:r>
              <w:rPr>
                <w:rFonts w:ascii="Arial" w:cs="Arial" w:eastAsia="Arial" w:hAnsi="Arial"/>
                <w:sz w:val="16"/>
                <w:szCs w:val="16"/>
                <w:b w:val="1"/>
                <w:bCs w:val="1"/>
                <w:color w:val="auto"/>
              </w:rPr>
              <w:t>2023</w:t>
            </w:r>
          </w:p>
        </w:tc>
      </w:tr>
      <w:tr>
        <w:trPr>
          <w:trHeight w:val="34"/>
        </w:trPr>
        <w:tc>
          <w:tcPr>
            <w:tcW w:w="20" w:type="dxa"/>
            <w:vAlign w:val="bottom"/>
            <w:tcBorders>
              <w:bottom w:val="single" w:sz="8" w:color="DCE2EF"/>
            </w:tcBorders>
          </w:tcPr>
          <w:p>
            <w:pPr>
              <w:spacing w:after="0"/>
              <w:rPr>
                <w:sz w:val="2"/>
                <w:szCs w:val="2"/>
                <w:color w:val="auto"/>
              </w:rPr>
            </w:pPr>
          </w:p>
        </w:tc>
        <w:tc>
          <w:tcPr>
            <w:tcW w:w="720" w:type="dxa"/>
            <w:vAlign w:val="bottom"/>
            <w:tcBorders>
              <w:top w:val="single" w:sz="8" w:color="auto"/>
              <w:bottom w:val="single" w:sz="8" w:color="DCE2EF"/>
            </w:tcBorders>
          </w:tcPr>
          <w:p>
            <w:pPr>
              <w:spacing w:after="0"/>
              <w:rPr>
                <w:sz w:val="2"/>
                <w:szCs w:val="2"/>
                <w:color w:val="auto"/>
              </w:rPr>
            </w:pPr>
          </w:p>
        </w:tc>
        <w:tc>
          <w:tcPr>
            <w:tcW w:w="6780" w:type="dxa"/>
            <w:vAlign w:val="bottom"/>
            <w:tcBorders>
              <w:bottom w:val="single" w:sz="8" w:color="DCE2E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DCE2EF"/>
          </w:tcPr>
          <w:p>
            <w:pPr>
              <w:spacing w:after="0"/>
              <w:rPr>
                <w:sz w:val="18"/>
                <w:szCs w:val="18"/>
                <w:color w:val="auto"/>
              </w:rPr>
            </w:pPr>
          </w:p>
        </w:tc>
        <w:tc>
          <w:tcPr>
            <w:tcW w:w="75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used in operating activities</w:t>
            </w:r>
          </w:p>
        </w:tc>
        <w:tc>
          <w:tcPr>
            <w:tcW w:w="420" w:type="dxa"/>
            <w:vAlign w:val="bottom"/>
            <w:shd w:val="clear" w:color="auto" w:fill="DCE2E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18"/>
                <w:szCs w:val="18"/>
                <w:color w:val="auto"/>
              </w:rPr>
            </w:pPr>
          </w:p>
        </w:tc>
        <w:tc>
          <w:tcPr>
            <w:tcW w:w="40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CE2EF"/>
          </w:tcPr>
          <w:p>
            <w:pPr>
              <w:jc w:val="center"/>
              <w:ind w:left="839"/>
              <w:spacing w:after="0"/>
              <w:rPr>
                <w:sz w:val="20"/>
                <w:szCs w:val="20"/>
                <w:color w:val="auto"/>
              </w:rPr>
            </w:pPr>
            <w:r>
              <w:rPr>
                <w:rFonts w:ascii="Arial" w:cs="Arial" w:eastAsia="Arial" w:hAnsi="Arial"/>
                <w:sz w:val="16"/>
                <w:szCs w:val="16"/>
                <w:color w:val="auto"/>
              </w:rPr>
              <w:t>(70.9)</w:t>
            </w: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center"/>
              <w:ind w:left="839"/>
              <w:spacing w:after="0"/>
              <w:rPr>
                <w:sz w:val="20"/>
                <w:szCs w:val="20"/>
                <w:color w:val="auto"/>
              </w:rPr>
            </w:pPr>
            <w:r>
              <w:rPr>
                <w:rFonts w:ascii="Arial" w:cs="Arial" w:eastAsia="Arial" w:hAnsi="Arial"/>
                <w:sz w:val="16"/>
                <w:szCs w:val="16"/>
                <w:color w:val="auto"/>
              </w:rPr>
              <w:t>(12.5)</w:t>
            </w:r>
          </w:p>
        </w:tc>
      </w:tr>
      <w:tr>
        <w:trPr>
          <w:trHeight w:val="217"/>
        </w:trPr>
        <w:tc>
          <w:tcPr>
            <w:tcW w:w="20" w:type="dxa"/>
            <w:vAlign w:val="bottom"/>
            <w:shd w:val="clear" w:color="auto" w:fill="DCE2EF"/>
          </w:tcPr>
          <w:p>
            <w:pPr>
              <w:spacing w:after="0"/>
              <w:rPr>
                <w:sz w:val="18"/>
                <w:szCs w:val="18"/>
                <w:color w:val="auto"/>
              </w:rPr>
            </w:pPr>
          </w:p>
        </w:tc>
        <w:tc>
          <w:tcPr>
            <w:tcW w:w="750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shd w:val="clear" w:color="auto" w:fill="DCE2EF"/>
          </w:tcPr>
          <w:p>
            <w:pPr>
              <w:spacing w:after="0"/>
              <w:rPr>
                <w:sz w:val="18"/>
                <w:szCs w:val="18"/>
                <w:color w:val="auto"/>
              </w:rPr>
            </w:pPr>
          </w:p>
        </w:tc>
        <w:tc>
          <w:tcPr>
            <w:tcW w:w="13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DCE2EF"/>
          </w:tcPr>
          <w:p>
            <w:pPr>
              <w:spacing w:after="0"/>
              <w:rPr>
                <w:sz w:val="18"/>
                <w:szCs w:val="18"/>
                <w:color w:val="auto"/>
              </w:rPr>
            </w:pPr>
          </w:p>
        </w:tc>
        <w:tc>
          <w:tcPr>
            <w:tcW w:w="400" w:type="dxa"/>
            <w:vAlign w:val="bottom"/>
            <w:shd w:val="clear" w:color="auto" w:fill="DCE2EF"/>
          </w:tcPr>
          <w:p>
            <w:pPr>
              <w:spacing w:after="0"/>
              <w:rPr>
                <w:sz w:val="18"/>
                <w:szCs w:val="18"/>
                <w:color w:val="auto"/>
              </w:rPr>
            </w:pPr>
          </w:p>
        </w:tc>
        <w:tc>
          <w:tcPr>
            <w:tcW w:w="1400" w:type="dxa"/>
            <w:vAlign w:val="bottom"/>
            <w:shd w:val="clear" w:color="auto" w:fill="DCE2EF"/>
          </w:tcPr>
          <w:p>
            <w:pPr>
              <w:jc w:val="center"/>
              <w:ind w:left="859"/>
              <w:spacing w:after="0"/>
              <w:rPr>
                <w:sz w:val="20"/>
                <w:szCs w:val="20"/>
                <w:color w:val="auto"/>
              </w:rPr>
            </w:pPr>
            <w:r>
              <w:rPr>
                <w:rFonts w:ascii="Arial" w:cs="Arial" w:eastAsia="Arial" w:hAnsi="Arial"/>
                <w:sz w:val="16"/>
                <w:szCs w:val="16"/>
                <w:color w:val="auto"/>
                <w:w w:val="96"/>
              </w:rPr>
              <w:t>96.2</w:t>
            </w: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Net cash used in operating activities was $0.1 million during the three months ended January 31, 2024, as compared to net cash used by operating activities of $70.9 million during the prior year period. The change was primarily driven by the timing of working capital requirements, which included a $66.0 million payment for the deferred payroll taxes during the three months ended January 31, 2023.</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Net cash used in investing activities increased by $0.5 million during the three months ended January 31, 2024, as compared to the prior year period. This quarter’s activity primarily related to purchases of property, plant and equipment.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Net cash provided by financing activities was $0.5 million during the three months ended January 31, 2024, as compared to net cash provided by financing activities of $96.2 million during the prior year period. The change was primarily related to a decrease in net borrowings from our Amended Credit Facility.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disclosures on contingencies, see Note 10, “Commitments and Contingencies,” of the Notes to unaudited Consolidated Financial Statements included in Part I, Item 1 of this Form 10-Q.</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Statements are prepared in accordance with U.S. GAAP, which require us to make certain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 on Form 10-K for the year ended October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Recently Issued Accounting Pronouncements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Accounting</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Effective Date/</w:t>
            </w:r>
          </w:p>
        </w:tc>
        <w:tc>
          <w:tcPr>
            <w:tcW w:w="0" w:type="dxa"/>
            <w:vAlign w:val="bottom"/>
          </w:tcPr>
          <w:p>
            <w:pPr>
              <w:spacing w:after="0"/>
              <w:rPr>
                <w:sz w:val="1"/>
                <w:szCs w:val="1"/>
                <w:color w:val="auto"/>
              </w:rPr>
            </w:pPr>
          </w:p>
        </w:tc>
      </w:tr>
      <w:tr>
        <w:trPr>
          <w:trHeight w:val="162"/>
        </w:trPr>
        <w:tc>
          <w:tcPr>
            <w:tcW w:w="13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Standard</w:t>
            </w:r>
          </w:p>
        </w:tc>
        <w:tc>
          <w:tcPr>
            <w:tcW w:w="2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Topic</w:t>
            </w:r>
          </w:p>
        </w:tc>
        <w:tc>
          <w:tcPr>
            <w:tcW w:w="120" w:type="dxa"/>
            <w:vAlign w:val="bottom"/>
            <w:vMerge w:val="restart"/>
          </w:tcPr>
          <w:p>
            <w:pPr>
              <w:spacing w:after="0"/>
              <w:rPr>
                <w:sz w:val="14"/>
                <w:szCs w:val="14"/>
                <w:color w:val="auto"/>
              </w:rPr>
            </w:pPr>
          </w:p>
        </w:tc>
        <w:tc>
          <w:tcPr>
            <w:tcW w:w="4980" w:type="dxa"/>
            <w:vAlign w:val="bottom"/>
            <w:vMerge w:val="restart"/>
          </w:tcPr>
          <w:p>
            <w:pPr>
              <w:ind w:left="2120"/>
              <w:spacing w:after="0"/>
              <w:rPr>
                <w:sz w:val="20"/>
                <w:szCs w:val="20"/>
                <w:color w:val="auto"/>
              </w:rPr>
            </w:pPr>
            <w:r>
              <w:rPr>
                <w:rFonts w:ascii="Arial" w:cs="Arial" w:eastAsia="Arial" w:hAnsi="Arial"/>
                <w:sz w:val="16"/>
                <w:szCs w:val="16"/>
                <w:b w:val="1"/>
                <w:bCs w:val="1"/>
                <w:color w:val="auto"/>
              </w:rPr>
              <w:t>Summary</w:t>
            </w:r>
          </w:p>
        </w:tc>
        <w:tc>
          <w:tcPr>
            <w:tcW w:w="100" w:type="dxa"/>
            <w:vAlign w:val="bottom"/>
            <w:vMerge w:val="restart"/>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Update(s)</w:t>
            </w:r>
          </w:p>
        </w:tc>
        <w:tc>
          <w:tcPr>
            <w:tcW w:w="100" w:type="dxa"/>
            <w:vAlign w:val="bottom"/>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3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Method of Adoption</w:t>
            </w:r>
          </w:p>
        </w:tc>
        <w:tc>
          <w:tcPr>
            <w:tcW w:w="0" w:type="dxa"/>
            <w:vAlign w:val="bottom"/>
          </w:tcPr>
          <w:p>
            <w:pPr>
              <w:spacing w:after="0"/>
              <w:rPr>
                <w:sz w:val="1"/>
                <w:szCs w:val="1"/>
                <w:color w:val="auto"/>
              </w:rPr>
            </w:pPr>
          </w:p>
        </w:tc>
      </w:tr>
      <w:tr>
        <w:trPr>
          <w:trHeight w:val="156"/>
        </w:trPr>
        <w:tc>
          <w:tcPr>
            <w:tcW w:w="1200" w:type="dxa"/>
            <w:vAlign w:val="bottom"/>
          </w:tcPr>
          <w:p>
            <w:pPr>
              <w:jc w:val="center"/>
              <w:spacing w:after="0" w:line="155" w:lineRule="exact"/>
              <w:rPr>
                <w:sz w:val="20"/>
                <w:szCs w:val="20"/>
                <w:color w:val="auto"/>
              </w:rPr>
            </w:pPr>
            <w:r>
              <w:rPr>
                <w:rFonts w:ascii="Arial" w:cs="Arial" w:eastAsia="Arial" w:hAnsi="Arial"/>
                <w:sz w:val="16"/>
                <w:szCs w:val="16"/>
                <w:color w:val="auto"/>
                <w:w w:val="98"/>
              </w:rPr>
              <w:t>2023-07</w:t>
            </w: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5" w:lineRule="exact"/>
              <w:rPr>
                <w:sz w:val="20"/>
                <w:szCs w:val="20"/>
                <w:color w:val="auto"/>
              </w:rPr>
            </w:pPr>
            <w:r>
              <w:rPr>
                <w:rFonts w:ascii="Arial" w:cs="Arial" w:eastAsia="Arial" w:hAnsi="Arial"/>
                <w:sz w:val="16"/>
                <w:szCs w:val="16"/>
                <w:color w:val="auto"/>
                <w:w w:val="98"/>
              </w:rPr>
              <w:t>Segment Reporting (Topic 280):</w:t>
            </w:r>
          </w:p>
        </w:tc>
        <w:tc>
          <w:tcPr>
            <w:tcW w:w="508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This ASU, issued in November 2023, improves reportable segment</w:t>
            </w:r>
          </w:p>
        </w:tc>
        <w:tc>
          <w:tcPr>
            <w:tcW w:w="2380" w:type="dxa"/>
            <w:vAlign w:val="bottom"/>
          </w:tcPr>
          <w:p>
            <w:pPr>
              <w:ind w:left="20"/>
              <w:spacing w:after="0" w:line="155"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3" w:lineRule="exact"/>
              <w:rPr>
                <w:sz w:val="20"/>
                <w:szCs w:val="20"/>
                <w:color w:val="auto"/>
              </w:rPr>
            </w:pPr>
            <w:r>
              <w:rPr>
                <w:rFonts w:ascii="Arial" w:cs="Arial" w:eastAsia="Arial" w:hAnsi="Arial"/>
                <w:sz w:val="16"/>
                <w:szCs w:val="16"/>
                <w:color w:val="auto"/>
                <w:w w:val="99"/>
              </w:rPr>
              <w:t>Improvements to Reportable</w:t>
            </w: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disclosure requirements, primarily through enhanced disclosures</w:t>
            </w:r>
          </w:p>
        </w:tc>
        <w:tc>
          <w:tcPr>
            <w:tcW w:w="2380" w:type="dxa"/>
            <w:vAlign w:val="bottom"/>
          </w:tcPr>
          <w:p>
            <w:pPr>
              <w:ind w:left="20"/>
              <w:spacing w:after="0" w:line="153"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Segment Disclosures</w:t>
            </w: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about significant segment expenses. This ASU requires disclosure, on</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15, 2023, and interim periods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an annual and interim basis, of significant segment expenses that are</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w w:val="99"/>
              </w:rPr>
              <w:t>within fiscal years beginning after</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regularly provided to the chief operating decision maker, and an</w:t>
            </w:r>
          </w:p>
        </w:tc>
        <w:tc>
          <w:tcPr>
            <w:tcW w:w="2380" w:type="dxa"/>
            <w:vAlign w:val="bottom"/>
          </w:tcPr>
          <w:p>
            <w:pPr>
              <w:ind w:left="20"/>
              <w:spacing w:after="0" w:line="158" w:lineRule="exact"/>
              <w:rPr>
                <w:sz w:val="20"/>
                <w:szCs w:val="20"/>
                <w:color w:val="auto"/>
              </w:rPr>
            </w:pPr>
            <w:r>
              <w:rPr>
                <w:rFonts w:ascii="Arial" w:cs="Arial" w:eastAsia="Arial" w:hAnsi="Arial"/>
                <w:sz w:val="16"/>
                <w:szCs w:val="16"/>
                <w:color w:val="auto"/>
              </w:rPr>
              <w:t>December 15, 2024, with early</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amount for other segment items by reportable segment, with a</w:t>
            </w:r>
          </w:p>
        </w:tc>
        <w:tc>
          <w:tcPr>
            <w:tcW w:w="2380" w:type="dxa"/>
            <w:vAlign w:val="bottom"/>
          </w:tcPr>
          <w:p>
            <w:pPr>
              <w:ind w:left="20"/>
              <w:spacing w:after="0" w:line="153" w:lineRule="exact"/>
              <w:rPr>
                <w:sz w:val="20"/>
                <w:szCs w:val="20"/>
                <w:color w:val="auto"/>
              </w:rPr>
            </w:pPr>
            <w:r>
              <w:rPr>
                <w:rFonts w:ascii="Arial" w:cs="Arial" w:eastAsia="Arial" w:hAnsi="Arial"/>
                <w:sz w:val="16"/>
                <w:szCs w:val="16"/>
                <w:color w:val="auto"/>
              </w:rPr>
              <w:t>adoption permitted.</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description of its composition. We are currently evaluating the impact</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 implementing this guidance on our financial 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00" w:type="dxa"/>
            <w:vAlign w:val="bottom"/>
          </w:tcPr>
          <w:p>
            <w:pPr>
              <w:jc w:val="center"/>
              <w:spacing w:after="0" w:line="158" w:lineRule="exact"/>
              <w:rPr>
                <w:sz w:val="20"/>
                <w:szCs w:val="20"/>
                <w:color w:val="auto"/>
              </w:rPr>
            </w:pPr>
            <w:r>
              <w:rPr>
                <w:rFonts w:ascii="Arial" w:cs="Arial" w:eastAsia="Arial" w:hAnsi="Arial"/>
                <w:sz w:val="16"/>
                <w:szCs w:val="16"/>
                <w:color w:val="auto"/>
                <w:w w:val="98"/>
              </w:rPr>
              <w:t>2023-09</w:t>
            </w: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8" w:lineRule="exact"/>
              <w:rPr>
                <w:sz w:val="20"/>
                <w:szCs w:val="20"/>
                <w:color w:val="auto"/>
              </w:rPr>
            </w:pPr>
            <w:r>
              <w:rPr>
                <w:rFonts w:ascii="Arial" w:cs="Arial" w:eastAsia="Arial" w:hAnsi="Arial"/>
                <w:sz w:val="16"/>
                <w:szCs w:val="16"/>
                <w:color w:val="auto"/>
                <w:w w:val="96"/>
              </w:rPr>
              <w:t>Income Taxes (Topic 740):</w:t>
            </w:r>
          </w:p>
        </w:tc>
        <w:tc>
          <w:tcPr>
            <w:tcW w:w="50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This ASU, issued in December 2023, is intended to enhance the</w:t>
            </w:r>
          </w:p>
        </w:tc>
        <w:tc>
          <w:tcPr>
            <w:tcW w:w="2380" w:type="dxa"/>
            <w:vAlign w:val="bottom"/>
          </w:tcPr>
          <w:p>
            <w:pPr>
              <w:ind w:left="20"/>
              <w:spacing w:after="0" w:line="158" w:lineRule="exact"/>
              <w:rPr>
                <w:sz w:val="20"/>
                <w:szCs w:val="20"/>
                <w:color w:val="auto"/>
              </w:rPr>
            </w:pPr>
            <w:r>
              <w:rPr>
                <w:rFonts w:ascii="Arial" w:cs="Arial" w:eastAsia="Arial" w:hAnsi="Arial"/>
                <w:sz w:val="16"/>
                <w:szCs w:val="16"/>
                <w:color w:val="auto"/>
              </w:rPr>
              <w:t>This ASU is effective for fiscal</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jc w:val="center"/>
              <w:ind w:right="120"/>
              <w:spacing w:after="0" w:line="153" w:lineRule="exact"/>
              <w:rPr>
                <w:sz w:val="20"/>
                <w:szCs w:val="20"/>
                <w:color w:val="auto"/>
              </w:rPr>
            </w:pPr>
            <w:r>
              <w:rPr>
                <w:rFonts w:ascii="Arial" w:cs="Arial" w:eastAsia="Arial" w:hAnsi="Arial"/>
                <w:sz w:val="16"/>
                <w:szCs w:val="16"/>
                <w:color w:val="auto"/>
                <w:w w:val="98"/>
              </w:rPr>
              <w:t>Improvements to Income Tax</w:t>
            </w: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transparency and decision usefulness of income tax disclosures. The</w:t>
            </w:r>
          </w:p>
        </w:tc>
        <w:tc>
          <w:tcPr>
            <w:tcW w:w="2380" w:type="dxa"/>
            <w:vAlign w:val="bottom"/>
          </w:tcPr>
          <w:p>
            <w:pPr>
              <w:ind w:left="20"/>
              <w:spacing w:after="0" w:line="153" w:lineRule="exact"/>
              <w:rPr>
                <w:sz w:val="20"/>
                <w:szCs w:val="20"/>
                <w:color w:val="auto"/>
              </w:rPr>
            </w:pPr>
            <w:r>
              <w:rPr>
                <w:rFonts w:ascii="Arial" w:cs="Arial" w:eastAsia="Arial" w:hAnsi="Arial"/>
                <w:sz w:val="16"/>
                <w:szCs w:val="16"/>
                <w:color w:val="auto"/>
              </w:rPr>
              <w:t>years beginning after December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Disclosures</w:t>
            </w: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amendments in this ASU address investor requests for enhanced</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15, 2024, with early adoption</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income tax information primarily through changes to the rate</w:t>
            </w:r>
          </w:p>
        </w:tc>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permitted.</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reconciliation and income taxes paid information. We are currently</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gridSpan w:val="2"/>
          </w:tcPr>
          <w:p>
            <w:pPr>
              <w:ind w:left="20"/>
              <w:spacing w:after="0" w:line="153" w:lineRule="exact"/>
              <w:rPr>
                <w:sz w:val="20"/>
                <w:szCs w:val="20"/>
                <w:color w:val="auto"/>
              </w:rPr>
            </w:pPr>
            <w:r>
              <w:rPr>
                <w:rFonts w:ascii="Arial" w:cs="Arial" w:eastAsia="Arial" w:hAnsi="Arial"/>
                <w:sz w:val="16"/>
                <w:szCs w:val="16"/>
                <w:color w:val="auto"/>
              </w:rPr>
              <w:t>evaluating the impact of implementing this guidance on our financial</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statements.</w:t>
            </w:r>
          </w:p>
        </w:tc>
        <w:tc>
          <w:tcPr>
            <w:tcW w:w="10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support the growth of our financial shared service capabilities and standardize our financial systems, we continue to update several key platforms, including our HR information systems, enterprise resource planning (“ERP”) system, and labor management system. The implementation of several key platforms involves changes in the systems that include internal controls. During the year ended October 31, 2023, we had a change in our internal control over financial reporting as a result of our implementation of a new ERP for the Education industry group that has materially affected, or is reasonably likely to materially affect, our internal control over financial reporting. The new ERP system for the Education industry group replaced our legacy system in which a significant portion of our business transactions originate, are processed, and recorded. The rest of our industry groups will transition to our new ERP system over the next several years. Our new ERP system is intended to provide us with enhanced transactional processing and management tools compared with our legacy system and is intended to enhance internal controls over financial reporting. We believe our new ERP system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w:t>
      </w:r>
    </w:p>
    <w:p>
      <w:pPr>
        <w:spacing w:after="0" w:line="1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Other than continued enhancements to our ERP system for the Education industry group, there have been no other changes in our internal control over financial reporting during the first quarter of 2024 identified in connection with the evaluation required by Rules 13a-15(d) and 15d-15(d) of the Exchange Act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unaudited Consolidated Financial Statements in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2023, in response to Item 1A., “Risk Factors,” of Part I of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December 13, 2023, our Board of Directors expanded our existing share repurchase program by an additional $150.0 million.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6" w:name="page37"/>
    <w:bookmarkEnd w:id="36"/>
    <w:p>
      <w:pPr>
        <w:jc w:val="both"/>
        <w:ind w:right="20"/>
        <w:spacing w:after="0" w:line="268" w:lineRule="auto"/>
        <w:rPr>
          <w:sz w:val="20"/>
          <w:szCs w:val="20"/>
          <w:color w:val="auto"/>
        </w:rPr>
      </w:pPr>
      <w:r>
        <w:rPr>
          <w:rFonts w:ascii="Arial" w:cs="Arial" w:eastAsia="Arial" w:hAnsi="Arial"/>
          <w:sz w:val="18"/>
          <w:szCs w:val="18"/>
          <w:color w:val="auto"/>
        </w:rPr>
        <w:t>an authorized but unissued status. The share repurchase program may be suspended or discontinued at any time without prior notice. There were no share repurchases during the three months ended. January 31, 2024. At January 31, 2024, authorization for $210.3 million of repurchases remained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Trading Arrangements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During the three months ended January 31, 2024, certain of our “officers,” as defined in Rule 16a-1(f) of the Exchange Act, and directors adopted, modified, or terminated a “Rule 10b5-1 trading arrangement” or a “non-Rule 10b5-1 trading arrangement,” as each term is defined in Item 408 of Regulation 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036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0369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Arrangements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Name and Title</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Action</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Date of Action</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Non-Rule 10b5-1</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Aggregate Number</w:t>
            </w:r>
          </w:p>
        </w:tc>
        <w:tc>
          <w:tcPr>
            <w:tcW w:w="190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Duration</w:t>
            </w:r>
          </w:p>
        </w:tc>
      </w:tr>
      <w:tr>
        <w:trPr>
          <w:trHeight w:val="144"/>
        </w:trPr>
        <w:tc>
          <w:tcPr>
            <w:tcW w:w="1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Trading</w:t>
            </w:r>
          </w:p>
        </w:tc>
        <w:tc>
          <w:tcPr>
            <w:tcW w:w="13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of Securities to Be</w:t>
            </w:r>
          </w:p>
        </w:tc>
        <w:tc>
          <w:tcPr>
            <w:tcW w:w="13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of Securities to Be</w:t>
            </w:r>
          </w:p>
        </w:tc>
        <w:tc>
          <w:tcPr>
            <w:tcW w:w="1900" w:type="dxa"/>
            <w:vAlign w:val="bottom"/>
          </w:tcPr>
          <w:p>
            <w:pPr>
              <w:spacing w:after="0"/>
              <w:rPr>
                <w:sz w:val="12"/>
                <w:szCs w:val="12"/>
                <w:color w:val="auto"/>
              </w:rPr>
            </w:pPr>
          </w:p>
        </w:tc>
      </w:tr>
      <w:tr>
        <w:trPr>
          <w:trHeight w:val="230"/>
        </w:trPr>
        <w:tc>
          <w:tcPr>
            <w:tcW w:w="19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color w:val="auto"/>
              </w:rPr>
              <w:t>Arrangement</w:t>
            </w:r>
            <w:r>
              <w:rPr>
                <w:rFonts w:ascii="Arial" w:cs="Arial" w:eastAsia="Arial" w:hAnsi="Arial"/>
                <w:sz w:val="23"/>
                <w:szCs w:val="23"/>
                <w:color w:val="auto"/>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Arrangement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Sold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Purchased</w:t>
            </w:r>
          </w:p>
        </w:tc>
        <w:tc>
          <w:tcPr>
            <w:tcW w:w="1900" w:type="dxa"/>
            <w:vAlign w:val="bottom"/>
            <w:tcBorders>
              <w:bottom w:val="single" w:sz="8" w:color="auto"/>
            </w:tcBorders>
          </w:tcPr>
          <w:p>
            <w:pPr>
              <w:spacing w:after="0"/>
              <w:rPr>
                <w:sz w:val="19"/>
                <w:szCs w:val="19"/>
                <w:color w:val="auto"/>
              </w:rPr>
            </w:pPr>
          </w:p>
        </w:tc>
      </w:tr>
      <w:tr>
        <w:trPr>
          <w:trHeight w:val="187"/>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Andrea Newborn, Executive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Adoption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January 11, 2024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12,615 shares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900" w:type="dxa"/>
            <w:vAlign w:val="bottom"/>
          </w:tcPr>
          <w:p>
            <w:pPr>
              <w:spacing w:after="0"/>
              <w:rPr>
                <w:sz w:val="20"/>
                <w:szCs w:val="20"/>
                <w:color w:val="auto"/>
              </w:rPr>
            </w:pPr>
            <w:r>
              <w:rPr>
                <w:rFonts w:ascii="Arial" w:cs="Arial" w:eastAsia="Arial" w:hAnsi="Arial"/>
                <w:sz w:val="14"/>
                <w:szCs w:val="14"/>
                <w:color w:val="auto"/>
              </w:rPr>
              <w:t>From April 12, 2024, until the</w:t>
            </w:r>
          </w:p>
        </w:tc>
      </w:tr>
      <w:tr>
        <w:trPr>
          <w:trHeight w:val="175"/>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Vice President, General</w:t>
            </w:r>
          </w:p>
        </w:tc>
        <w:tc>
          <w:tcPr>
            <w:tcW w:w="9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common stock</w:t>
            </w:r>
          </w:p>
        </w:tc>
        <w:tc>
          <w:tcPr>
            <w:tcW w:w="1300" w:type="dxa"/>
            <w:vAlign w:val="bottom"/>
            <w:tcBorders>
              <w:right w:val="single" w:sz="8" w:color="auto"/>
            </w:tcBorders>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earlier of (i) the date when</w:t>
            </w:r>
          </w:p>
        </w:tc>
      </w:tr>
      <w:tr>
        <w:trPr>
          <w:trHeight w:val="162"/>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Counsel and Corporate</w:t>
            </w:r>
          </w:p>
        </w:tc>
        <w:tc>
          <w:tcPr>
            <w:tcW w:w="9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all shares under plan are</w:t>
            </w:r>
          </w:p>
        </w:tc>
      </w:tr>
      <w:tr>
        <w:trPr>
          <w:trHeight w:val="190"/>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Secretary</w:t>
            </w:r>
          </w:p>
        </w:tc>
        <w:tc>
          <w:tcPr>
            <w:tcW w:w="9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sold and (ii) January 7, 2025</w:t>
            </w:r>
          </w:p>
        </w:tc>
      </w:tr>
      <w:tr>
        <w:trPr>
          <w:trHeight w:val="22"/>
        </w:trPr>
        <w:tc>
          <w:tcPr>
            <w:tcW w:w="19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Intended to satisfy the affirmative defense conditions of Rule 10b5-1(c).</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7"/>
        </w:trPr>
        <w:tc>
          <w:tcPr>
            <w:tcW w:w="11240" w:type="dxa"/>
            <w:vAlign w:val="bottom"/>
            <w:gridSpan w:val="9"/>
          </w:tcPr>
          <w:p>
            <w:pPr>
              <w:spacing w:after="0"/>
              <w:rPr>
                <w:sz w:val="20"/>
                <w:szCs w:val="20"/>
                <w:color w:val="auto"/>
              </w:rPr>
            </w:pPr>
            <w:r>
              <w:rPr>
                <w:rFonts w:ascii="Arial" w:cs="Arial" w:eastAsia="Arial" w:hAnsi="Arial"/>
                <w:sz w:val="18"/>
                <w:szCs w:val="18"/>
                <w:b w:val="1"/>
                <w:bCs w:val="1"/>
                <w:color w:val="0046AD"/>
              </w:rPr>
              <w:t>ITEM 6. EXHIBITS.</w:t>
            </w:r>
          </w:p>
        </w:tc>
      </w:tr>
      <w:tr>
        <w:trPr>
          <w:trHeight w:val="370"/>
        </w:trPr>
        <w:tc>
          <w:tcPr>
            <w:tcW w:w="11240" w:type="dxa"/>
            <w:vAlign w:val="bottom"/>
            <w:gridSpan w:val="9"/>
          </w:tcPr>
          <w:p>
            <w:pPr>
              <w:ind w:left="660"/>
              <w:spacing w:after="0"/>
              <w:rPr>
                <w:sz w:val="20"/>
                <w:szCs w:val="20"/>
                <w:color w:val="auto"/>
              </w:rPr>
            </w:pPr>
            <w:r>
              <w:rPr>
                <w:rFonts w:ascii="Arial" w:cs="Arial" w:eastAsia="Arial" w:hAnsi="Arial"/>
                <w:sz w:val="18"/>
                <w:szCs w:val="18"/>
                <w:color w:val="auto"/>
              </w:rPr>
              <w:t>(a) Exhibits</w:t>
            </w:r>
          </w:p>
        </w:tc>
      </w:tr>
      <w:tr>
        <w:trPr>
          <w:trHeight w:val="185"/>
        </w:trPr>
        <w:tc>
          <w:tcPr>
            <w:tcW w:w="13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8"/>
            <w:shd w:val="clear" w:color="auto" w:fill="DCE2EF"/>
          </w:tcPr>
          <w:p>
            <w:pPr>
              <w:ind w:left="4180"/>
              <w:spacing w:after="0"/>
              <w:rPr>
                <w:sz w:val="20"/>
                <w:szCs w:val="20"/>
                <w:color w:val="auto"/>
              </w:rPr>
            </w:pPr>
            <w:r>
              <w:rPr>
                <w:rFonts w:ascii="Arial" w:cs="Arial" w:eastAsia="Arial" w:hAnsi="Arial"/>
                <w:sz w:val="16"/>
                <w:szCs w:val="16"/>
                <w:b w:val="1"/>
                <w:bCs w:val="1"/>
                <w:color w:val="auto"/>
              </w:rPr>
              <w:t>Exhibit Description</w:t>
            </w: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3.1</w:t>
            </w:r>
          </w:p>
        </w:tc>
        <w:tc>
          <w:tcPr>
            <w:tcW w:w="9860" w:type="dxa"/>
            <w:vAlign w:val="bottom"/>
            <w:gridSpan w:val="8"/>
          </w:tcPr>
          <w:p>
            <w:pPr>
              <w:spacing w:after="0" w:line="175" w:lineRule="exact"/>
              <w:rPr>
                <w:rFonts w:ascii="Arial" w:cs="Arial" w:eastAsia="Arial" w:hAnsi="Arial"/>
                <w:sz w:val="16"/>
                <w:szCs w:val="16"/>
                <w:color w:val="0000FF"/>
              </w:rPr>
            </w:pPr>
            <w:hyperlink r:id="rId74">
              <w:r>
                <w:rPr>
                  <w:rFonts w:ascii="Arial" w:cs="Arial" w:eastAsia="Arial" w:hAnsi="Arial"/>
                  <w:sz w:val="16"/>
                  <w:szCs w:val="16"/>
                  <w:color w:val="0000FF"/>
                </w:rPr>
                <w:t>Amended and Restated Certificate of Incorporation of ABM Industries Incorporated, dated March 26, 2020 (incorporated by reference to</w:t>
              </w:r>
            </w:hyperlink>
          </w:p>
        </w:tc>
      </w:tr>
      <w:tr>
        <w:trPr>
          <w:trHeight w:val="142"/>
        </w:trPr>
        <w:tc>
          <w:tcPr>
            <w:tcW w:w="1380" w:type="dxa"/>
            <w:vAlign w:val="bottom"/>
          </w:tcPr>
          <w:p>
            <w:pPr>
              <w:spacing w:after="0"/>
              <w:rPr>
                <w:sz w:val="12"/>
                <w:szCs w:val="12"/>
                <w:color w:val="auto"/>
              </w:rPr>
            </w:pPr>
          </w:p>
        </w:tc>
        <w:tc>
          <w:tcPr>
            <w:tcW w:w="972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Exhibit 3.1 to the Company’s Current Report on Form 8-K, filed on March 27, 2020)</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46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DCE2EF"/>
          </w:tcPr>
          <w:p>
            <w:pPr>
              <w:ind w:left="20"/>
              <w:spacing w:after="0" w:line="175" w:lineRule="exact"/>
              <w:rPr>
                <w:sz w:val="20"/>
                <w:szCs w:val="20"/>
                <w:color w:val="auto"/>
              </w:rPr>
            </w:pPr>
            <w:r>
              <w:rPr>
                <w:rFonts w:ascii="Arial" w:cs="Arial" w:eastAsia="Arial" w:hAnsi="Arial"/>
                <w:sz w:val="16"/>
                <w:szCs w:val="16"/>
                <w:color w:val="auto"/>
              </w:rPr>
              <w:t>3.2</w:t>
            </w:r>
          </w:p>
        </w:tc>
        <w:tc>
          <w:tcPr>
            <w:tcW w:w="9860" w:type="dxa"/>
            <w:vAlign w:val="bottom"/>
            <w:gridSpan w:val="8"/>
            <w:shd w:val="clear" w:color="auto" w:fill="DCE2EF"/>
          </w:tcPr>
          <w:p>
            <w:pPr>
              <w:spacing w:after="0" w:line="175" w:lineRule="exact"/>
              <w:rPr>
                <w:rFonts w:ascii="Arial" w:cs="Arial" w:eastAsia="Arial" w:hAnsi="Arial"/>
                <w:sz w:val="16"/>
                <w:szCs w:val="16"/>
                <w:color w:val="0000FF"/>
              </w:rPr>
            </w:pPr>
            <w:hyperlink r:id="rId75">
              <w:r>
                <w:rPr>
                  <w:rFonts w:ascii="Arial" w:cs="Arial" w:eastAsia="Arial" w:hAnsi="Arial"/>
                  <w:sz w:val="16"/>
                  <w:szCs w:val="16"/>
                  <w:color w:val="0000FF"/>
                </w:rPr>
                <w:t>Amended and Restated Bylaws of ABM Industries Incorporated, effective June 13, 2023 (incorporated by reference to Exhibit 3.1 to the</w:t>
              </w:r>
            </w:hyperlink>
          </w:p>
        </w:tc>
      </w:tr>
      <w:tr>
        <w:trPr>
          <w:trHeight w:val="163"/>
        </w:trPr>
        <w:tc>
          <w:tcPr>
            <w:tcW w:w="1380" w:type="dxa"/>
            <w:vAlign w:val="bottom"/>
            <w:tcBorders>
              <w:top w:val="single" w:sz="8" w:color="DCE2EF"/>
              <w:bottom w:val="single" w:sz="8" w:color="DCE2EF"/>
            </w:tcBorders>
            <w:shd w:val="clear" w:color="auto" w:fill="DCE2EF"/>
          </w:tcPr>
          <w:p>
            <w:pPr>
              <w:spacing w:after="0"/>
              <w:rPr>
                <w:sz w:val="14"/>
                <w:szCs w:val="14"/>
                <w:color w:val="auto"/>
              </w:rPr>
            </w:pPr>
          </w:p>
        </w:tc>
        <w:tc>
          <w:tcPr>
            <w:tcW w:w="4620" w:type="dxa"/>
            <w:vAlign w:val="bottom"/>
            <w:tcBorders>
              <w:top w:val="single" w:sz="8" w:color="0000FF"/>
              <w:bottom w:val="single" w:sz="8" w:color="0000FF"/>
            </w:tcBorders>
            <w:shd w:val="clear" w:color="auto" w:fill="DCE2EF"/>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Company’s Current Report on Form 8-K, filed on June 15, 2023)</w:t>
              </w:r>
            </w:hyperlink>
          </w:p>
        </w:tc>
        <w:tc>
          <w:tcPr>
            <w:tcW w:w="5220" w:type="dxa"/>
            <w:vAlign w:val="bottom"/>
            <w:tcBorders>
              <w:top w:val="single" w:sz="8" w:color="0000FF"/>
              <w:bottom w:val="single" w:sz="8" w:color="DCE2EF"/>
            </w:tcBorders>
            <w:gridSpan w:val="6"/>
            <w:shd w:val="clear" w:color="auto" w:fill="DCE2EF"/>
          </w:tcPr>
          <w:p>
            <w:pPr>
              <w:spacing w:after="0"/>
              <w:rPr>
                <w:sz w:val="14"/>
                <w:szCs w:val="14"/>
                <w:color w:val="auto"/>
              </w:rPr>
            </w:pPr>
          </w:p>
        </w:tc>
        <w:tc>
          <w:tcPr>
            <w:tcW w:w="20" w:type="dxa"/>
            <w:vAlign w:val="bottom"/>
            <w:tcBorders>
              <w:top w:val="single" w:sz="8" w:color="DCE2EF"/>
              <w:bottom w:val="single" w:sz="8" w:color="DCE2EF"/>
            </w:tcBorders>
            <w:shd w:val="clear" w:color="auto" w:fill="DCE2EF"/>
          </w:tcPr>
          <w:p>
            <w:pPr>
              <w:spacing w:after="0"/>
              <w:rPr>
                <w:sz w:val="14"/>
                <w:szCs w:val="14"/>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986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Section 302 of the Sarbanes-Oxley Act of 2002</w:t>
            </w:r>
          </w:p>
        </w:tc>
      </w:tr>
      <w:tr>
        <w:trPr>
          <w:trHeight w:val="48"/>
        </w:trPr>
        <w:tc>
          <w:tcPr>
            <w:tcW w:w="1380" w:type="dxa"/>
            <w:vAlign w:val="bottom"/>
          </w:tcPr>
          <w:p>
            <w:pPr>
              <w:spacing w:after="0"/>
              <w:rPr>
                <w:sz w:val="4"/>
                <w:szCs w:val="4"/>
                <w:color w:val="auto"/>
              </w:rPr>
            </w:pPr>
          </w:p>
        </w:tc>
        <w:tc>
          <w:tcPr>
            <w:tcW w:w="462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1380" w:type="dxa"/>
            <w:vAlign w:val="bottom"/>
            <w:shd w:val="clear" w:color="auto" w:fill="DCE2EF"/>
          </w:tcPr>
          <w:p>
            <w:pPr>
              <w:ind w:left="20"/>
              <w:spacing w:after="0" w:line="175" w:lineRule="exact"/>
              <w:rPr>
                <w:sz w:val="20"/>
                <w:szCs w:val="20"/>
                <w:color w:val="auto"/>
              </w:rPr>
            </w:pPr>
            <w:r>
              <w:rPr>
                <w:rFonts w:ascii="Arial" w:cs="Arial" w:eastAsia="Arial" w:hAnsi="Arial"/>
                <w:sz w:val="16"/>
                <w:szCs w:val="16"/>
                <w:color w:val="auto"/>
              </w:rPr>
              <w:t>31.2†</w:t>
            </w:r>
          </w:p>
        </w:tc>
        <w:tc>
          <w:tcPr>
            <w:tcW w:w="9860" w:type="dxa"/>
            <w:vAlign w:val="bottom"/>
            <w:gridSpan w:val="8"/>
            <w:shd w:val="clear" w:color="auto" w:fill="DCE2EF"/>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Section 302 of the Sarbanes-Oxley Act of 2002</w:t>
            </w:r>
          </w:p>
        </w:tc>
      </w:tr>
      <w:tr>
        <w:trPr>
          <w:trHeight w:val="21"/>
        </w:trPr>
        <w:tc>
          <w:tcPr>
            <w:tcW w:w="1380" w:type="dxa"/>
            <w:vAlign w:val="bottom"/>
            <w:tcBorders>
              <w:top w:val="single" w:sz="8" w:color="DCE2EF"/>
            </w:tcBorders>
            <w:shd w:val="clear" w:color="auto" w:fill="DCE2EF"/>
          </w:tcPr>
          <w:p>
            <w:pPr>
              <w:spacing w:after="0" w:line="20" w:lineRule="exact"/>
              <w:rPr>
                <w:sz w:val="1"/>
                <w:szCs w:val="1"/>
                <w:color w:val="auto"/>
              </w:rPr>
            </w:pPr>
          </w:p>
        </w:tc>
        <w:tc>
          <w:tcPr>
            <w:tcW w:w="4620" w:type="dxa"/>
            <w:vAlign w:val="bottom"/>
            <w:tcBorders>
              <w:top w:val="single" w:sz="8" w:color="0000FF"/>
            </w:tcBorders>
            <w:shd w:val="clear" w:color="auto" w:fill="DCE2EF"/>
          </w:tcPr>
          <w:p>
            <w:pPr>
              <w:spacing w:after="0" w:line="20" w:lineRule="exact"/>
              <w:rPr>
                <w:sz w:val="1"/>
                <w:szCs w:val="1"/>
                <w:color w:val="auto"/>
              </w:rPr>
            </w:pPr>
          </w:p>
        </w:tc>
        <w:tc>
          <w:tcPr>
            <w:tcW w:w="1340" w:type="dxa"/>
            <w:vAlign w:val="bottom"/>
            <w:tcBorders>
              <w:top w:val="single" w:sz="8" w:color="0000FF"/>
            </w:tcBorders>
            <w:shd w:val="clear" w:color="auto" w:fill="DCE2EF"/>
          </w:tcPr>
          <w:p>
            <w:pPr>
              <w:spacing w:after="0" w:line="20" w:lineRule="exact"/>
              <w:rPr>
                <w:sz w:val="1"/>
                <w:szCs w:val="1"/>
                <w:color w:val="auto"/>
              </w:rPr>
            </w:pPr>
          </w:p>
        </w:tc>
        <w:tc>
          <w:tcPr>
            <w:tcW w:w="1240" w:type="dxa"/>
            <w:vAlign w:val="bottom"/>
            <w:tcBorders>
              <w:top w:val="single" w:sz="8" w:color="0000FF"/>
            </w:tcBorders>
            <w:shd w:val="clear" w:color="auto" w:fill="DCE2EF"/>
          </w:tcPr>
          <w:p>
            <w:pPr>
              <w:spacing w:after="0" w:line="20" w:lineRule="exact"/>
              <w:rPr>
                <w:sz w:val="1"/>
                <w:szCs w:val="1"/>
                <w:color w:val="auto"/>
              </w:rPr>
            </w:pPr>
          </w:p>
        </w:tc>
        <w:tc>
          <w:tcPr>
            <w:tcW w:w="60" w:type="dxa"/>
            <w:vAlign w:val="bottom"/>
            <w:tcBorders>
              <w:top w:val="single" w:sz="8" w:color="DCE2EF"/>
            </w:tcBorders>
            <w:shd w:val="clear" w:color="auto" w:fill="DCE2EF"/>
          </w:tcPr>
          <w:p>
            <w:pPr>
              <w:spacing w:after="0" w:line="20" w:lineRule="exact"/>
              <w:rPr>
                <w:sz w:val="1"/>
                <w:szCs w:val="1"/>
                <w:color w:val="auto"/>
              </w:rPr>
            </w:pPr>
          </w:p>
        </w:tc>
        <w:tc>
          <w:tcPr>
            <w:tcW w:w="1360" w:type="dxa"/>
            <w:vAlign w:val="bottom"/>
            <w:tcBorders>
              <w:top w:val="single" w:sz="8" w:color="DCE2EF"/>
            </w:tcBorders>
            <w:shd w:val="clear" w:color="auto" w:fill="DCE2EF"/>
          </w:tcPr>
          <w:p>
            <w:pPr>
              <w:spacing w:after="0" w:line="20" w:lineRule="exact"/>
              <w:rPr>
                <w:sz w:val="1"/>
                <w:szCs w:val="1"/>
                <w:color w:val="auto"/>
              </w:rPr>
            </w:pPr>
          </w:p>
        </w:tc>
        <w:tc>
          <w:tcPr>
            <w:tcW w:w="1100" w:type="dxa"/>
            <w:vAlign w:val="bottom"/>
            <w:tcBorders>
              <w:top w:val="single" w:sz="8" w:color="DCE2EF"/>
            </w:tcBorders>
            <w:shd w:val="clear" w:color="auto" w:fill="DCE2EF"/>
          </w:tcPr>
          <w:p>
            <w:pPr>
              <w:spacing w:after="0" w:line="20" w:lineRule="exact"/>
              <w:rPr>
                <w:sz w:val="1"/>
                <w:szCs w:val="1"/>
                <w:color w:val="auto"/>
              </w:rPr>
            </w:pPr>
          </w:p>
        </w:tc>
        <w:tc>
          <w:tcPr>
            <w:tcW w:w="120" w:type="dxa"/>
            <w:vAlign w:val="bottom"/>
            <w:tcBorders>
              <w:top w:val="single" w:sz="8" w:color="DCE2EF"/>
            </w:tcBorders>
            <w:shd w:val="clear" w:color="auto" w:fill="DCE2EF"/>
          </w:tcPr>
          <w:p>
            <w:pPr>
              <w:spacing w:after="0" w:line="20" w:lineRule="exact"/>
              <w:rPr>
                <w:sz w:val="1"/>
                <w:szCs w:val="1"/>
                <w:color w:val="auto"/>
              </w:rPr>
            </w:pPr>
          </w:p>
        </w:tc>
        <w:tc>
          <w:tcPr>
            <w:tcW w:w="20" w:type="dxa"/>
            <w:vAlign w:val="bottom"/>
            <w:tcBorders>
              <w:top w:val="single" w:sz="8" w:color="DCE2EF"/>
            </w:tcBorders>
            <w:shd w:val="clear" w:color="auto" w:fill="DCE2EF"/>
          </w:tcPr>
          <w:p>
            <w:pPr>
              <w:spacing w:after="0" w:line="20" w:lineRule="exact"/>
              <w:rPr>
                <w:sz w:val="1"/>
                <w:szCs w:val="1"/>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32‡</w:t>
            </w:r>
          </w:p>
        </w:tc>
        <w:tc>
          <w:tcPr>
            <w:tcW w:w="986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1"/>
        </w:trPr>
        <w:tc>
          <w:tcPr>
            <w:tcW w:w="1380" w:type="dxa"/>
            <w:vAlign w:val="bottom"/>
          </w:tcPr>
          <w:p>
            <w:pPr>
              <w:spacing w:after="0" w:line="20" w:lineRule="exact"/>
              <w:rPr>
                <w:sz w:val="1"/>
                <w:szCs w:val="1"/>
                <w:color w:val="auto"/>
              </w:rPr>
            </w:pPr>
          </w:p>
        </w:tc>
        <w:tc>
          <w:tcPr>
            <w:tcW w:w="46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DCE2EF"/>
          </w:tcPr>
          <w:p>
            <w:pPr>
              <w:ind w:left="20"/>
              <w:spacing w:after="0" w:line="162" w:lineRule="exact"/>
              <w:rPr>
                <w:sz w:val="20"/>
                <w:szCs w:val="20"/>
                <w:color w:val="auto"/>
              </w:rPr>
            </w:pPr>
            <w:r>
              <w:rPr>
                <w:rFonts w:ascii="Arial" w:cs="Arial" w:eastAsia="Arial" w:hAnsi="Arial"/>
                <w:sz w:val="16"/>
                <w:szCs w:val="16"/>
                <w:color w:val="auto"/>
              </w:rPr>
              <w:t>101.INS†</w:t>
            </w:r>
          </w:p>
        </w:tc>
        <w:tc>
          <w:tcPr>
            <w:tcW w:w="9860" w:type="dxa"/>
            <w:vAlign w:val="bottom"/>
            <w:gridSpan w:val="8"/>
            <w:shd w:val="clear" w:color="auto" w:fill="DCE2EF"/>
          </w:tcPr>
          <w:p>
            <w:pPr>
              <w:spacing w:after="0" w:line="162" w:lineRule="exact"/>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w:t>
            </w:r>
          </w:p>
        </w:tc>
      </w:tr>
      <w:tr>
        <w:trPr>
          <w:trHeight w:val="216"/>
        </w:trPr>
        <w:tc>
          <w:tcPr>
            <w:tcW w:w="1380" w:type="dxa"/>
            <w:vAlign w:val="bottom"/>
            <w:shd w:val="clear" w:color="auto" w:fill="DCE2EF"/>
          </w:tcPr>
          <w:p>
            <w:pPr>
              <w:spacing w:after="0"/>
              <w:rPr>
                <w:sz w:val="18"/>
                <w:szCs w:val="18"/>
                <w:color w:val="auto"/>
              </w:rPr>
            </w:pP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101.SCH†</w:t>
            </w:r>
          </w:p>
        </w:tc>
        <w:tc>
          <w:tcPr>
            <w:tcW w:w="98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7"/>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101.CAL†</w:t>
            </w: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Inline XBRL Taxonomy Calculation Linkbase Document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101.DEF†</w:t>
            </w:r>
          </w:p>
        </w:tc>
        <w:tc>
          <w:tcPr>
            <w:tcW w:w="98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7"/>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101.LAB†</w:t>
            </w: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Inline XBRL Taxonomy Label Linkbase Document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101.PRE†</w:t>
            </w:r>
          </w:p>
        </w:tc>
        <w:tc>
          <w:tcPr>
            <w:tcW w:w="9860" w:type="dxa"/>
            <w:vAlign w:val="bottom"/>
            <w:gridSpan w:val="8"/>
          </w:tcPr>
          <w:p>
            <w:pPr>
              <w:spacing w:after="0"/>
              <w:rPr>
                <w:sz w:val="20"/>
                <w:szCs w:val="20"/>
                <w:color w:val="auto"/>
              </w:rPr>
            </w:pPr>
            <w:r>
              <w:rPr>
                <w:rFonts w:ascii="Arial" w:cs="Arial" w:eastAsia="Arial" w:hAnsi="Arial"/>
                <w:sz w:val="16"/>
                <w:szCs w:val="16"/>
                <w:color w:val="auto"/>
              </w:rPr>
              <w:t>Inline XBRL Presentation Linkbase Document</w:t>
            </w:r>
          </w:p>
        </w:tc>
      </w:tr>
      <w:tr>
        <w:trPr>
          <w:trHeight w:val="217"/>
        </w:trPr>
        <w:tc>
          <w:tcPr>
            <w:tcW w:w="1380" w:type="dxa"/>
            <w:vAlign w:val="bottom"/>
            <w:shd w:val="clear" w:color="auto" w:fill="DCE2EF"/>
          </w:tcPr>
          <w:p>
            <w:pPr>
              <w:ind w:left="20"/>
              <w:spacing w:after="0"/>
              <w:rPr>
                <w:sz w:val="20"/>
                <w:szCs w:val="20"/>
                <w:color w:val="auto"/>
              </w:rPr>
            </w:pPr>
            <w:r>
              <w:rPr>
                <w:rFonts w:ascii="Arial" w:cs="Arial" w:eastAsia="Arial" w:hAnsi="Arial"/>
                <w:sz w:val="16"/>
                <w:szCs w:val="16"/>
                <w:color w:val="auto"/>
              </w:rPr>
              <w:t>104†</w:t>
            </w:r>
          </w:p>
        </w:tc>
        <w:tc>
          <w:tcPr>
            <w:tcW w:w="9860" w:type="dxa"/>
            <w:vAlign w:val="bottom"/>
            <w:gridSpan w:val="8"/>
            <w:shd w:val="clear" w:color="auto" w:fill="DCE2EF"/>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83" w:lineRule="exact"/>
        <w:rPr>
          <w:sz w:val="20"/>
          <w:szCs w:val="20"/>
          <w:color w:val="auto"/>
        </w:rPr>
      </w:pPr>
    </w:p>
    <w:p>
      <w:pPr>
        <w:ind w:left="720" w:hanging="640"/>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arrangement.</w:t>
      </w:r>
    </w:p>
    <w:p>
      <w:pPr>
        <w:spacing w:after="0" w:line="45"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filed herewith.</w:t>
      </w:r>
    </w:p>
    <w:p>
      <w:pPr>
        <w:spacing w:after="0" w:line="8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ABM Industries Incorporated</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March 7, 2024</w:t>
      </w:r>
      <w:r>
        <w:rPr>
          <w:sz w:val="20"/>
          <w:szCs w:val="20"/>
          <w:color w:val="auto"/>
        </w:rPr>
        <w:tab/>
      </w:r>
      <w:r>
        <w:rPr>
          <w:rFonts w:ascii="Arial" w:cs="Arial" w:eastAsia="Arial" w:hAnsi="Arial"/>
          <w:sz w:val="16"/>
          <w:szCs w:val="16"/>
          <w:u w:val="single" w:color="auto"/>
          <w:color w:val="auto"/>
        </w:rPr>
        <w:t>/s/ Earl R. Ellis</w:t>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Earl R. Ellis</w:t>
      </w:r>
    </w:p>
    <w:p>
      <w:pPr>
        <w:ind w:left="644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644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6420" w:val="left"/>
        </w:tabs>
        <w:rPr>
          <w:sz w:val="20"/>
          <w:szCs w:val="20"/>
          <w:color w:val="auto"/>
        </w:rPr>
      </w:pPr>
      <w:r>
        <w:rPr>
          <w:rFonts w:ascii="Arial" w:cs="Arial" w:eastAsia="Arial" w:hAnsi="Arial"/>
          <w:sz w:val="16"/>
          <w:szCs w:val="16"/>
          <w:u w:val="single" w:color="auto"/>
          <w:color w:val="auto"/>
        </w:rPr>
        <w:t>March 7, 2024</w:t>
      </w:r>
      <w:r>
        <w:rPr>
          <w:sz w:val="20"/>
          <w:szCs w:val="20"/>
          <w:color w:val="auto"/>
        </w:rPr>
        <w:tab/>
      </w:r>
      <w:r>
        <w:rPr>
          <w:rFonts w:ascii="Arial" w:cs="Arial" w:eastAsia="Arial" w:hAnsi="Arial"/>
          <w:sz w:val="16"/>
          <w:szCs w:val="16"/>
          <w:u w:val="single" w:color="auto"/>
          <w:color w:val="auto"/>
        </w:rPr>
        <w:t>/s/ Dean A. Chin</w:t>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Dean A. Chin</w:t>
      </w:r>
    </w:p>
    <w:p>
      <w:pPr>
        <w:ind w:left="6440"/>
        <w:spacing w:after="0" w:line="211" w:lineRule="auto"/>
        <w:rPr>
          <w:sz w:val="20"/>
          <w:szCs w:val="20"/>
          <w:color w:val="auto"/>
        </w:rPr>
      </w:pPr>
      <w:r>
        <w:rPr>
          <w:rFonts w:ascii="Arial" w:cs="Arial" w:eastAsia="Arial" w:hAnsi="Arial"/>
          <w:sz w:val="16"/>
          <w:szCs w:val="16"/>
          <w:color w:val="auto"/>
        </w:rPr>
        <w:t>Senior Vice President, Chief Accounting Officer, Corporate</w:t>
      </w:r>
    </w:p>
    <w:p>
      <w:pPr>
        <w:ind w:left="6440"/>
        <w:spacing w:after="0" w:line="211" w:lineRule="auto"/>
        <w:rPr>
          <w:sz w:val="20"/>
          <w:szCs w:val="20"/>
          <w:color w:val="auto"/>
        </w:rPr>
      </w:pPr>
      <w:r>
        <w:rPr>
          <w:rFonts w:ascii="Arial" w:cs="Arial" w:eastAsia="Arial" w:hAnsi="Arial"/>
          <w:sz w:val="16"/>
          <w:szCs w:val="16"/>
          <w:color w:val="auto"/>
        </w:rPr>
        <w:t>Controller and Treasurer</w:t>
      </w:r>
    </w:p>
    <w:p>
      <w:pPr>
        <w:ind w:left="64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31.1</w:t>
      </w:r>
    </w:p>
    <w:p>
      <w:pPr>
        <w:jc w:val="center"/>
        <w:spacing w:after="0" w:line="234" w:lineRule="auto"/>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19"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18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8" w:lineRule="exact"/>
        <w:rPr>
          <w:rFonts w:ascii="Arial" w:cs="Arial" w:eastAsia="Arial" w:hAnsi="Arial"/>
          <w:sz w:val="18"/>
          <w:szCs w:val="18"/>
          <w:color w:val="auto"/>
        </w:rPr>
      </w:pPr>
    </w:p>
    <w:p>
      <w:pPr>
        <w:jc w:val="both"/>
        <w:ind w:left="340" w:hanging="332"/>
        <w:spacing w:after="0" w:line="227"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40" w:hanging="332"/>
        <w:spacing w:after="0"/>
        <w:tabs>
          <w:tab w:leader="none" w:pos="4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8"/>
          <w:szCs w:val="18"/>
          <w:color w:val="auto"/>
        </w:rPr>
      </w:pPr>
    </w:p>
    <w:p>
      <w:pPr>
        <w:jc w:val="both"/>
        <w:ind w:left="340" w:hanging="332"/>
        <w:spacing w:after="0" w:line="221" w:lineRule="auto"/>
        <w:tabs>
          <w:tab w:leader="none" w:pos="3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6" w:lineRule="exact"/>
        <w:rPr>
          <w:rFonts w:ascii="Arial" w:cs="Arial" w:eastAsia="Arial" w:hAnsi="Arial"/>
          <w:sz w:val="18"/>
          <w:szCs w:val="18"/>
          <w:color w:val="auto"/>
        </w:rPr>
      </w:pPr>
    </w:p>
    <w:p>
      <w:pPr>
        <w:jc w:val="both"/>
        <w:ind w:left="660" w:hanging="328"/>
        <w:spacing w:after="0" w:line="233" w:lineRule="auto"/>
        <w:tabs>
          <w:tab w:leader="none" w:pos="7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7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jc w:val="both"/>
        <w:ind w:left="340" w:hanging="332"/>
        <w:spacing w:after="0" w:line="233" w:lineRule="auto"/>
        <w:tabs>
          <w:tab w:leader="none" w:pos="4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8"/>
          <w:szCs w:val="18"/>
          <w:color w:val="auto"/>
        </w:rPr>
      </w:pPr>
    </w:p>
    <w:p>
      <w:pPr>
        <w:ind w:left="660" w:hanging="328"/>
        <w:spacing w:after="0" w:line="256" w:lineRule="auto"/>
        <w:tabs>
          <w:tab w:leader="none" w:pos="7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Arial" w:cs="Arial" w:eastAsia="Arial" w:hAnsi="Arial"/>
          <w:sz w:val="18"/>
          <w:szCs w:val="18"/>
          <w:color w:val="auto"/>
        </w:rPr>
      </w:pPr>
    </w:p>
    <w:p>
      <w:pPr>
        <w:ind w:left="660" w:hanging="328"/>
        <w:spacing w:after="0"/>
        <w:tabs>
          <w:tab w:leader="none" w:pos="7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March 7, 2024</w:t>
      </w:r>
    </w:p>
    <w:p>
      <w:pPr>
        <w:ind w:left="4220"/>
        <w:spacing w:after="0" w:line="203" w:lineRule="auto"/>
        <w:rPr>
          <w:sz w:val="20"/>
          <w:szCs w:val="20"/>
          <w:color w:val="auto"/>
        </w:rPr>
      </w:pPr>
      <w:r>
        <w:rPr>
          <w:rFonts w:ascii="Arial" w:cs="Arial" w:eastAsia="Arial" w:hAnsi="Arial"/>
          <w:sz w:val="18"/>
          <w:szCs w:val="18"/>
          <w:color w:val="auto"/>
        </w:rPr>
        <w:t>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-109855</wp:posOffset>
            </wp:positionV>
            <wp:extent cx="762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ind w:left="422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31.2</w:t>
      </w:r>
    </w:p>
    <w:p>
      <w:pPr>
        <w:jc w:val="center"/>
        <w:spacing w:after="0" w:line="203" w:lineRule="auto"/>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19" w:lineRule="auto"/>
        <w:rPr>
          <w:sz w:val="20"/>
          <w:szCs w:val="20"/>
          <w:color w:val="auto"/>
        </w:rPr>
      </w:pPr>
      <w:r>
        <w:rPr>
          <w:rFonts w:ascii="Arial" w:cs="Arial" w:eastAsia="Arial" w:hAnsi="Arial"/>
          <w:sz w:val="18"/>
          <w:szCs w:val="18"/>
          <w:b w:val="1"/>
          <w:bCs w:val="1"/>
          <w:color w:val="auto"/>
        </w:rPr>
        <w:t>PURSUANT TO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Earl R. Ellis, certify that:</w:t>
      </w:r>
    </w:p>
    <w:p>
      <w:pPr>
        <w:spacing w:after="0" w:line="18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8" w:lineRule="exact"/>
        <w:rPr>
          <w:rFonts w:ascii="Arial" w:cs="Arial" w:eastAsia="Arial" w:hAnsi="Arial"/>
          <w:sz w:val="18"/>
          <w:szCs w:val="18"/>
          <w:color w:val="auto"/>
        </w:rPr>
      </w:pPr>
    </w:p>
    <w:p>
      <w:pPr>
        <w:jc w:val="both"/>
        <w:ind w:left="340" w:hanging="332"/>
        <w:spacing w:after="0" w:line="227" w:lineRule="auto"/>
        <w:tabs>
          <w:tab w:leader="none" w:pos="3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40" w:hanging="332"/>
        <w:spacing w:after="0"/>
        <w:tabs>
          <w:tab w:leader="none" w:pos="4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8"/>
          <w:szCs w:val="18"/>
          <w:color w:val="auto"/>
        </w:rPr>
      </w:pPr>
    </w:p>
    <w:p>
      <w:pPr>
        <w:jc w:val="both"/>
        <w:ind w:left="340" w:hanging="332"/>
        <w:spacing w:after="0" w:line="221" w:lineRule="auto"/>
        <w:tabs>
          <w:tab w:leader="none" w:pos="3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66" w:lineRule="exact"/>
        <w:rPr>
          <w:rFonts w:ascii="Arial" w:cs="Arial" w:eastAsia="Arial" w:hAnsi="Arial"/>
          <w:sz w:val="18"/>
          <w:szCs w:val="18"/>
          <w:color w:val="auto"/>
        </w:rPr>
      </w:pPr>
    </w:p>
    <w:p>
      <w:pPr>
        <w:jc w:val="both"/>
        <w:ind w:left="660" w:hanging="328"/>
        <w:spacing w:after="0" w:line="233" w:lineRule="auto"/>
        <w:tabs>
          <w:tab w:leader="none" w:pos="7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6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8"/>
          <w:szCs w:val="18"/>
          <w:color w:val="auto"/>
        </w:rPr>
      </w:pPr>
    </w:p>
    <w:p>
      <w:pPr>
        <w:jc w:val="both"/>
        <w:ind w:left="660" w:hanging="328"/>
        <w:spacing w:after="0" w:line="233" w:lineRule="auto"/>
        <w:tabs>
          <w:tab w:leader="none" w:pos="74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jc w:val="both"/>
        <w:ind w:left="340" w:hanging="332"/>
        <w:spacing w:after="0" w:line="233" w:lineRule="auto"/>
        <w:tabs>
          <w:tab w:leader="none" w:pos="4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8"/>
          <w:szCs w:val="18"/>
          <w:color w:val="auto"/>
        </w:rPr>
      </w:pPr>
    </w:p>
    <w:p>
      <w:pPr>
        <w:ind w:left="660" w:hanging="328"/>
        <w:spacing w:after="0"/>
        <w:tabs>
          <w:tab w:leader="none" w:pos="7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8"/>
          <w:szCs w:val="18"/>
          <w:color w:val="auto"/>
        </w:rPr>
      </w:pPr>
    </w:p>
    <w:p>
      <w:pPr>
        <w:ind w:left="660" w:hanging="328"/>
        <w:spacing w:after="0"/>
        <w:tabs>
          <w:tab w:leader="none" w:pos="7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-7620</wp:posOffset>
            </wp:positionV>
            <wp:extent cx="762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ind w:left="4220"/>
        <w:spacing w:after="0" w:line="203" w:lineRule="auto"/>
        <w:rPr>
          <w:sz w:val="20"/>
          <w:szCs w:val="20"/>
          <w:color w:val="auto"/>
        </w:rPr>
      </w:pPr>
      <w:r>
        <w:rPr>
          <w:rFonts w:ascii="Arial" w:cs="Arial" w:eastAsia="Arial" w:hAnsi="Arial"/>
          <w:sz w:val="18"/>
          <w:szCs w:val="18"/>
          <w:color w:val="auto"/>
        </w:rPr>
        <w:t>Earl R. Ellis</w:t>
      </w:r>
    </w:p>
    <w:p>
      <w:pPr>
        <w:ind w:left="4220"/>
        <w:spacing w:after="0" w:line="204" w:lineRule="auto"/>
        <w:rPr>
          <w:sz w:val="20"/>
          <w:szCs w:val="20"/>
          <w:color w:val="auto"/>
        </w:rPr>
      </w:pPr>
      <w:r>
        <w:rPr>
          <w:rFonts w:ascii="Arial" w:cs="Arial" w:eastAsia="Arial" w:hAnsi="Arial"/>
          <w:sz w:val="18"/>
          <w:szCs w:val="18"/>
          <w:color w:val="auto"/>
        </w:rPr>
        <w:t>Chief Financial Officer</w:t>
      </w:r>
    </w:p>
    <w:p>
      <w:pPr>
        <w:ind w:left="4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2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jc w:val="center"/>
        <w:ind w:right="-19"/>
        <w:spacing w:after="0" w:line="219" w:lineRule="auto"/>
        <w:rPr>
          <w:sz w:val="20"/>
          <w:szCs w:val="20"/>
          <w:color w:val="auto"/>
        </w:rPr>
      </w:pPr>
      <w:r>
        <w:rPr>
          <w:rFonts w:ascii="Arial" w:cs="Arial" w:eastAsia="Arial" w:hAnsi="Arial"/>
          <w:sz w:val="18"/>
          <w:szCs w:val="18"/>
          <w:b w:val="1"/>
          <w:bCs w:val="1"/>
          <w:color w:val="auto"/>
        </w:rPr>
        <w:t>RULE 13a-14(b) OR 15d-14(b) AND</w:t>
      </w:r>
    </w:p>
    <w:p>
      <w:pPr>
        <w:jc w:val="center"/>
        <w:ind w:right="-19"/>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2024, as filed with the Securities and Exchange Commission on the date hereof (the “Report”), Scott Salmirs, Chief Executive Officer of the Company, and Earl R. Ellis, Chief Financial Officer of the Company, each certifies for the purpose of complying with Rule 13a-14(b) or Rule 15d-14(b) of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Securities Exchange Act of 1934, as amended (the “Exchange Act”), and Section 1350 of Chapter 63 of Title 18 of the United States Code, that:</w:t>
      </w:r>
    </w:p>
    <w:p>
      <w:pPr>
        <w:spacing w:after="0" w:line="100" w:lineRule="exact"/>
        <w:rPr>
          <w:sz w:val="20"/>
          <w:szCs w:val="20"/>
          <w:color w:val="auto"/>
        </w:rPr>
      </w:pPr>
    </w:p>
    <w:p>
      <w:pPr>
        <w:ind w:left="1060" w:hanging="40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44" w:lineRule="exact"/>
        <w:rPr>
          <w:rFonts w:ascii="Arial" w:cs="Arial" w:eastAsia="Arial" w:hAnsi="Arial"/>
          <w:sz w:val="18"/>
          <w:szCs w:val="18"/>
          <w:color w:val="auto"/>
        </w:rPr>
      </w:pPr>
    </w:p>
    <w:p>
      <w:pPr>
        <w:ind w:left="1300" w:right="20" w:hanging="644"/>
        <w:spacing w:after="0"/>
        <w:tabs>
          <w:tab w:leader="none" w:pos="10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-7620</wp:posOffset>
            </wp:positionV>
            <wp:extent cx="7620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ind w:left="4220"/>
        <w:spacing w:after="0" w:line="203" w:lineRule="auto"/>
        <w:rPr>
          <w:sz w:val="20"/>
          <w:szCs w:val="20"/>
          <w:color w:val="auto"/>
        </w:rPr>
      </w:pPr>
      <w:r>
        <w:rPr>
          <w:rFonts w:ascii="Arial" w:cs="Arial" w:eastAsia="Arial" w:hAnsi="Arial"/>
          <w:sz w:val="18"/>
          <w:szCs w:val="18"/>
          <w:color w:val="auto"/>
        </w:rPr>
        <w:t>Scott Salmirs</w:t>
      </w:r>
    </w:p>
    <w:p>
      <w:pPr>
        <w:ind w:left="4220"/>
        <w:spacing w:after="0" w:line="204" w:lineRule="auto"/>
        <w:rPr>
          <w:sz w:val="20"/>
          <w:szCs w:val="20"/>
          <w:color w:val="auto"/>
        </w:rPr>
      </w:pPr>
      <w:r>
        <w:rPr>
          <w:rFonts w:ascii="Arial" w:cs="Arial" w:eastAsia="Arial" w:hAnsi="Arial"/>
          <w:sz w:val="18"/>
          <w:szCs w:val="18"/>
          <w:color w:val="auto"/>
        </w:rPr>
        <w:t>Chief Executive Officer</w:t>
      </w:r>
    </w:p>
    <w:p>
      <w:pPr>
        <w:ind w:left="42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March 7, 2024</w:t>
      </w:r>
    </w:p>
    <w:p>
      <w:pPr>
        <w:ind w:left="4220"/>
        <w:spacing w:after="0" w:line="203" w:lineRule="auto"/>
        <w:rPr>
          <w:sz w:val="20"/>
          <w:szCs w:val="20"/>
          <w:color w:val="auto"/>
        </w:rPr>
      </w:pPr>
      <w:r>
        <w:rPr>
          <w:rFonts w:ascii="Arial" w:cs="Arial" w:eastAsia="Arial" w:hAnsi="Arial"/>
          <w:sz w:val="18"/>
          <w:szCs w:val="18"/>
          <w:color w:val="auto"/>
        </w:rPr>
        <w:t>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-109855</wp:posOffset>
            </wp:positionV>
            <wp:extent cx="7620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ind w:left="42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74" Type="http://schemas.openxmlformats.org/officeDocument/2006/relationships/hyperlink" Target="https://www.sec.gov/Archives/edgar/data/771497/000110465920039488/tm2014024d1_ex3-1.htm" TargetMode="External"/><Relationship Id="rId75" Type="http://schemas.openxmlformats.org/officeDocument/2006/relationships/hyperlink" Target="https://www.sec.gov/Archives/edgar/data/771497/000095017023028287/abm-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2024-03-07T11:57:21Z</dcterms:created>
  <dcterms:modified xsi:type="dcterms:W3CDTF">2024-03-07T11:57:21Z</dcterms:modified>
</cp:coreProperties>
</file>