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Deutsche Bank AG</w:t>
      </w:r>
    </w:p>
    <w:p>
      <w:pPr>
        <w:spacing w:after="0" w:line="238" w:lineRule="auto"/>
        <w:rPr>
          <w:sz w:val="20"/>
          <w:szCs w:val="20"/>
          <w:color w:val="auto"/>
        </w:rPr>
      </w:pPr>
      <w:r>
        <w:rPr>
          <w:rFonts w:ascii="Courier New" w:cs="Courier New" w:eastAsia="Courier New" w:hAnsi="Courier New"/>
          <w:sz w:val="18"/>
          <w:szCs w:val="18"/>
          <w:color w:val="auto"/>
        </w:rPr>
        <w:t>Taunusanlage 12, D-60325</w:t>
      </w:r>
    </w:p>
    <w:p>
      <w:pPr>
        <w:spacing w:after="0"/>
        <w:rPr>
          <w:sz w:val="20"/>
          <w:szCs w:val="20"/>
          <w:color w:val="auto"/>
        </w:rPr>
      </w:pPr>
      <w:r>
        <w:rPr>
          <w:rFonts w:ascii="Courier New" w:cs="Courier New" w:eastAsia="Courier New" w:hAnsi="Courier New"/>
          <w:sz w:val="18"/>
          <w:szCs w:val="18"/>
          <w:color w:val="auto"/>
        </w:rPr>
        <w:t>Frankfurt am Main</w:t>
      </w:r>
    </w:p>
    <w:p>
      <w:pPr>
        <w:spacing w:after="0" w:line="237" w:lineRule="auto"/>
        <w:rPr>
          <w:sz w:val="20"/>
          <w:szCs w:val="20"/>
          <w:color w:val="auto"/>
        </w:rPr>
      </w:pPr>
      <w:r>
        <w:rPr>
          <w:rFonts w:ascii="Courier New" w:cs="Courier New" w:eastAsia="Courier New" w:hAnsi="Courier New"/>
          <w:sz w:val="18"/>
          <w:szCs w:val="18"/>
          <w:color w:val="auto"/>
        </w:rPr>
        <w:t>Federal Republic of Germany</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Jeffrey A. Ruiz</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rPr>
          <w:sz w:val="20"/>
          <w:szCs w:val="20"/>
          <w:color w:val="auto"/>
        </w:rPr>
      </w:pPr>
      <w:r>
        <w:rPr>
          <w:rFonts w:ascii="Courier New" w:cs="Courier New" w:eastAsia="Courier New" w:hAnsi="Courier New"/>
          <w:sz w:val="18"/>
          <w:szCs w:val="18"/>
          <w:color w:val="auto"/>
        </w:rPr>
        <w:t>Telephone: (212) 250-3667</w:t>
      </w:r>
    </w:p>
    <w:p>
      <w:pPr>
        <w:spacing w:after="0" w:line="200" w:lineRule="exact"/>
        <w:rPr>
          <w:sz w:val="24"/>
          <w:szCs w:val="24"/>
          <w:color w:val="auto"/>
        </w:rPr>
      </w:pPr>
    </w:p>
    <w:p>
      <w:pPr>
        <w:spacing w:after="0" w:line="203"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February 13, 2004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SEC Document Control</w:t>
      </w: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Filing Desk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 or Madame:</w:t>
      </w:r>
    </w:p>
    <w:p>
      <w:pPr>
        <w:spacing w:after="0" w:line="201" w:lineRule="exact"/>
        <w:rPr>
          <w:sz w:val="24"/>
          <w:szCs w:val="24"/>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Filing of Schedule 13G - ABM INDUSTRIES INCORPORATED</w:t>
      </w:r>
    </w:p>
    <w:p>
      <w:pPr>
        <w:spacing w:after="0" w:line="200" w:lineRule="exact"/>
        <w:rPr>
          <w:sz w:val="24"/>
          <w:szCs w:val="24"/>
          <w:color w:val="auto"/>
        </w:rPr>
      </w:pPr>
    </w:p>
    <w:p>
      <w:pPr>
        <w:spacing w:after="0" w:line="209"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Rule 13d-1 of the Securities Exchange Act of 1934, attached is one copy of Schedule 13G with respect to the common stock of the above referenced corporation.</w:t>
      </w:r>
    </w:p>
    <w:p>
      <w:pPr>
        <w:spacing w:after="0" w:line="209" w:lineRule="exact"/>
        <w:rPr>
          <w:sz w:val="24"/>
          <w:szCs w:val="24"/>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Please acknowledge your receipt of the Schedule 13G by return e-mail confirmation.</w:t>
      </w:r>
    </w:p>
    <w:p>
      <w:pPr>
        <w:spacing w:after="0" w:line="203"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Jeffrey A. Ruiz</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ABM INDUSTRIES INCORPORATED</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Common Stock ($0.001 Par Value)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000957100</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CUSIP NUMBER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December 31, 2003</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126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0"/>
          <w:szCs w:val="20"/>
          <w:color w:val="auto"/>
        </w:rPr>
      </w:pPr>
    </w:p>
    <w:p>
      <w:pPr>
        <w:jc w:val="both"/>
        <w:ind w:left="2420" w:right="5059" w:hanging="1"/>
        <w:spacing w:after="0" w:line="547" w:lineRule="auto"/>
        <w:tabs>
          <w:tab w:leader="none" w:pos="28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ectPr>
          <w:pgSz w:w="11900" w:h="16838" w:orient="portrait"/>
          <w:cols w:equalWidth="0" w:num="1">
            <w:col w:w="9259"/>
          </w:cols>
          <w:pgMar w:left="1200" w:top="136" w:right="1440" w:bottom="1440" w:gutter="0" w:footer="0" w:header="0"/>
        </w:sectPr>
      </w:pPr>
    </w:p>
    <w:bookmarkStart w:id="2" w:name="page3"/>
    <w:bookmarkEnd w:id="2"/>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960" w:right="4419" w:hanging="531"/>
        <w:spacing w:after="0" w:line="470"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NOS. OF ABOVE PERSONS Deutsche Bank AG *</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800" w:hanging="844"/>
        <w:spacing w:after="0" w:line="238" w:lineRule="auto"/>
        <w:tabs>
          <w:tab w:leader="none" w:pos="180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800" w:hanging="844"/>
        <w:spacing w:after="0" w:line="238" w:lineRule="auto"/>
        <w:tabs>
          <w:tab w:leader="none" w:pos="180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Federal Republic of Germany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1,457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1,457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7" w:lineRule="exact"/>
        <w:rPr>
          <w:sz w:val="20"/>
          <w:szCs w:val="20"/>
          <w:color w:val="auto"/>
        </w:rPr>
      </w:pPr>
    </w:p>
    <w:p>
      <w:pPr>
        <w:ind w:left="960" w:right="3579" w:hanging="952"/>
        <w:spacing w:after="0" w:line="470" w:lineRule="auto"/>
        <w:tabs>
          <w:tab w:leader="none" w:pos="32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1,457</w:t>
      </w:r>
    </w:p>
    <w:p>
      <w:pPr>
        <w:spacing w:after="0" w:line="11" w:lineRule="exact"/>
        <w:rPr>
          <w:rFonts w:ascii="Courier New" w:cs="Courier New" w:eastAsia="Courier New" w:hAnsi="Courier New"/>
          <w:sz w:val="18"/>
          <w:szCs w:val="18"/>
          <w:color w:val="auto"/>
        </w:rPr>
      </w:pPr>
    </w:p>
    <w:p>
      <w:pPr>
        <w:ind w:left="420" w:right="357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0.0%</w:t>
      </w:r>
    </w:p>
    <w:p>
      <w:pPr>
        <w:spacing w:after="0" w:line="207" w:lineRule="exact"/>
        <w:rPr>
          <w:sz w:val="20"/>
          <w:szCs w:val="20"/>
          <w:color w:val="auto"/>
        </w:rPr>
      </w:pPr>
    </w:p>
    <w:p>
      <w:pPr>
        <w:ind w:left="960" w:right="7259" w:hanging="952"/>
        <w:spacing w:after="0" w:line="470" w:lineRule="auto"/>
        <w:tabs>
          <w:tab w:leader="none" w:pos="4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1" w:lineRule="exact"/>
        <w:rPr>
          <w:rFonts w:ascii="Courier New" w:cs="Courier New" w:eastAsia="Courier New" w:hAnsi="Courier New"/>
          <w:sz w:val="18"/>
          <w:szCs w:val="18"/>
          <w:color w:val="auto"/>
        </w:rPr>
      </w:pPr>
    </w:p>
    <w:p>
      <w:pPr>
        <w:ind w:left="54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In accordance with Securities Exchange Act Release No. 39538 (January 12, 1998), this filing reflects the securities beneficially owned by the Private Clients and Asset Management business group ("PCAM") of Deutsche Bank AG and its subsidiaries and affiliates (collectively, "DBAG"). This filing does not reflect securities, if any, beneficially owned by any other business group of DBAG. Consistent with Rule 13d-4 under the Securities Exchange Act of 1934 ("Act"), this filing shall not be construed as an admission that PCAM is, for purposes of Section 13(d) under the Act, the beneficial owner of any securities covered by the filing.</w:t>
      </w:r>
    </w:p>
    <w:p>
      <w:pPr>
        <w:spacing w:after="0" w:line="181"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Name</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of Issuer:</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ABM Industries Incorporated</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4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160</w:t>
            </w:r>
          </w:p>
        </w:tc>
        <w:tc>
          <w:tcPr>
            <w:tcW w:w="6120" w:type="dxa"/>
            <w:vAlign w:val="bottom"/>
          </w:tcPr>
          <w:p>
            <w:pPr>
              <w:spacing w:after="0"/>
              <w:rPr>
                <w:sz w:val="20"/>
                <w:szCs w:val="20"/>
                <w:color w:val="auto"/>
              </w:rPr>
            </w:pPr>
            <w:r>
              <w:rPr>
                <w:rFonts w:ascii="Courier New" w:cs="Courier New" w:eastAsia="Courier New" w:hAnsi="Courier New"/>
                <w:sz w:val="18"/>
                <w:szCs w:val="18"/>
                <w:color w:val="auto"/>
              </w:rPr>
              <w:t>Pacific Avenue, Suite 222 San Francisco, CA 94111  .</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Name</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of Person Filing:</w:t>
            </w:r>
          </w:p>
        </w:tc>
      </w:tr>
      <w:tr>
        <w:trPr>
          <w:trHeight w:val="405"/>
        </w:trPr>
        <w:tc>
          <w:tcPr>
            <w:tcW w:w="1480" w:type="dxa"/>
            <w:vAlign w:val="bottom"/>
          </w:tcPr>
          <w:p>
            <w:pPr>
              <w:spacing w:after="0"/>
              <w:rPr>
                <w:sz w:val="24"/>
                <w:szCs w:val="24"/>
                <w:color w:val="auto"/>
              </w:rPr>
            </w:pP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This statement is filed on behalf of Deutsche Bank AG,</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("Reporting Person").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405"/>
        </w:trPr>
        <w:tc>
          <w:tcPr>
            <w:tcW w:w="1480" w:type="dxa"/>
            <w:vAlign w:val="bottom"/>
          </w:tcPr>
          <w:p>
            <w:pPr>
              <w:spacing w:after="0"/>
              <w:rPr>
                <w:sz w:val="24"/>
                <w:szCs w:val="24"/>
                <w:color w:val="auto"/>
              </w:rPr>
            </w:pP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The principal place of business of the Reporting Person is:</w:t>
            </w:r>
          </w:p>
        </w:tc>
      </w:tr>
      <w:tr>
        <w:trPr>
          <w:trHeight w:val="405"/>
        </w:trPr>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20" w:type="dxa"/>
            <w:vAlign w:val="bottom"/>
          </w:tcPr>
          <w:p>
            <w:pPr>
              <w:ind w:left="540"/>
              <w:spacing w:after="0"/>
              <w:rPr>
                <w:sz w:val="20"/>
                <w:szCs w:val="20"/>
                <w:color w:val="auto"/>
              </w:rPr>
            </w:pPr>
            <w:r>
              <w:rPr>
                <w:rFonts w:ascii="Courier New" w:cs="Courier New" w:eastAsia="Courier New" w:hAnsi="Courier New"/>
                <w:sz w:val="18"/>
                <w:szCs w:val="18"/>
                <w:color w:val="auto"/>
              </w:rPr>
              <w:t>Taunusanlage 12, D-60325</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Frankfurt am Main</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Federal Republic of Germany</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480" w:type="dxa"/>
            <w:vAlign w:val="bottom"/>
          </w:tcPr>
          <w:p>
            <w:pPr>
              <w:spacing w:after="0"/>
              <w:rPr>
                <w:sz w:val="24"/>
                <w:szCs w:val="24"/>
                <w:color w:val="auto"/>
              </w:rPr>
            </w:pP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The citizenship of the Reporting Person is set forth on the</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cover page.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480" w:type="dxa"/>
            <w:vAlign w:val="bottom"/>
          </w:tcPr>
          <w:p>
            <w:pPr>
              <w:spacing w:after="0"/>
              <w:rPr>
                <w:sz w:val="24"/>
                <w:szCs w:val="24"/>
                <w:color w:val="auto"/>
              </w:rPr>
            </w:pP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The title of the securities is common stock, $0.001 par value</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480" w:type="dxa"/>
            <w:vAlign w:val="bottom"/>
          </w:tcPr>
          <w:p>
            <w:pPr>
              <w:spacing w:after="0"/>
              <w:rPr>
                <w:sz w:val="24"/>
                <w:szCs w:val="24"/>
                <w:color w:val="auto"/>
              </w:rPr>
            </w:pP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The CUSIP number of the Common Stock is set forth on the cover</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page.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If this statement is filed pursuant to Rules</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13d-1(b), or 13d-2(b) or (c), check whether the person</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filing is a:</w:t>
            </w:r>
          </w:p>
        </w:tc>
      </w:tr>
      <w:tr>
        <w:trPr>
          <w:trHeight w:val="608"/>
        </w:trPr>
        <w:tc>
          <w:tcPr>
            <w:tcW w:w="14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 ] Broker or dealer registered under section 15 of</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405"/>
        </w:trPr>
        <w:tc>
          <w:tcPr>
            <w:tcW w:w="14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(b)</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 ] Bank as defined in section 3(a)(6) of the Act;</w:t>
            </w:r>
          </w:p>
        </w:tc>
      </w:tr>
      <w:tr>
        <w:trPr>
          <w:trHeight w:val="405"/>
        </w:trPr>
        <w:tc>
          <w:tcPr>
            <w:tcW w:w="14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(c)</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 ]Insurance Company as defined in section 3(a)(19)</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 Act;</w:t>
            </w:r>
          </w:p>
        </w:tc>
      </w:tr>
      <w:tr>
        <w:trPr>
          <w:trHeight w:val="405"/>
        </w:trPr>
        <w:tc>
          <w:tcPr>
            <w:tcW w:w="14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(d)</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 ] Investment Company registered under section 8</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 Investment Company Act of 1940;</w:t>
            </w:r>
          </w:p>
        </w:tc>
      </w:tr>
      <w:tr>
        <w:trPr>
          <w:trHeight w:val="405"/>
        </w:trPr>
        <w:tc>
          <w:tcPr>
            <w:tcW w:w="14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(e)</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 ] An investment adviser in accordance with Rule</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13d-1(b)(1)(ii)(E);</w:t>
            </w:r>
          </w:p>
        </w:tc>
      </w:tr>
      <w:tr>
        <w:trPr>
          <w:trHeight w:val="405"/>
        </w:trPr>
        <w:tc>
          <w:tcPr>
            <w:tcW w:w="14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 ] An employee benefit plan, or endowment fund in</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accordance with Rule 13d-1 (b)(1)(ii)(F);</w:t>
            </w:r>
          </w:p>
        </w:tc>
      </w:tr>
      <w:tr>
        <w:trPr>
          <w:trHeight w:val="405"/>
        </w:trPr>
        <w:tc>
          <w:tcPr>
            <w:tcW w:w="14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(g)</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 ] parent holding company or control person in</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accordance with Rule 13d-1 (b)(1)(ii)(G);</w:t>
            </w:r>
          </w:p>
        </w:tc>
      </w:tr>
      <w:tr>
        <w:trPr>
          <w:trHeight w:val="608"/>
        </w:trPr>
        <w:tc>
          <w:tcPr>
            <w:tcW w:w="14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(h)</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 ] A savings association as defined in section</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3(b) of the Federal Deposit Insurance Act;</w:t>
            </w:r>
          </w:p>
        </w:tc>
      </w:tr>
      <w:tr>
        <w:trPr>
          <w:trHeight w:val="405"/>
        </w:trPr>
        <w:tc>
          <w:tcPr>
            <w:tcW w:w="14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(i)</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 ] A church plan that is excluded from the</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definition of an investment company under section</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3(c)(14) of the Investment Company Act of 1940;</w:t>
            </w:r>
          </w:p>
        </w:tc>
      </w:tr>
      <w:tr>
        <w:trPr>
          <w:trHeight w:val="405"/>
        </w:trPr>
        <w:tc>
          <w:tcPr>
            <w:tcW w:w="14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(j)</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 ] Group, in accordance with Rule 13d-1</w:t>
            </w:r>
          </w:p>
        </w:tc>
      </w:tr>
      <w:tr>
        <w:trPr>
          <w:trHeight w:val="203"/>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(b)(1)(ii)(J).</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Ownership.</w:t>
            </w:r>
          </w:p>
        </w:tc>
      </w:tr>
    </w:tbl>
    <w:p>
      <w:pPr>
        <w:ind w:left="1900" w:hanging="733"/>
        <w:spacing w:after="0" w:line="238"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rFonts w:ascii="Courier New" w:cs="Courier New" w:eastAsia="Courier New" w:hAnsi="Courier New"/>
          <w:sz w:val="18"/>
          <w:szCs w:val="18"/>
          <w:color w:val="auto"/>
        </w:rPr>
      </w:pPr>
    </w:p>
    <w:p>
      <w:pPr>
        <w:ind w:left="190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owns the amount of the Common Stock as set forth on the cover page.</w:t>
      </w:r>
    </w:p>
    <w:p>
      <w:pPr>
        <w:sectPr>
          <w:pgSz w:w="11900" w:h="16838" w:orient="portrait"/>
          <w:cols w:equalWidth="0" w:num="1">
            <w:col w:w="10219"/>
          </w:cols>
          <w:pgMar w:left="240" w:top="919" w:right="1440" w:bottom="0" w:gutter="0" w:footer="0" w:header="0"/>
        </w:sectPr>
      </w:pPr>
    </w:p>
    <w:bookmarkStart w:id="4" w:name="page5"/>
    <w:bookmarkEnd w:id="4"/>
    <w:p>
      <w:pPr>
        <w:ind w:left="1900" w:hanging="733"/>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190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owns the percentage of the Common Stock as set forth on the cover page.</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6" w:lineRule="exact"/>
        <w:rPr>
          <w:rFonts w:ascii="Courier New" w:cs="Courier New" w:eastAsia="Courier New" w:hAnsi="Courier New"/>
          <w:sz w:val="18"/>
          <w:szCs w:val="18"/>
          <w:color w:val="auto"/>
        </w:rPr>
      </w:pPr>
    </w:p>
    <w:p>
      <w:pPr>
        <w:ind w:left="2320" w:right="2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sole power to vote or direct the vote of the Common Stock as set forth on the cover page.</w:t>
      </w:r>
    </w:p>
    <w:p>
      <w:pPr>
        <w:spacing w:after="0" w:line="203" w:lineRule="exact"/>
        <w:rPr>
          <w:rFonts w:ascii="Courier New" w:cs="Courier New" w:eastAsia="Courier New" w:hAnsi="Courier New"/>
          <w:sz w:val="18"/>
          <w:szCs w:val="18"/>
          <w:color w:val="auto"/>
        </w:rPr>
      </w:pPr>
    </w:p>
    <w:p>
      <w:pPr>
        <w:ind w:left="2440" w:hanging="536"/>
        <w:spacing w:after="0"/>
        <w:tabs>
          <w:tab w:leader="none" w:pos="24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7" w:lineRule="exact"/>
        <w:rPr>
          <w:sz w:val="20"/>
          <w:szCs w:val="20"/>
          <w:color w:val="auto"/>
        </w:rPr>
      </w:pPr>
    </w:p>
    <w:p>
      <w:pPr>
        <w:jc w:val="both"/>
        <w:ind w:left="2320" w:right="2419"/>
        <w:spacing w:after="0" w:line="236" w:lineRule="auto"/>
        <w:rPr>
          <w:sz w:val="20"/>
          <w:szCs w:val="20"/>
          <w:color w:val="auto"/>
        </w:rPr>
      </w:pPr>
      <w:r>
        <w:rPr>
          <w:rFonts w:ascii="Courier New" w:cs="Courier New" w:eastAsia="Courier New" w:hAnsi="Courier New"/>
          <w:sz w:val="18"/>
          <w:szCs w:val="18"/>
          <w:color w:val="auto"/>
        </w:rPr>
        <w:t>The Reporting Person has the shared power to vote or direct the vote of the Common Stock as set forth on the cover page.</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7" w:lineRule="exact"/>
        <w:rPr>
          <w:sz w:val="20"/>
          <w:szCs w:val="20"/>
          <w:color w:val="auto"/>
        </w:rPr>
      </w:pPr>
    </w:p>
    <w:p>
      <w:pPr>
        <w:ind w:left="2320" w:right="2319"/>
        <w:spacing w:after="0" w:line="236" w:lineRule="auto"/>
        <w:rPr>
          <w:sz w:val="20"/>
          <w:szCs w:val="20"/>
          <w:color w:val="auto"/>
        </w:rPr>
      </w:pPr>
      <w:r>
        <w:rPr>
          <w:rFonts w:ascii="Courier New" w:cs="Courier New" w:eastAsia="Courier New" w:hAnsi="Courier New"/>
          <w:sz w:val="18"/>
          <w:szCs w:val="18"/>
          <w:color w:val="auto"/>
        </w:rPr>
        <w:t>The Reporting Person has the sole power to dispose or direct the disposition of the Common Stock as set forth on the cover page.</w:t>
      </w:r>
    </w:p>
    <w:p>
      <w:pPr>
        <w:spacing w:after="0" w:line="203" w:lineRule="exact"/>
        <w:rPr>
          <w:sz w:val="20"/>
          <w:szCs w:val="20"/>
          <w:color w:val="auto"/>
        </w:rPr>
      </w:pPr>
    </w:p>
    <w:p>
      <w:pPr>
        <w:ind w:left="2320" w:hanging="521"/>
        <w:spacing w:after="0"/>
        <w:tabs>
          <w:tab w:leader="none" w:pos="2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6" w:lineRule="exact"/>
        <w:rPr>
          <w:rFonts w:ascii="Courier New" w:cs="Courier New" w:eastAsia="Courier New" w:hAnsi="Courier New"/>
          <w:sz w:val="18"/>
          <w:szCs w:val="18"/>
          <w:color w:val="auto"/>
        </w:rPr>
      </w:pPr>
    </w:p>
    <w:p>
      <w:pPr>
        <w:jc w:val="both"/>
        <w:ind w:left="2320" w:right="2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has the shared power to dispose or direct the disposition of the Common Stock as set forth on the cover page.</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900" w:right="1779" w:firstLine="948"/>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10" w:lineRule="exact"/>
        <w:rPr>
          <w:sz w:val="20"/>
          <w:szCs w:val="20"/>
          <w:color w:val="auto"/>
        </w:rPr>
      </w:pPr>
    </w:p>
    <w:p>
      <w:pPr>
        <w:ind w:left="1800" w:right="2519" w:hanging="1790"/>
        <w:spacing w:after="0" w:line="235" w:lineRule="auto"/>
        <w:tabs>
          <w:tab w:leader="none" w:pos="17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800" w:right="2419" w:hanging="1895"/>
        <w:spacing w:after="0" w:line="236" w:lineRule="auto"/>
        <w:tabs>
          <w:tab w:leader="none" w:pos="17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39" w:right="1440" w:bottom="1440" w:gutter="0" w:footer="0" w:header="0"/>
        </w:sectPr>
      </w:pPr>
    </w:p>
    <w:bookmarkStart w:id="5" w:name="page6"/>
    <w:bookmarkEnd w:id="5"/>
    <w:p>
      <w:pPr>
        <w:spacing w:after="0" w:line="88"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2/13/04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DEUTSCHE BANK AG</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Jeffrey A. Ruiz</w:t>
      </w:r>
    </w:p>
    <w:p>
      <w:pPr>
        <w:ind w:left="3800"/>
        <w:spacing w:after="0" w:line="238" w:lineRule="auto"/>
        <w:rPr>
          <w:sz w:val="20"/>
          <w:szCs w:val="20"/>
          <w:color w:val="auto"/>
        </w:rPr>
      </w:pPr>
      <w:r>
        <w:rPr>
          <w:rFonts w:ascii="Courier New" w:cs="Courier New" w:eastAsia="Courier New" w:hAnsi="Courier New"/>
          <w:sz w:val="18"/>
          <w:szCs w:val="18"/>
          <w:color w:val="auto"/>
        </w:rPr>
        <w:t>Name: Jeffrey A. Ruiz</w:t>
      </w:r>
    </w:p>
    <w:p>
      <w:pPr>
        <w:ind w:left="380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Pasquale Antolino</w:t>
      </w:r>
    </w:p>
    <w:p>
      <w:pPr>
        <w:ind w:left="3800"/>
        <w:spacing w:after="0" w:line="238" w:lineRule="auto"/>
        <w:rPr>
          <w:sz w:val="20"/>
          <w:szCs w:val="20"/>
          <w:color w:val="auto"/>
        </w:rPr>
      </w:pPr>
      <w:r>
        <w:rPr>
          <w:rFonts w:ascii="Courier New" w:cs="Courier New" w:eastAsia="Courier New" w:hAnsi="Courier New"/>
          <w:sz w:val="18"/>
          <w:szCs w:val="18"/>
          <w:color w:val="auto"/>
        </w:rPr>
        <w:t>Name: Pasquale Antolino</w:t>
      </w:r>
    </w:p>
    <w:p>
      <w:pPr>
        <w:ind w:left="3800"/>
        <w:spacing w:after="0"/>
        <w:rPr>
          <w:sz w:val="20"/>
          <w:szCs w:val="20"/>
          <w:color w:val="auto"/>
        </w:rPr>
      </w:pPr>
      <w:r>
        <w:rPr>
          <w:rFonts w:ascii="Courier New" w:cs="Courier New" w:eastAsia="Courier New" w:hAnsi="Courier New"/>
          <w:sz w:val="18"/>
          <w:szCs w:val="18"/>
          <w:color w:val="auto"/>
        </w:rPr>
        <w:t>Title: Associate</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lvl w:ilvl="1">
      <w:lvlJc w:val="left"/>
      <w:lvlText w:val="S.%2."/>
      <w:numFmt w:val="upperLetter"/>
      <w:start w:val="19"/>
    </w:lvl>
    <w:lvl w:ilvl="2">
      <w:lvlJc w:val="left"/>
      <w:lvlText w:val="(%3)"/>
      <w:numFmt w:val="upperLetter"/>
      <w:start w:val="1"/>
    </w:lvl>
  </w:abstractNum>
  <w:abstractNum w:abstractNumId="2">
    <w:nsid w:val="46E87CCD"/>
    <w:multiLevelType w:val="hybridMultilevel"/>
    <w:lvl w:ilvl="0">
      <w:lvlJc w:val="left"/>
      <w:lvlText w:val="%1."/>
      <w:numFmt w:val="decimal"/>
      <w:start w:val="9"/>
    </w:lvl>
  </w:abstractNum>
  <w:abstractNum w:abstractNumId="3">
    <w:nsid w:val="3D1B58BA"/>
    <w:multiLevelType w:val="hybridMultilevel"/>
    <w:lvl w:ilvl="0">
      <w:lvlJc w:val="left"/>
      <w:lvlText w:val="%1."/>
      <w:numFmt w:val="decimal"/>
      <w:start w:val="12"/>
    </w:lvl>
    <w:lvl w:ilvl="1">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2019-12-13T15:03:48Z</dcterms:created>
  <dcterms:modified xsi:type="dcterms:W3CDTF">2019-12-13T15:03:48Z</dcterms:modified>
</cp:coreProperties>
</file>