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color w:val="auto"/>
        </w:rPr>
        <w:drawing>
          <wp:anchor simplePos="0" relativeHeight="251657728" behindDoc="1" locked="0" layoutInCell="0" allowOverlap="1">
            <wp:simplePos x="0" y="0"/>
            <wp:positionH relativeFrom="page">
              <wp:posOffset>147320</wp:posOffset>
            </wp:positionH>
            <wp:positionV relativeFrom="page">
              <wp:posOffset>147320</wp:posOffset>
            </wp:positionV>
            <wp:extent cx="726630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22225"/>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176530</wp:posOffset>
            </wp:positionV>
            <wp:extent cx="7266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7620"/>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6"/>
          <w:szCs w:val="26"/>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119380</wp:posOffset>
            </wp:positionV>
            <wp:extent cx="36334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28"/>
          <w:szCs w:val="28"/>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128270</wp:posOffset>
            </wp:positionV>
            <wp:extent cx="36334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SECTION 13 OR 15(d) OF THE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June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129540</wp:posOffset>
            </wp:positionV>
            <wp:extent cx="36334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7"/>
          <w:szCs w:val="37"/>
          <w:color w:val="auto"/>
        </w:rPr>
        <w:t>ABM Industries Incorporated</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123825</wp:posOffset>
            </wp:positionV>
            <wp:extent cx="36334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ectPr>
          <w:pgSz w:w="11900" w:h="16838" w:orient="portrait"/>
          <w:cols w:equalWidth="0" w:num="1">
            <w:col w:w="11400"/>
          </w:cols>
          <w:pgMar w:left="240" w:top="469" w:right="259" w:bottom="1440" w:gutter="0" w:footer="0" w:header="0"/>
        </w:sectPr>
      </w:pPr>
    </w:p>
    <w:p>
      <w:pPr>
        <w:spacing w:after="0" w:line="388"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2520"/>
        <w:spacing w:after="0"/>
        <w:rPr>
          <w:sz w:val="20"/>
          <w:szCs w:val="20"/>
          <w:color w:val="auto"/>
        </w:rPr>
      </w:pPr>
      <w:r>
        <w:rPr>
          <w:rFonts w:ascii="Arial" w:cs="Arial" w:eastAsia="Arial" w:hAnsi="Arial"/>
          <w:sz w:val="14"/>
          <w:szCs w:val="14"/>
          <w:b w:val="1"/>
          <w:bCs w:val="1"/>
          <w:color w:val="auto"/>
        </w:rPr>
        <w:t>1-8929</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94-1369354</w:t>
      </w:r>
    </w:p>
    <w:p>
      <w:pPr>
        <w:spacing w:after="0" w:line="32" w:lineRule="exact"/>
        <w:rPr>
          <w:sz w:val="24"/>
          <w:szCs w:val="24"/>
          <w:color w:val="auto"/>
        </w:rPr>
      </w:pPr>
    </w:p>
    <w:p>
      <w:pPr>
        <w:sectPr>
          <w:pgSz w:w="11900" w:h="16838" w:orient="portrait"/>
          <w:cols w:equalWidth="0" w:num="3">
            <w:col w:w="4780" w:space="720"/>
            <w:col w:w="2960" w:space="720"/>
            <w:col w:w="2220"/>
          </w:cols>
          <w:pgMar w:left="240" w:top="469" w:right="259" w:bottom="1440" w:gutter="0" w:footer="0" w:header="0"/>
          <w:type w:val="continuous"/>
        </w:sectPr>
      </w:pPr>
    </w:p>
    <w:p>
      <w:pPr>
        <w:spacing w:after="0" w:line="12" w:lineRule="exact"/>
        <w:rPr>
          <w:sz w:val="24"/>
          <w:szCs w:val="24"/>
          <w:color w:val="auto"/>
        </w:rPr>
      </w:pPr>
    </w:p>
    <w:p>
      <w:pPr>
        <w:jc w:val="center"/>
        <w:ind w:right="880"/>
        <w:spacing w:after="0"/>
        <w:rPr>
          <w:sz w:val="20"/>
          <w:szCs w:val="20"/>
          <w:color w:val="auto"/>
        </w:rPr>
      </w:pPr>
      <w:r>
        <w:rPr>
          <w:rFonts w:ascii="Arial" w:cs="Arial" w:eastAsia="Arial" w:hAnsi="Arial"/>
          <w:sz w:val="11"/>
          <w:szCs w:val="11"/>
          <w:color w:val="auto"/>
        </w:rPr>
        <w:t>(State or other jurisdiction</w:t>
      </w:r>
    </w:p>
    <w:p>
      <w:pPr>
        <w:jc w:val="center"/>
        <w:ind w:right="880"/>
        <w:spacing w:after="0"/>
        <w:rPr>
          <w:sz w:val="20"/>
          <w:szCs w:val="20"/>
          <w:color w:val="auto"/>
        </w:rPr>
      </w:pPr>
      <w:r>
        <w:rPr>
          <w:rFonts w:ascii="Arial" w:cs="Arial" w:eastAsia="Arial" w:hAnsi="Arial"/>
          <w:sz w:val="12"/>
          <w:szCs w:val="12"/>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(Commission</w:t>
      </w:r>
    </w:p>
    <w:p>
      <w:pPr>
        <w:spacing w:after="0"/>
        <w:rPr>
          <w:sz w:val="20"/>
          <w:szCs w:val="20"/>
          <w:color w:val="auto"/>
        </w:rPr>
      </w:pPr>
      <w:r>
        <w:rPr>
          <w:rFonts w:ascii="Arial" w:cs="Arial" w:eastAsia="Arial" w:hAnsi="Arial"/>
          <w:sz w:val="11"/>
          <w:szCs w:val="11"/>
          <w:color w:val="auto"/>
        </w:rPr>
        <w:t>File Number)</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2"/>
          <w:szCs w:val="12"/>
          <w:color w:val="auto"/>
        </w:rPr>
        <w:t>(IRS Employer</w:t>
      </w:r>
    </w:p>
    <w:p>
      <w:pPr>
        <w:jc w:val="center"/>
        <w:ind w:right="1400"/>
        <w:spacing w:after="0"/>
        <w:rPr>
          <w:sz w:val="20"/>
          <w:szCs w:val="20"/>
          <w:color w:val="auto"/>
        </w:rPr>
      </w:pPr>
      <w:r>
        <w:rPr>
          <w:rFonts w:ascii="Arial" w:cs="Arial" w:eastAsia="Arial" w:hAnsi="Arial"/>
          <w:sz w:val="11"/>
          <w:szCs w:val="11"/>
          <w:color w:val="auto"/>
        </w:rPr>
        <w:t>Identification No.)</w:t>
      </w:r>
    </w:p>
    <w:p>
      <w:pPr>
        <w:spacing w:after="0" w:line="176" w:lineRule="exact"/>
        <w:rPr>
          <w:sz w:val="24"/>
          <w:szCs w:val="24"/>
          <w:color w:val="auto"/>
        </w:rPr>
      </w:pPr>
    </w:p>
    <w:p>
      <w:pPr>
        <w:sectPr>
          <w:pgSz w:w="11900" w:h="16838" w:orient="portrait"/>
          <w:cols w:equalWidth="0" w:num="3">
            <w:col w:w="4660" w:space="720"/>
            <w:col w:w="3000" w:space="720"/>
            <w:col w:w="2300"/>
          </w:cols>
          <w:pgMar w:left="240" w:top="469" w:right="259" w:bottom="1440" w:gutter="0" w:footer="0" w:header="0"/>
          <w:type w:val="continuous"/>
        </w:sectPr>
      </w:pPr>
    </w:p>
    <w:p>
      <w:pPr>
        <w:jc w:val="center"/>
        <w:ind w:right="1920"/>
        <w:spacing w:after="0"/>
        <w:rPr>
          <w:sz w:val="20"/>
          <w:szCs w:val="20"/>
          <w:color w:val="auto"/>
        </w:rPr>
      </w:pPr>
      <w:r>
        <w:rPr>
          <w:rFonts w:ascii="Arial" w:cs="Arial" w:eastAsia="Arial" w:hAnsi="Arial"/>
          <w:sz w:val="13"/>
          <w:szCs w:val="13"/>
          <w:b w:val="1"/>
          <w:bCs w:val="1"/>
          <w:color w:val="auto"/>
        </w:rPr>
        <w:t>551 Fifth Avenue, Suite 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10176</w:t>
      </w:r>
    </w:p>
    <w:p>
      <w:pPr>
        <w:spacing w:after="0" w:line="49" w:lineRule="exact"/>
        <w:rPr>
          <w:sz w:val="24"/>
          <w:szCs w:val="24"/>
          <w:color w:val="auto"/>
        </w:rPr>
      </w:pPr>
    </w:p>
    <w:p>
      <w:pPr>
        <w:sectPr>
          <w:pgSz w:w="11900" w:h="16838" w:orient="portrait"/>
          <w:cols w:equalWidth="0" w:num="2">
            <w:col w:w="7640" w:space="720"/>
            <w:col w:w="3040"/>
          </w:cols>
          <w:pgMar w:left="240" w:top="469" w:right="259" w:bottom="1440" w:gutter="0" w:footer="0" w:header="0"/>
          <w:type w:val="continuous"/>
        </w:sectPr>
      </w:pPr>
    </w:p>
    <w:p>
      <w:pPr>
        <w:ind w:left="188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171" w:lineRule="exact"/>
        <w:rPr>
          <w:sz w:val="24"/>
          <w:szCs w:val="24"/>
          <w:color w:val="auto"/>
        </w:rPr>
      </w:pPr>
    </w:p>
    <w:p>
      <w:pPr>
        <w:sectPr>
          <w:pgSz w:w="11900" w:h="16838" w:orient="portrait"/>
          <w:cols w:equalWidth="0" w:num="2">
            <w:col w:w="7580" w:space="720"/>
            <w:col w:w="3100"/>
          </w:cols>
          <w:pgMar w:left="240" w:top="46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(212) 297-0200</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113665</wp:posOffset>
            </wp:positionV>
            <wp:extent cx="36334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68" w:lineRule="exact"/>
        <w:rPr>
          <w:sz w:val="24"/>
          <w:szCs w:val="24"/>
          <w:color w:val="auto"/>
        </w:rPr>
      </w:pPr>
    </w:p>
    <w:p>
      <w:pPr>
        <w:ind w:firstLine="277"/>
        <w:spacing w:after="0" w:line="288"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u w:val="single" w:color="auto"/>
          <w:color w:val="auto"/>
        </w:rPr>
        <w:t>see</w:t>
      </w:r>
      <w:r>
        <w:rPr>
          <w:rFonts w:ascii="Arial" w:cs="Arial" w:eastAsia="Arial" w:hAnsi="Arial"/>
          <w:sz w:val="15"/>
          <w:szCs w:val="15"/>
          <w:color w:val="auto"/>
        </w:rPr>
        <w:t xml:space="preserve"> General Instruction A.2. below):</w:t>
      </w:r>
    </w:p>
    <w:p>
      <w:pPr>
        <w:spacing w:after="0" w:line="140" w:lineRule="exact"/>
        <w:rPr>
          <w:sz w:val="24"/>
          <w:szCs w:val="24"/>
          <w:color w:val="auto"/>
        </w:rPr>
      </w:pPr>
    </w:p>
    <w:p>
      <w:pPr>
        <w:ind w:left="540" w:hanging="27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6" w:lineRule="exact"/>
        <w:rPr>
          <w:rFonts w:ascii="MS PGothic" w:cs="MS PGothic" w:eastAsia="MS PGothic" w:hAnsi="MS PGothic"/>
          <w:sz w:val="15"/>
          <w:szCs w:val="15"/>
          <w:color w:val="auto"/>
        </w:rPr>
      </w:pPr>
    </w:p>
    <w:p>
      <w:pPr>
        <w:ind w:left="540" w:hanging="27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6" w:lineRule="exact"/>
        <w:rPr>
          <w:rFonts w:ascii="MS PGothic" w:cs="MS PGothic" w:eastAsia="MS PGothic" w:hAnsi="MS PGothic"/>
          <w:sz w:val="15"/>
          <w:szCs w:val="15"/>
          <w:color w:val="auto"/>
        </w:rPr>
      </w:pPr>
    </w:p>
    <w:p>
      <w:pPr>
        <w:ind w:left="540" w:hanging="27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6" w:lineRule="exact"/>
        <w:rPr>
          <w:rFonts w:ascii="MS PGothic" w:cs="MS PGothic" w:eastAsia="MS PGothic" w:hAnsi="MS PGothic"/>
          <w:sz w:val="15"/>
          <w:szCs w:val="15"/>
          <w:color w:val="auto"/>
        </w:rPr>
      </w:pPr>
    </w:p>
    <w:p>
      <w:pPr>
        <w:ind w:left="540" w:hanging="27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72663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146050</wp:posOffset>
            </wp:positionV>
            <wp:extent cx="7266305" cy="22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222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534670</wp:posOffset>
            </wp:positionV>
            <wp:extent cx="72663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00"/>
          </w:cols>
          <w:pgMar w:left="240" w:top="46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201"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On June 8, 2016, ABM Industries Incorporated (the “Company”) issued a press release announcing financial results related to the second quarter of fiscal year 2016. A copy of the press release is attached as Exhibit 99.1, which is incorporated into this item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7.01. Regulation FD</w:t>
      </w:r>
    </w:p>
    <w:p>
      <w:pPr>
        <w:spacing w:after="0" w:line="201"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color w:val="auto"/>
        </w:rPr>
        <w:t>As disclosed in the press release attached as Exhibit 99.1, the Company will hold a live web cast on June 9, 2016 relating to the Company’s financial results for the second quarter of fiscal year 2016. A copy of the slides to be presented at the Company’s web cast and discussed in the conference call relating to such financial results is being furnished as Exhibit 99.2 to this Form 8-K.</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8.01. Other Events.</w:t>
      </w:r>
    </w:p>
    <w:p>
      <w:pPr>
        <w:spacing w:after="0" w:line="201" w:lineRule="exact"/>
        <w:rPr>
          <w:sz w:val="20"/>
          <w:szCs w:val="20"/>
          <w:color w:val="auto"/>
        </w:rPr>
      </w:pPr>
    </w:p>
    <w:p>
      <w:pPr>
        <w:ind w:right="100"/>
        <w:spacing w:after="0" w:line="325" w:lineRule="auto"/>
        <w:rPr>
          <w:sz w:val="20"/>
          <w:szCs w:val="20"/>
          <w:color w:val="auto"/>
        </w:rPr>
      </w:pPr>
      <w:r>
        <w:rPr>
          <w:rFonts w:ascii="Arial" w:cs="Arial" w:eastAsia="Arial" w:hAnsi="Arial"/>
          <w:sz w:val="14"/>
          <w:szCs w:val="14"/>
          <w:color w:val="auto"/>
        </w:rPr>
        <w:t>On June 8, 2016, the Company announced that the Board of Directors of the Company declared a quarterly dividend of $0.165 per share, payable on August 1, 2016 to stockholders of record on July 7, 2016. A copy of the press release announcing the declaration of the dividend is attached as Exhibit 99.1, which is incorporated into this item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(c)  Exhibits.</w:t>
      </w:r>
    </w:p>
    <w:p>
      <w:pPr>
        <w:spacing w:after="0" w:line="197" w:lineRule="exact"/>
        <w:rPr>
          <w:sz w:val="20"/>
          <w:szCs w:val="20"/>
          <w:color w:val="auto"/>
        </w:rPr>
      </w:pPr>
    </w:p>
    <w:p>
      <w:pPr>
        <w:ind w:left="540" w:right="20" w:hanging="553"/>
        <w:spacing w:after="0" w:line="288" w:lineRule="auto"/>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5"/>
          <w:szCs w:val="15"/>
          <w:color w:val="auto"/>
        </w:rPr>
        <w:t>Press Release issued by ABM Industries Incorporated, dated June 8, 2016, announcing financial results related to the second quarter of fiscal year 2016 and the declaration of a dividend payable August 1, 2016 to stockholders of record on July 7, 2016.</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99.2</w:t>
      </w:r>
      <w:r>
        <w:rPr>
          <w:sz w:val="20"/>
          <w:szCs w:val="20"/>
          <w:color w:val="auto"/>
        </w:rPr>
        <w:tab/>
      </w:r>
      <w:r>
        <w:rPr>
          <w:rFonts w:ascii="Arial" w:cs="Arial" w:eastAsia="Arial" w:hAnsi="Arial"/>
          <w:sz w:val="14"/>
          <w:szCs w:val="14"/>
          <w:color w:val="auto"/>
        </w:rPr>
        <w:t>Slides of ABM Industries Incorporated dated June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380365</wp:posOffset>
            </wp:positionV>
            <wp:extent cx="72663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360"/>
          </w:cols>
          <w:pgMar w:left="240" w:top="79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7800" w:type="dxa"/>
            <w:vAlign w:val="bottom"/>
          </w:tcPr>
          <w:p>
            <w:pPr>
              <w:ind w:left="2420"/>
              <w:spacing w:after="0"/>
              <w:rPr>
                <w:sz w:val="20"/>
                <w:szCs w:val="20"/>
                <w:color w:val="auto"/>
              </w:rPr>
            </w:pPr>
            <w:r>
              <w:rPr>
                <w:rFonts w:ascii="Arial" w:cs="Arial" w:eastAsia="Arial" w:hAnsi="Arial"/>
                <w:sz w:val="15"/>
                <w:szCs w:val="15"/>
                <w:color w:val="auto"/>
              </w:rPr>
              <w:t>ABM INDUSTRIES INCORPORATED</w:t>
            </w:r>
          </w:p>
        </w:tc>
      </w:tr>
      <w:tr>
        <w:trPr>
          <w:trHeight w:val="335"/>
        </w:trPr>
        <w:tc>
          <w:tcPr>
            <w:tcW w:w="3640" w:type="dxa"/>
            <w:vAlign w:val="bottom"/>
            <w:gridSpan w:val="3"/>
          </w:tcPr>
          <w:p>
            <w:pPr>
              <w:spacing w:after="0"/>
              <w:rPr>
                <w:sz w:val="20"/>
                <w:szCs w:val="20"/>
                <w:color w:val="auto"/>
              </w:rPr>
            </w:pPr>
            <w:r>
              <w:rPr>
                <w:rFonts w:ascii="Arial" w:cs="Arial" w:eastAsia="Arial" w:hAnsi="Arial"/>
                <w:sz w:val="15"/>
                <w:szCs w:val="15"/>
                <w:color w:val="auto"/>
              </w:rPr>
              <w:t>Dated: June 8, 2016</w:t>
            </w:r>
          </w:p>
        </w:tc>
        <w:tc>
          <w:tcPr>
            <w:tcW w:w="7800" w:type="dxa"/>
            <w:vAlign w:val="bottom"/>
          </w:tcPr>
          <w:p>
            <w:pPr>
              <w:ind w:left="2420"/>
              <w:spacing w:after="0"/>
              <w:rPr>
                <w:sz w:val="20"/>
                <w:szCs w:val="20"/>
                <w:color w:val="auto"/>
              </w:rPr>
            </w:pPr>
            <w:r>
              <w:rPr>
                <w:rFonts w:ascii="Arial" w:cs="Arial" w:eastAsia="Arial" w:hAnsi="Arial"/>
                <w:sz w:val="15"/>
                <w:szCs w:val="15"/>
                <w:color w:val="auto"/>
              </w:rPr>
              <w:t>By:   /s/ Sarah H. McConnell</w:t>
            </w:r>
          </w:p>
        </w:tc>
      </w:tr>
      <w:tr>
        <w:trPr>
          <w:trHeight w:val="189"/>
        </w:trPr>
        <w:tc>
          <w:tcPr>
            <w:tcW w:w="4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7800" w:type="dxa"/>
            <w:vAlign w:val="bottom"/>
          </w:tcPr>
          <w:p>
            <w:pPr>
              <w:ind w:left="2880"/>
              <w:spacing w:after="0"/>
              <w:rPr>
                <w:sz w:val="20"/>
                <w:szCs w:val="20"/>
                <w:color w:val="auto"/>
              </w:rPr>
            </w:pPr>
            <w:r>
              <w:rPr>
                <w:rFonts w:ascii="Arial" w:cs="Arial" w:eastAsia="Arial" w:hAnsi="Arial"/>
                <w:sz w:val="15"/>
                <w:szCs w:val="15"/>
                <w:color w:val="auto"/>
              </w:rPr>
              <w:t>Sarah H. McConnell</w:t>
            </w:r>
          </w:p>
        </w:tc>
      </w:tr>
      <w:tr>
        <w:trPr>
          <w:trHeight w:val="185"/>
        </w:trPr>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7800" w:type="dxa"/>
            <w:vAlign w:val="bottom"/>
          </w:tcPr>
          <w:p>
            <w:pPr>
              <w:ind w:left="2880"/>
              <w:spacing w:after="0"/>
              <w:rPr>
                <w:sz w:val="20"/>
                <w:szCs w:val="20"/>
                <w:color w:val="auto"/>
              </w:rPr>
            </w:pPr>
            <w:r>
              <w:rPr>
                <w:rFonts w:ascii="Arial" w:cs="Arial" w:eastAsia="Arial" w:hAnsi="Arial"/>
                <w:sz w:val="15"/>
                <w:szCs w:val="15"/>
                <w:color w:val="auto"/>
              </w:rPr>
              <w:t>Executive Vice President and</w:t>
            </w:r>
          </w:p>
        </w:tc>
      </w:tr>
      <w:tr>
        <w:trPr>
          <w:trHeight w:val="195"/>
        </w:trPr>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7800" w:type="dxa"/>
            <w:vAlign w:val="bottom"/>
          </w:tcPr>
          <w:p>
            <w:pPr>
              <w:ind w:left="2880"/>
              <w:spacing w:after="0"/>
              <w:rPr>
                <w:sz w:val="20"/>
                <w:szCs w:val="20"/>
                <w:color w:val="auto"/>
              </w:rPr>
            </w:pPr>
            <w:r>
              <w:rPr>
                <w:rFonts w:ascii="Arial" w:cs="Arial" w:eastAsia="Arial" w:hAnsi="Arial"/>
                <w:sz w:val="15"/>
                <w:szCs w:val="15"/>
                <w:color w:val="auto"/>
              </w:rPr>
              <w:t>General Counsel</w:t>
            </w:r>
          </w:p>
        </w:tc>
      </w:tr>
      <w:tr>
        <w:trPr>
          <w:trHeight w:val="577"/>
        </w:trPr>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4" w:right="2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5"/>
          <w:szCs w:val="15"/>
          <w:b w:val="1"/>
          <w:bCs w:val="1"/>
          <w:color w:val="auto"/>
        </w:rPr>
        <w:t>EXHIBIT INDEX</w:t>
      </w:r>
    </w:p>
    <w:p>
      <w:pPr>
        <w:spacing w:after="0" w:line="201" w:lineRule="exact"/>
        <w:rPr>
          <w:sz w:val="20"/>
          <w:szCs w:val="20"/>
          <w:color w:val="auto"/>
        </w:rPr>
      </w:pPr>
    </w:p>
    <w:p>
      <w:pPr>
        <w:ind w:left="540" w:hanging="553"/>
        <w:spacing w:after="0" w:line="288" w:lineRule="auto"/>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5"/>
          <w:szCs w:val="15"/>
          <w:color w:val="auto"/>
        </w:rPr>
        <w:t>Press Release issued by ABM Industries Incorporated, dated June 8, 2016, announcing financial results related to the second quarter of fiscal year 2016 and the declaration of a dividend payable August 1, 2016 to stockholders of record on July 7, 2016.</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99.2</w:t>
      </w:r>
      <w:r>
        <w:rPr>
          <w:sz w:val="20"/>
          <w:szCs w:val="20"/>
          <w:color w:val="auto"/>
        </w:rPr>
        <w:tab/>
      </w:r>
      <w:r>
        <w:rPr>
          <w:rFonts w:ascii="Arial" w:cs="Arial" w:eastAsia="Arial" w:hAnsi="Arial"/>
          <w:sz w:val="14"/>
          <w:szCs w:val="14"/>
          <w:color w:val="auto"/>
        </w:rPr>
        <w:t>Slides of ABM Industries Incorporated dated June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380365</wp:posOffset>
            </wp:positionV>
            <wp:extent cx="7266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340"/>
          </w:cols>
          <w:pgMar w:left="240" w:top="794"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1069340" cy="622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9340" cy="62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ANNOUNCES RESULTS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FISCAL 2016</w:t>
      </w:r>
    </w:p>
    <w:p>
      <w:pPr>
        <w:spacing w:after="0" w:line="192" w:lineRule="exact"/>
        <w:rPr>
          <w:sz w:val="20"/>
          <w:szCs w:val="20"/>
          <w:color w:val="auto"/>
        </w:rPr>
      </w:pPr>
    </w:p>
    <w:p>
      <w:pPr>
        <w:ind w:left="3240"/>
        <w:spacing w:after="0"/>
        <w:rPr>
          <w:sz w:val="20"/>
          <w:szCs w:val="20"/>
          <w:color w:val="auto"/>
        </w:rPr>
      </w:pPr>
      <w:r>
        <w:rPr>
          <w:rFonts w:ascii="Arial" w:cs="Arial" w:eastAsia="Arial" w:hAnsi="Arial"/>
          <w:sz w:val="17"/>
          <w:szCs w:val="17"/>
          <w:i w:val="1"/>
          <w:iCs w:val="1"/>
          <w:color w:val="auto"/>
        </w:rPr>
        <w:t>Revenue Increase of 6.9% to $1.3 billion; Organic Growth of 4.0%</w:t>
      </w:r>
    </w:p>
    <w:p>
      <w:pPr>
        <w:spacing w:after="0" w:line="174" w:lineRule="exact"/>
        <w:rPr>
          <w:sz w:val="20"/>
          <w:szCs w:val="20"/>
          <w:color w:val="auto"/>
        </w:rPr>
      </w:pPr>
    </w:p>
    <w:p>
      <w:pPr>
        <w:ind w:left="4260"/>
        <w:spacing w:after="0"/>
        <w:rPr>
          <w:sz w:val="20"/>
          <w:szCs w:val="20"/>
          <w:color w:val="auto"/>
        </w:rPr>
      </w:pPr>
      <w:r>
        <w:rPr>
          <w:rFonts w:ascii="Arial" w:cs="Arial" w:eastAsia="Arial" w:hAnsi="Arial"/>
          <w:sz w:val="17"/>
          <w:szCs w:val="17"/>
          <w:i w:val="1"/>
          <w:iCs w:val="1"/>
          <w:color w:val="auto"/>
        </w:rPr>
        <w:t>2020 Vision Implementation Continues</w:t>
      </w:r>
    </w:p>
    <w:p>
      <w:pPr>
        <w:spacing w:after="0" w:line="174" w:lineRule="exact"/>
        <w:rPr>
          <w:sz w:val="20"/>
          <w:szCs w:val="20"/>
          <w:color w:val="auto"/>
        </w:rPr>
      </w:pPr>
    </w:p>
    <w:p>
      <w:pPr>
        <w:ind w:left="3340"/>
        <w:spacing w:after="0"/>
        <w:rPr>
          <w:sz w:val="20"/>
          <w:szCs w:val="20"/>
          <w:color w:val="auto"/>
        </w:rPr>
      </w:pPr>
      <w:r>
        <w:rPr>
          <w:rFonts w:ascii="Arial" w:cs="Arial" w:eastAsia="Arial" w:hAnsi="Arial"/>
          <w:sz w:val="17"/>
          <w:szCs w:val="17"/>
          <w:i w:val="1"/>
          <w:iCs w:val="1"/>
          <w:color w:val="auto"/>
        </w:rPr>
        <w:t>GAAP Continuing EPS of $0.12; Adjusted Continuing EPS of $0.31</w:t>
      </w:r>
    </w:p>
    <w:p>
      <w:pPr>
        <w:spacing w:after="0" w:line="174" w:lineRule="exact"/>
        <w:rPr>
          <w:sz w:val="20"/>
          <w:szCs w:val="20"/>
          <w:color w:val="auto"/>
        </w:rPr>
      </w:pPr>
    </w:p>
    <w:p>
      <w:pPr>
        <w:ind w:left="4420"/>
        <w:spacing w:after="0"/>
        <w:rPr>
          <w:sz w:val="20"/>
          <w:szCs w:val="20"/>
          <w:color w:val="auto"/>
        </w:rPr>
      </w:pPr>
      <w:r>
        <w:rPr>
          <w:rFonts w:ascii="Arial" w:cs="Arial" w:eastAsia="Arial" w:hAnsi="Arial"/>
          <w:sz w:val="17"/>
          <w:szCs w:val="17"/>
          <w:i w:val="1"/>
          <w:iCs w:val="1"/>
          <w:color w:val="auto"/>
        </w:rPr>
        <w:t>Full Year Guidance Outlook Increased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Declaration of 201</w:t>
      </w:r>
      <w:r>
        <w:rPr>
          <w:rFonts w:ascii="Arial" w:cs="Arial" w:eastAsia="Arial" w:hAnsi="Arial"/>
          <w:sz w:val="28"/>
          <w:szCs w:val="28"/>
          <w:i w:val="1"/>
          <w:iCs w:val="1"/>
          <w:color w:val="auto"/>
          <w:vertAlign w:val="superscript"/>
        </w:rPr>
        <w:t>st</w:t>
      </w:r>
      <w:r>
        <w:rPr>
          <w:rFonts w:ascii="Arial" w:cs="Arial" w:eastAsia="Arial" w:hAnsi="Arial"/>
          <w:sz w:val="17"/>
          <w:szCs w:val="17"/>
          <w:i w:val="1"/>
          <w:iCs w:val="1"/>
          <w:color w:val="auto"/>
        </w:rPr>
        <w:t xml:space="preserve"> Consecutive Quarterly Dividend</w:t>
      </w:r>
    </w:p>
    <w:p>
      <w:pPr>
        <w:spacing w:after="0" w:line="10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New York, NY - June 8, 2016 - ABM (NYSE:ABM), a leading provider of facility solutions, today announced financial results for the second quarter of fiscal 2016.</w:t>
      </w:r>
    </w:p>
    <w:p>
      <w:pPr>
        <w:sectPr>
          <w:pgSz w:w="11900" w:h="16838" w:orient="portrait"/>
          <w:cols w:equalWidth="0" w:num="1">
            <w:col w:w="11440"/>
          </w:cols>
          <w:pgMar w:left="240" w:top="320" w:right="2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1"/>
          <w:szCs w:val="11"/>
          <w:i w:val="1"/>
          <w:iCs w:val="1"/>
          <w:color w:val="auto"/>
        </w:rPr>
        <w:t>($ in millions, except per share amounts)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(unaudited)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Three Months Ended</w:t>
            </w:r>
          </w:p>
        </w:tc>
        <w:tc>
          <w:tcPr>
            <w:tcW w:w="1040" w:type="dxa"/>
            <w:vAlign w:val="bottom"/>
          </w:tcPr>
          <w:p>
            <w:pPr>
              <w:spacing w:after="0"/>
              <w:rPr>
                <w:sz w:val="12"/>
                <w:szCs w:val="12"/>
                <w:color w:val="auto"/>
              </w:rPr>
            </w:pPr>
          </w:p>
        </w:tc>
        <w:tc>
          <w:tcPr>
            <w:tcW w:w="1880" w:type="dxa"/>
            <w:vAlign w:val="bottom"/>
            <w:gridSpan w:val="2"/>
          </w:tcPr>
          <w:p>
            <w:pPr>
              <w:jc w:val="center"/>
              <w:spacing w:after="0"/>
              <w:rPr>
                <w:sz w:val="20"/>
                <w:szCs w:val="20"/>
                <w:color w:val="auto"/>
              </w:rPr>
            </w:pPr>
            <w:r>
              <w:rPr>
                <w:rFonts w:ascii="Arial" w:cs="Arial" w:eastAsia="Arial" w:hAnsi="Arial"/>
                <w:sz w:val="12"/>
                <w:szCs w:val="12"/>
                <w:b w:val="1"/>
                <w:bCs w:val="1"/>
                <w:color w:val="auto"/>
              </w:rPr>
              <w:t>Six Months Ended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619"/>
              <w:spacing w:after="0"/>
              <w:rPr>
                <w:sz w:val="20"/>
                <w:szCs w:val="20"/>
                <w:color w:val="auto"/>
              </w:rPr>
            </w:pPr>
            <w:r>
              <w:rPr>
                <w:rFonts w:ascii="Arial" w:cs="Arial" w:eastAsia="Arial" w:hAnsi="Arial"/>
                <w:sz w:val="12"/>
                <w:szCs w:val="12"/>
                <w:b w:val="1"/>
                <w:bCs w:val="1"/>
                <w:color w:val="auto"/>
              </w:rPr>
              <w:t>April 30,</w:t>
            </w:r>
          </w:p>
        </w:tc>
        <w:tc>
          <w:tcPr>
            <w:tcW w:w="10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Increase/</w:t>
            </w:r>
          </w:p>
        </w:tc>
        <w:tc>
          <w:tcPr>
            <w:tcW w:w="6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559"/>
              <w:spacing w:after="0"/>
              <w:rPr>
                <w:sz w:val="20"/>
                <w:szCs w:val="20"/>
                <w:color w:val="auto"/>
              </w:rPr>
            </w:pPr>
            <w:r>
              <w:rPr>
                <w:rFonts w:ascii="Arial" w:cs="Arial" w:eastAsia="Arial" w:hAnsi="Arial"/>
                <w:sz w:val="12"/>
                <w:szCs w:val="12"/>
                <w:b w:val="1"/>
                <w:bCs w:val="1"/>
                <w:color w:val="auto"/>
              </w:rPr>
              <w:t>April 30,</w:t>
            </w:r>
          </w:p>
        </w:tc>
        <w:tc>
          <w:tcPr>
            <w:tcW w:w="960" w:type="dxa"/>
            <w:vAlign w:val="bottom"/>
            <w:vMerge w:val="restart"/>
          </w:tcPr>
          <w:p>
            <w:pPr>
              <w:jc w:val="center"/>
              <w:ind w:left="39"/>
              <w:spacing w:after="0"/>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60" w:type="dxa"/>
            <w:vAlign w:val="bottom"/>
          </w:tcPr>
          <w:p>
            <w:pPr>
              <w:jc w:val="right"/>
              <w:ind w:right="19"/>
              <w:spacing w:after="0"/>
              <w:rPr>
                <w:sz w:val="20"/>
                <w:szCs w:val="20"/>
                <w:color w:val="auto"/>
              </w:rPr>
            </w:pPr>
            <w:r>
              <w:rPr>
                <w:rFonts w:ascii="Arial" w:cs="Arial" w:eastAsia="Arial" w:hAnsi="Arial"/>
                <w:sz w:val="12"/>
                <w:szCs w:val="12"/>
                <w:b w:val="1"/>
                <w:bCs w:val="1"/>
                <w:color w:val="auto"/>
              </w:rPr>
              <w:t>2016</w:t>
            </w:r>
          </w:p>
        </w:tc>
        <w:tc>
          <w:tcPr>
            <w:tcW w:w="1280" w:type="dxa"/>
            <w:vAlign w:val="bottom"/>
          </w:tcPr>
          <w:p>
            <w:pPr>
              <w:jc w:val="right"/>
              <w:ind w:right="259"/>
              <w:spacing w:after="0"/>
              <w:rPr>
                <w:sz w:val="20"/>
                <w:szCs w:val="20"/>
                <w:color w:val="auto"/>
              </w:rPr>
            </w:pPr>
            <w:r>
              <w:rPr>
                <w:rFonts w:ascii="Arial" w:cs="Arial" w:eastAsia="Arial" w:hAnsi="Arial"/>
                <w:sz w:val="12"/>
                <w:szCs w:val="12"/>
                <w:b w:val="1"/>
                <w:bCs w:val="1"/>
                <w:color w:val="auto"/>
              </w:rPr>
              <w:t>2015</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(Decrease)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2015</w:t>
            </w:r>
          </w:p>
        </w:tc>
        <w:tc>
          <w:tcPr>
            <w:tcW w:w="960" w:type="dxa"/>
            <w:vAlign w:val="bottom"/>
            <w:tcBorders>
              <w:bottom w:val="single" w:sz="8" w:color="auto"/>
            </w:tcBorders>
          </w:tcPr>
          <w:p>
            <w:pPr>
              <w:jc w:val="center"/>
              <w:ind w:left="39"/>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-6985</wp:posOffset>
            </wp:positionV>
            <wp:extent cx="54057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05755" cy="762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4900" w:space="720"/>
            <w:col w:w="5820"/>
          </w:cols>
          <w:pgMar w:left="240" w:top="320" w:right="219" w:bottom="1440" w:gutter="0" w:footer="0" w:header="0"/>
          <w:type w:val="continuous"/>
        </w:sectPr>
      </w:pPr>
    </w:p>
    <w:tbl>
      <w:tblPr>
        <w:tblLayout w:type="fixed"/>
        <w:tblInd w:w="10" w:type="dxa"/>
        <w:tblCellMar>
          <w:top w:w="0" w:type="dxa"/>
          <w:left w:w="0" w:type="dxa"/>
          <w:bottom w:w="0" w:type="dxa"/>
          <w:right w:w="0" w:type="dxa"/>
        </w:tblCellMar>
      </w:tblPr>
      <w:tr>
        <w:trPr>
          <w:trHeight w:val="201"/>
        </w:trPr>
        <w:tc>
          <w:tcPr>
            <w:tcW w:w="4600" w:type="dxa"/>
            <w:vAlign w:val="bottom"/>
            <w:tcBorders>
              <w:top w:val="single" w:sz="8" w:color="auto"/>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Revenues</w:t>
            </w:r>
          </w:p>
        </w:tc>
        <w:tc>
          <w:tcPr>
            <w:tcW w:w="1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1,257.1</w:t>
            </w:r>
          </w:p>
        </w:tc>
        <w:tc>
          <w:tcPr>
            <w:tcW w:w="3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1,176.4</w:t>
            </w:r>
          </w:p>
        </w:tc>
        <w:tc>
          <w:tcPr>
            <w:tcW w:w="8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6.9%</w:t>
            </w: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2,525.5</w:t>
            </w:r>
          </w:p>
        </w:tc>
        <w:tc>
          <w:tcPr>
            <w:tcW w:w="3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2,370.9</w:t>
            </w:r>
          </w:p>
        </w:tc>
        <w:tc>
          <w:tcPr>
            <w:tcW w:w="760" w:type="dxa"/>
            <w:vAlign w:val="bottom"/>
            <w:tcBorders>
              <w:top w:val="single" w:sz="8" w:color="auto"/>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49"/>
        </w:trPr>
        <w:tc>
          <w:tcPr>
            <w:tcW w:w="4600" w:type="dxa"/>
            <w:vAlign w:val="bottom"/>
            <w:tcBorders>
              <w:top w:val="single" w:sz="8" w:color="auto"/>
              <w:bottom w:val="single" w:sz="8" w:color="auto"/>
            </w:tcBorders>
          </w:tcPr>
          <w:p>
            <w:pPr>
              <w:spacing w:after="0"/>
              <w:rPr>
                <w:sz w:val="4"/>
                <w:szCs w:val="4"/>
                <w:color w:val="auto"/>
              </w:rPr>
            </w:pPr>
          </w:p>
        </w:tc>
        <w:tc>
          <w:tcPr>
            <w:tcW w:w="124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880" w:type="dxa"/>
            <w:vAlign w:val="bottom"/>
            <w:tcBorders>
              <w:top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6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2"/>
                <w:szCs w:val="12"/>
                <w:color w:val="auto"/>
              </w:rPr>
              <w:t>Operating profit</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11.8</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27.2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25.4</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44.0</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(42.2)%</w:t>
            </w:r>
          </w:p>
        </w:tc>
        <w:tc>
          <w:tcPr>
            <w:tcW w:w="0" w:type="dxa"/>
            <w:vAlign w:val="bottom"/>
          </w:tcPr>
          <w:p>
            <w:pPr>
              <w:spacing w:after="0"/>
              <w:rPr>
                <w:sz w:val="1"/>
                <w:szCs w:val="1"/>
                <w:color w:val="auto"/>
              </w:rPr>
            </w:pPr>
          </w:p>
        </w:tc>
      </w:tr>
      <w:tr>
        <w:trPr>
          <w:trHeight w:val="49"/>
        </w:trPr>
        <w:tc>
          <w:tcPr>
            <w:tcW w:w="46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60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shd w:val="clear" w:color="auto" w:fill="CCEEFF"/>
              </w:rPr>
              <w:t>Income from continuing operations</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6.8</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16.0</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20.4</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30.3</w:t>
            </w: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51"/>
        </w:trPr>
        <w:tc>
          <w:tcPr>
            <w:tcW w:w="4600" w:type="dxa"/>
            <w:vAlign w:val="bottom"/>
            <w:tcBorders>
              <w:left w:val="single" w:sz="8" w:color="auto"/>
            </w:tcBorders>
          </w:tcPr>
          <w:p>
            <w:pPr>
              <w:ind w:left="60"/>
              <w:spacing w:after="0"/>
              <w:rPr>
                <w:sz w:val="20"/>
                <w:szCs w:val="20"/>
                <w:color w:val="auto"/>
              </w:rPr>
            </w:pPr>
            <w:r>
              <w:rPr>
                <w:rFonts w:ascii="Arial" w:cs="Arial" w:eastAsia="Arial" w:hAnsi="Arial"/>
                <w:sz w:val="12"/>
                <w:szCs w:val="12"/>
                <w:color w:val="auto"/>
              </w:rPr>
              <w:t>Income from continuing operations per diluted share</w:t>
            </w:r>
          </w:p>
        </w:tc>
        <w:tc>
          <w:tcPr>
            <w:tcW w:w="124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79"/>
              <w:spacing w:after="0"/>
              <w:rPr>
                <w:sz w:val="20"/>
                <w:szCs w:val="20"/>
                <w:color w:val="auto"/>
              </w:rPr>
            </w:pPr>
            <w:r>
              <w:rPr>
                <w:rFonts w:ascii="Arial" w:cs="Arial" w:eastAsia="Arial" w:hAnsi="Arial"/>
                <w:sz w:val="12"/>
                <w:szCs w:val="12"/>
                <w:color w:val="auto"/>
              </w:rPr>
              <w:t>0.12</w:t>
            </w:r>
          </w:p>
        </w:tc>
        <w:tc>
          <w:tcPr>
            <w:tcW w:w="3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99"/>
              <w:spacing w:after="0"/>
              <w:rPr>
                <w:sz w:val="20"/>
                <w:szCs w:val="20"/>
                <w:color w:val="auto"/>
              </w:rPr>
            </w:pPr>
            <w:r>
              <w:rPr>
                <w:rFonts w:ascii="Arial" w:cs="Arial" w:eastAsia="Arial" w:hAnsi="Arial"/>
                <w:sz w:val="12"/>
                <w:szCs w:val="12"/>
                <w:color w:val="auto"/>
              </w:rPr>
              <w:t>0.28</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(57.1)%</w:t>
            </w:r>
          </w:p>
        </w:tc>
        <w:tc>
          <w:tcPr>
            <w:tcW w:w="28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59"/>
              <w:spacing w:after="0"/>
              <w:rPr>
                <w:sz w:val="20"/>
                <w:szCs w:val="20"/>
                <w:color w:val="auto"/>
              </w:rPr>
            </w:pPr>
            <w:r>
              <w:rPr>
                <w:rFonts w:ascii="Arial" w:cs="Arial" w:eastAsia="Arial" w:hAnsi="Arial"/>
                <w:sz w:val="12"/>
                <w:szCs w:val="12"/>
                <w:color w:val="auto"/>
              </w:rPr>
              <w:t>0.36</w:t>
            </w:r>
          </w:p>
        </w:tc>
        <w:tc>
          <w:tcPr>
            <w:tcW w:w="30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259"/>
              <w:spacing w:after="0"/>
              <w:rPr>
                <w:sz w:val="20"/>
                <w:szCs w:val="20"/>
                <w:color w:val="auto"/>
              </w:rPr>
            </w:pPr>
            <w:r>
              <w:rPr>
                <w:rFonts w:ascii="Arial" w:cs="Arial" w:eastAsia="Arial" w:hAnsi="Arial"/>
                <w:sz w:val="12"/>
                <w:szCs w:val="12"/>
                <w:color w:val="auto"/>
              </w:rPr>
              <w:t>0.53</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33"/>
        </w:trPr>
        <w:tc>
          <w:tcPr>
            <w:tcW w:w="460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vMerge w:val="continue"/>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320" w:type="dxa"/>
            <w:vAlign w:val="bottom"/>
            <w:tcBorders>
              <w:bottom w:val="single" w:sz="8" w:color="auto"/>
            </w:tcBorders>
            <w:vMerge w:val="continue"/>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280" w:type="dxa"/>
            <w:vAlign w:val="bottom"/>
            <w:tcBorders>
              <w:bottom w:val="single" w:sz="8" w:color="auto"/>
            </w:tcBorders>
            <w:vMerge w:val="continue"/>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76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46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60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shd w:val="clear" w:color="auto" w:fill="CCEEFF"/>
              </w:rPr>
              <w:t>Adjusted income from continuing operations</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17.7</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19.0</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39.3</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37.2</w:t>
            </w:r>
          </w:p>
        </w:tc>
        <w:tc>
          <w:tcPr>
            <w:tcW w:w="7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51"/>
        </w:trPr>
        <w:tc>
          <w:tcPr>
            <w:tcW w:w="4600" w:type="dxa"/>
            <w:vAlign w:val="bottom"/>
            <w:tcBorders>
              <w:left w:val="single" w:sz="8" w:color="auto"/>
            </w:tcBorders>
          </w:tcPr>
          <w:p>
            <w:pPr>
              <w:ind w:left="60"/>
              <w:spacing w:after="0"/>
              <w:rPr>
                <w:sz w:val="20"/>
                <w:szCs w:val="20"/>
                <w:color w:val="auto"/>
              </w:rPr>
            </w:pPr>
            <w:r>
              <w:rPr>
                <w:rFonts w:ascii="Arial" w:cs="Arial" w:eastAsia="Arial" w:hAnsi="Arial"/>
                <w:sz w:val="12"/>
                <w:szCs w:val="12"/>
                <w:color w:val="auto"/>
              </w:rPr>
              <w:t>Adjusted income from continuing operations per diluted share</w:t>
            </w:r>
          </w:p>
        </w:tc>
        <w:tc>
          <w:tcPr>
            <w:tcW w:w="124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79"/>
              <w:spacing w:after="0"/>
              <w:rPr>
                <w:sz w:val="20"/>
                <w:szCs w:val="20"/>
                <w:color w:val="auto"/>
              </w:rPr>
            </w:pPr>
            <w:r>
              <w:rPr>
                <w:rFonts w:ascii="Arial" w:cs="Arial" w:eastAsia="Arial" w:hAnsi="Arial"/>
                <w:sz w:val="12"/>
                <w:szCs w:val="12"/>
                <w:color w:val="auto"/>
              </w:rPr>
              <w:t>0.31</w:t>
            </w:r>
          </w:p>
        </w:tc>
        <w:tc>
          <w:tcPr>
            <w:tcW w:w="3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99"/>
              <w:spacing w:after="0"/>
              <w:rPr>
                <w:sz w:val="20"/>
                <w:szCs w:val="20"/>
                <w:color w:val="auto"/>
              </w:rPr>
            </w:pPr>
            <w:r>
              <w:rPr>
                <w:rFonts w:ascii="Arial" w:cs="Arial" w:eastAsia="Arial" w:hAnsi="Arial"/>
                <w:sz w:val="12"/>
                <w:szCs w:val="12"/>
                <w:color w:val="auto"/>
              </w:rPr>
              <w:t>0.33</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(6.1)%</w:t>
            </w:r>
          </w:p>
        </w:tc>
        <w:tc>
          <w:tcPr>
            <w:tcW w:w="28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59"/>
              <w:spacing w:after="0"/>
              <w:rPr>
                <w:sz w:val="20"/>
                <w:szCs w:val="20"/>
                <w:color w:val="auto"/>
              </w:rPr>
            </w:pPr>
            <w:r>
              <w:rPr>
                <w:rFonts w:ascii="Arial" w:cs="Arial" w:eastAsia="Arial" w:hAnsi="Arial"/>
                <w:sz w:val="12"/>
                <w:szCs w:val="12"/>
                <w:color w:val="auto"/>
              </w:rPr>
              <w:t>0.69</w:t>
            </w:r>
          </w:p>
        </w:tc>
        <w:tc>
          <w:tcPr>
            <w:tcW w:w="30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259"/>
              <w:spacing w:after="0"/>
              <w:rPr>
                <w:sz w:val="20"/>
                <w:szCs w:val="20"/>
                <w:color w:val="auto"/>
              </w:rPr>
            </w:pPr>
            <w:r>
              <w:rPr>
                <w:rFonts w:ascii="Arial" w:cs="Arial" w:eastAsia="Arial" w:hAnsi="Arial"/>
                <w:sz w:val="12"/>
                <w:szCs w:val="12"/>
                <w:color w:val="auto"/>
              </w:rPr>
              <w:t>0.65</w:t>
            </w:r>
          </w:p>
        </w:tc>
        <w:tc>
          <w:tcPr>
            <w:tcW w:w="76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33"/>
        </w:trPr>
        <w:tc>
          <w:tcPr>
            <w:tcW w:w="460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vMerge w:val="continue"/>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320" w:type="dxa"/>
            <w:vAlign w:val="bottom"/>
            <w:tcBorders>
              <w:bottom w:val="single" w:sz="8" w:color="auto"/>
            </w:tcBorders>
            <w:vMerge w:val="continue"/>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280" w:type="dxa"/>
            <w:vAlign w:val="bottom"/>
            <w:tcBorders>
              <w:bottom w:val="single" w:sz="8" w:color="auto"/>
            </w:tcBorders>
            <w:vMerge w:val="continue"/>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76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46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60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shd w:val="clear" w:color="auto" w:fill="CCEEFF"/>
              </w:rPr>
              <w:t>Net income</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4.4</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18.3</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18.4</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36.0</w:t>
            </w: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(49.1)%</w:t>
            </w:r>
          </w:p>
        </w:tc>
        <w:tc>
          <w:tcPr>
            <w:tcW w:w="0" w:type="dxa"/>
            <w:vAlign w:val="bottom"/>
          </w:tcPr>
          <w:p>
            <w:pPr>
              <w:spacing w:after="0"/>
              <w:rPr>
                <w:sz w:val="1"/>
                <w:szCs w:val="1"/>
                <w:color w:val="auto"/>
              </w:rPr>
            </w:pPr>
          </w:p>
        </w:tc>
      </w:tr>
      <w:tr>
        <w:trPr>
          <w:trHeight w:val="151"/>
        </w:trPr>
        <w:tc>
          <w:tcPr>
            <w:tcW w:w="4600" w:type="dxa"/>
            <w:vAlign w:val="bottom"/>
            <w:tcBorders>
              <w:left w:val="single" w:sz="8" w:color="auto"/>
            </w:tcBorders>
          </w:tcPr>
          <w:p>
            <w:pPr>
              <w:ind w:left="60"/>
              <w:spacing w:after="0"/>
              <w:rPr>
                <w:sz w:val="20"/>
                <w:szCs w:val="20"/>
                <w:color w:val="auto"/>
              </w:rPr>
            </w:pPr>
            <w:r>
              <w:rPr>
                <w:rFonts w:ascii="Arial" w:cs="Arial" w:eastAsia="Arial" w:hAnsi="Arial"/>
                <w:sz w:val="12"/>
                <w:szCs w:val="12"/>
                <w:color w:val="auto"/>
              </w:rPr>
              <w:t>Net income per diluted share</w:t>
            </w:r>
          </w:p>
        </w:tc>
        <w:tc>
          <w:tcPr>
            <w:tcW w:w="124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79"/>
              <w:spacing w:after="0"/>
              <w:rPr>
                <w:sz w:val="20"/>
                <w:szCs w:val="20"/>
                <w:color w:val="auto"/>
              </w:rPr>
            </w:pPr>
            <w:r>
              <w:rPr>
                <w:rFonts w:ascii="Arial" w:cs="Arial" w:eastAsia="Arial" w:hAnsi="Arial"/>
                <w:sz w:val="12"/>
                <w:szCs w:val="12"/>
                <w:color w:val="auto"/>
              </w:rPr>
              <w:t>0.08</w:t>
            </w:r>
          </w:p>
        </w:tc>
        <w:tc>
          <w:tcPr>
            <w:tcW w:w="3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99"/>
              <w:spacing w:after="0"/>
              <w:rPr>
                <w:sz w:val="20"/>
                <w:szCs w:val="20"/>
                <w:color w:val="auto"/>
              </w:rPr>
            </w:pPr>
            <w:r>
              <w:rPr>
                <w:rFonts w:ascii="Arial" w:cs="Arial" w:eastAsia="Arial" w:hAnsi="Arial"/>
                <w:sz w:val="12"/>
                <w:szCs w:val="12"/>
                <w:color w:val="auto"/>
              </w:rPr>
              <w:t>0.32</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(75.0)%</w:t>
            </w:r>
          </w:p>
        </w:tc>
        <w:tc>
          <w:tcPr>
            <w:tcW w:w="28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59"/>
              <w:spacing w:after="0"/>
              <w:rPr>
                <w:sz w:val="20"/>
                <w:szCs w:val="20"/>
                <w:color w:val="auto"/>
              </w:rPr>
            </w:pPr>
            <w:r>
              <w:rPr>
                <w:rFonts w:ascii="Arial" w:cs="Arial" w:eastAsia="Arial" w:hAnsi="Arial"/>
                <w:sz w:val="12"/>
                <w:szCs w:val="12"/>
                <w:color w:val="auto"/>
              </w:rPr>
              <w:t>0.32</w:t>
            </w:r>
          </w:p>
        </w:tc>
        <w:tc>
          <w:tcPr>
            <w:tcW w:w="30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259"/>
              <w:spacing w:after="0"/>
              <w:rPr>
                <w:sz w:val="20"/>
                <w:szCs w:val="20"/>
                <w:color w:val="auto"/>
              </w:rPr>
            </w:pPr>
            <w:r>
              <w:rPr>
                <w:rFonts w:ascii="Arial" w:cs="Arial" w:eastAsia="Arial" w:hAnsi="Arial"/>
                <w:sz w:val="12"/>
                <w:szCs w:val="12"/>
                <w:color w:val="auto"/>
              </w:rPr>
              <w:t>0.63</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(49.2)%</w:t>
            </w:r>
          </w:p>
        </w:tc>
        <w:tc>
          <w:tcPr>
            <w:tcW w:w="0" w:type="dxa"/>
            <w:vAlign w:val="bottom"/>
          </w:tcPr>
          <w:p>
            <w:pPr>
              <w:spacing w:after="0"/>
              <w:rPr>
                <w:sz w:val="1"/>
                <w:szCs w:val="1"/>
                <w:color w:val="auto"/>
              </w:rPr>
            </w:pPr>
          </w:p>
        </w:tc>
      </w:tr>
      <w:tr>
        <w:trPr>
          <w:trHeight w:val="33"/>
        </w:trPr>
        <w:tc>
          <w:tcPr>
            <w:tcW w:w="460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vMerge w:val="continue"/>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320" w:type="dxa"/>
            <w:vAlign w:val="bottom"/>
            <w:tcBorders>
              <w:bottom w:val="single" w:sz="8" w:color="auto"/>
            </w:tcBorders>
            <w:vMerge w:val="continue"/>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280" w:type="dxa"/>
            <w:vAlign w:val="bottom"/>
            <w:tcBorders>
              <w:bottom w:val="single" w:sz="8" w:color="auto"/>
            </w:tcBorders>
            <w:vMerge w:val="continue"/>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76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46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60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shd w:val="clear" w:color="auto" w:fill="CCEEFF"/>
              </w:rPr>
              <w:t>Net cash provided by operating activities of continuing operations</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86.7</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66.6</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30.2%</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78.5</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39.9</w:t>
            </w:r>
          </w:p>
        </w:tc>
        <w:tc>
          <w:tcPr>
            <w:tcW w:w="7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96.7%</w:t>
            </w:r>
          </w:p>
        </w:tc>
        <w:tc>
          <w:tcPr>
            <w:tcW w:w="0" w:type="dxa"/>
            <w:vAlign w:val="bottom"/>
          </w:tcPr>
          <w:p>
            <w:pPr>
              <w:spacing w:after="0"/>
              <w:rPr>
                <w:sz w:val="1"/>
                <w:szCs w:val="1"/>
                <w:color w:val="auto"/>
              </w:rPr>
            </w:pPr>
          </w:p>
        </w:tc>
      </w:tr>
      <w:tr>
        <w:trPr>
          <w:trHeight w:val="49"/>
        </w:trPr>
        <w:tc>
          <w:tcPr>
            <w:tcW w:w="46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600" w:type="dxa"/>
            <w:vAlign w:val="bottom"/>
            <w:tcBorders>
              <w:left w:val="single" w:sz="8" w:color="auto"/>
            </w:tcBorders>
          </w:tcPr>
          <w:p>
            <w:pPr>
              <w:ind w:left="60"/>
              <w:spacing w:after="0"/>
              <w:rPr>
                <w:sz w:val="20"/>
                <w:szCs w:val="20"/>
                <w:color w:val="auto"/>
              </w:rPr>
            </w:pPr>
            <w:r>
              <w:rPr>
                <w:rFonts w:ascii="Arial" w:cs="Arial" w:eastAsia="Arial" w:hAnsi="Arial"/>
                <w:sz w:val="12"/>
                <w:szCs w:val="12"/>
                <w:color w:val="auto"/>
              </w:rPr>
              <w:t>Adjusted EBITDA</w:t>
            </w:r>
          </w:p>
        </w:tc>
        <w:tc>
          <w:tcPr>
            <w:tcW w:w="124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79"/>
              <w:spacing w:after="0"/>
              <w:rPr>
                <w:sz w:val="20"/>
                <w:szCs w:val="20"/>
                <w:color w:val="auto"/>
              </w:rPr>
            </w:pPr>
            <w:r>
              <w:rPr>
                <w:rFonts w:ascii="Arial" w:cs="Arial" w:eastAsia="Arial" w:hAnsi="Arial"/>
                <w:sz w:val="12"/>
                <w:szCs w:val="12"/>
                <w:color w:val="auto"/>
              </w:rPr>
              <w:t>46.0</w:t>
            </w:r>
          </w:p>
        </w:tc>
        <w:tc>
          <w:tcPr>
            <w:tcW w:w="3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99"/>
              <w:spacing w:after="0"/>
              <w:rPr>
                <w:sz w:val="20"/>
                <w:szCs w:val="20"/>
                <w:color w:val="auto"/>
              </w:rPr>
            </w:pPr>
            <w:r>
              <w:rPr>
                <w:rFonts w:ascii="Arial" w:cs="Arial" w:eastAsia="Arial" w:hAnsi="Arial"/>
                <w:sz w:val="12"/>
                <w:szCs w:val="12"/>
                <w:color w:val="auto"/>
              </w:rPr>
              <w:t>48.7</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(5.5)%</w:t>
            </w:r>
          </w:p>
        </w:tc>
        <w:tc>
          <w:tcPr>
            <w:tcW w:w="28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59"/>
              <w:spacing w:after="0"/>
              <w:rPr>
                <w:sz w:val="20"/>
                <w:szCs w:val="20"/>
                <w:color w:val="auto"/>
              </w:rPr>
            </w:pPr>
            <w:r>
              <w:rPr>
                <w:rFonts w:ascii="Arial" w:cs="Arial" w:eastAsia="Arial" w:hAnsi="Arial"/>
                <w:sz w:val="12"/>
                <w:szCs w:val="12"/>
                <w:color w:val="auto"/>
              </w:rPr>
              <w:t>89.7</w:t>
            </w:r>
          </w:p>
        </w:tc>
        <w:tc>
          <w:tcPr>
            <w:tcW w:w="300" w:type="dxa"/>
            <w:vAlign w:val="bottom"/>
            <w:vMerge w:val="restart"/>
          </w:tcPr>
          <w:p>
            <w:pPr>
              <w:jc w:val="right"/>
              <w:ind w:right="79"/>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259"/>
              <w:spacing w:after="0"/>
              <w:rPr>
                <w:sz w:val="20"/>
                <w:szCs w:val="20"/>
                <w:color w:val="auto"/>
              </w:rPr>
            </w:pPr>
            <w:r>
              <w:rPr>
                <w:rFonts w:ascii="Arial" w:cs="Arial" w:eastAsia="Arial" w:hAnsi="Arial"/>
                <w:sz w:val="12"/>
                <w:szCs w:val="12"/>
                <w:color w:val="auto"/>
              </w:rPr>
              <w:t>87.5</w:t>
            </w:r>
          </w:p>
        </w:tc>
        <w:tc>
          <w:tcPr>
            <w:tcW w:w="76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33"/>
        </w:trPr>
        <w:tc>
          <w:tcPr>
            <w:tcW w:w="4600" w:type="dxa"/>
            <w:vAlign w:val="bottom"/>
            <w:tcBorders>
              <w:left w:val="single" w:sz="8" w:color="auto"/>
            </w:tcBorders>
          </w:tcPr>
          <w:p>
            <w:pPr>
              <w:spacing w:after="0"/>
              <w:rPr>
                <w:sz w:val="2"/>
                <w:szCs w:val="2"/>
                <w:color w:val="auto"/>
              </w:rPr>
            </w:pPr>
          </w:p>
        </w:tc>
        <w:tc>
          <w:tcPr>
            <w:tcW w:w="12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7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60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shd w:val="clear" w:color="auto" w:fill="CCEEFF"/>
              </w:rPr>
              <w:t>Adjusted EBITDA margin</w:t>
            </w:r>
          </w:p>
        </w:tc>
        <w:tc>
          <w:tcPr>
            <w:tcW w:w="1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3.7%</w:t>
            </w:r>
          </w:p>
        </w:tc>
        <w:tc>
          <w:tcPr>
            <w:tcW w:w="3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2"/>
                <w:szCs w:val="12"/>
                <w:color w:val="auto"/>
              </w:rPr>
              <w:t>4.1%</w:t>
            </w: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2"/>
                <w:szCs w:val="12"/>
                <w:color w:val="auto"/>
              </w:rPr>
              <w:t>(48) bps</w:t>
            </w:r>
          </w:p>
        </w:tc>
        <w:tc>
          <w:tcPr>
            <w:tcW w:w="2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3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2"/>
                <w:szCs w:val="12"/>
                <w:color w:val="auto"/>
              </w:rPr>
              <w:t>3.7%</w:t>
            </w:r>
          </w:p>
        </w:tc>
        <w:tc>
          <w:tcPr>
            <w:tcW w:w="760" w:type="dxa"/>
            <w:vAlign w:val="bottom"/>
            <w:tcBorders>
              <w:bottom w:val="single" w:sz="8" w:color="CCEEFF"/>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(14) bps</w:t>
            </w:r>
          </w:p>
        </w:tc>
        <w:tc>
          <w:tcPr>
            <w:tcW w:w="0" w:type="dxa"/>
            <w:vAlign w:val="bottom"/>
          </w:tcPr>
          <w:p>
            <w:pPr>
              <w:spacing w:after="0"/>
              <w:rPr>
                <w:sz w:val="1"/>
                <w:szCs w:val="1"/>
                <w:color w:val="auto"/>
              </w:rPr>
            </w:pPr>
          </w:p>
        </w:tc>
      </w:tr>
      <w:tr>
        <w:trPr>
          <w:trHeight w:val="20"/>
        </w:trPr>
        <w:tc>
          <w:tcPr>
            <w:tcW w:w="4600" w:type="dxa"/>
            <w:vAlign w:val="bottom"/>
            <w:tcBorders>
              <w:left w:val="single" w:sz="8" w:color="auto"/>
            </w:tcBorders>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2"/>
          <w:szCs w:val="12"/>
          <w:color w:val="auto"/>
        </w:rPr>
        <w:t>This release refers to certain non-GAAP financial measures described as “Adjusted EBITDA”, “Adjusted income from continuing operations,” and “Adjusted income from continuing operations per diluted share”. These adjustments have been made with the intent of providing financial measures that give management and investors a better understanding of underlying operational results and trends as well as the Company’s operational performance. Management also uses Adjusted EBITDA as a basis for planning and forecasting future periods. Please refer to the accompanying financial schedules for supplemental financial data and corresponding reconciliation of these non-GAAP financial measures to certain GAAP financial measures. We round amounts in these schedules to millions and calculate all percentages and per-share data from the underlying whole-dollar amounts. As a result, certain amounts may not foot, crossfoot, or recalculate based on reported numbers due to rounding.</w:t>
      </w:r>
    </w:p>
    <w:p>
      <w:pPr>
        <w:spacing w:after="0" w:line="33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2663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color w:val="auto"/>
        </w:rPr>
        <w:t>Second Quarter Performance</w:t>
      </w:r>
    </w:p>
    <w:p>
      <w:pPr>
        <w:spacing w:after="0" w:line="19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For the second quarter of fiscal 2016, revenues of approximately $1.3 billion increased 6.9% compared to the second quarter of fiscal 2015. This was due primarily to strong organic growth within the Company's Janitorial segment driven by both increased Work Order (tag) sales and an increase in scope of work with existing accounts. Revenues also benefited from higher growth within the ABES (Technical Services) business. Organic revenue increased 4.0% compared to the second quarter of fiscal 2015.</w:t>
      </w:r>
    </w:p>
    <w:p>
      <w:pPr>
        <w:spacing w:after="0" w:line="16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On a GAAP basis, income from continuing operations was $6.8 million, or $0.12 per diluted share, compared to income from continuing operations of $16.0 million, or $0.28 per diluted share last year. Adjusted income from continuing operations for the second quarter of 2016 was $17.7 million, or $0.31 per diluted share, compared to $19.0 million, or $0.33 per diluted share for the second quarter of fiscal 2015. The decrease versus last year is attributable to higher insurance-related expenses, and one additional working day during the quarter. These expenses were partially offset by tag revenue within the Janitorial segment, higher revenue contribution from the ABES business, and the Company's 2020 Vision Savings initiatives.</w:t>
      </w:r>
    </w:p>
    <w:p>
      <w:pPr>
        <w:spacing w:after="0" w:line="16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Total net income for the second quarter of 2016 was $4.4 million, or $0.08 per diluted share, compared to net income of $18.3 million, or $0.32 per diluted share last year. Impacting total net income for the second quarter of 2016 was $10.9 million related to certain corporate items impacting comparability primarily driven by restructuring and related charges and litigation and other settlements. A full reconciliation of items impacting comparability can be found in the "Reconciliation of Non-GAAP Financial Measures" table.</w:t>
      </w:r>
    </w:p>
    <w:p>
      <w:pPr>
        <w:spacing w:after="0" w:line="16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Adjusted EBITDA for the quarter was $46.0 million compared to $48.7 million in the second quarter of fiscal 2015 due to the aforementioned factors that impacted adjusted income from continuing operations. Adjusted EBITDA margin for the quarter was 3.7% versus 4.1% last year.</w:t>
      </w:r>
    </w:p>
    <w:p>
      <w:pPr>
        <w:spacing w:after="0" w:line="168"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Scott Salmirs, President and Chief Executive Officer of ABM Industries, commented, "I am pleased with our financial performance despite the expected impact of insurance and one extra working day during the quarter. We successfully completed Phase I of our 2020 Vision transformation, and I am proud that we delivered on our goal of designing an organizational structure to support our 2020 Vision. Additionally, we are pleased to have delivered 2020 Vision savings at the high end of our projection for the first half of 2016. We are well on our way to achieving a run rate of $40 million to $50 million in operational efficiencies by the end of 2017."</w:t>
      </w:r>
    </w:p>
    <w:p>
      <w:pPr>
        <w:spacing w:after="0" w:line="167"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Mr. Salmirs continued, "As we embark on the second phase of our 2020 Vision initiative, we are focused on developing the plans, tools and processes that will accelerate the impact of our new organizational structure and deliver EBITDA margin improvement."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Results</w:t>
      </w:r>
    </w:p>
    <w:p>
      <w:pPr>
        <w:spacing w:after="0" w:line="19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For the second quarter of fiscal 2016, revenues increased by $ 80.7 million, or 6.9%, compared to the second quarter of fiscal 2015. This increase in revenues was attributable to organic growth stemming from tag sales and expansions of existing accounts within the Janitorial segment and Other (Air Serv) operations. Revenues were also driven by higher technical services revenues due to a strong backlog from the first quarter. In addition, acquisitions provided $34.0 million of incremental revenues during the quarter primarily related to the Company's Westway acquisition in the United Kingdom, which is reflected in the Building &amp; Energy Solutions segment.</w:t>
      </w: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26630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sectPr>
      </w:pPr>
    </w:p>
    <w:bookmarkStart w:id="6" w:name="page7"/>
    <w:bookmarkEnd w:id="6"/>
    <w:p>
      <w:pPr>
        <w:jc w:val="both"/>
        <w:spacing w:after="0" w:line="232" w:lineRule="auto"/>
        <w:rPr>
          <w:sz w:val="20"/>
          <w:szCs w:val="20"/>
          <w:color w:val="auto"/>
        </w:rPr>
      </w:pPr>
      <w:r>
        <w:rPr>
          <w:rFonts w:ascii="Arial" w:cs="Arial" w:eastAsia="Arial" w:hAnsi="Arial"/>
          <w:sz w:val="17"/>
          <w:szCs w:val="17"/>
          <w:color w:val="auto"/>
        </w:rPr>
        <w:t>Operating profit for the quarter was $11.8 million compared to $27.2 million in the second quarter of fiscal 2015. Higher revenues and better contract mix within the Janitorial segment and higher contribution from the ABES business partially offset the decline in operating profit for the second quarter of fiscal 2016. Operating profit was adversely impacted by higher insurance related expenses, one additional working day in the quarter, and certain corporate items impacting comparability (refer to Reconciliations of Non-GAAP Financial Measures).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&amp; Capital Structure</w:t>
      </w:r>
    </w:p>
    <w:p>
      <w:pPr>
        <w:spacing w:after="0" w:line="194"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The Company ended the quarter with total debt, including standby letters of credit, of $336.5 million. Total debt to proforma adjusted EBITDA was approximately 1.6x.</w:t>
      </w:r>
    </w:p>
    <w:p>
      <w:pPr>
        <w:spacing w:after="0" w:line="168"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During the quarter, the Company repurchased approximately 0.3 million shares of common stock for $10.2 million. As of April 30, 2016, the Company had $167.1 million of remaining buyback availability under the $200.0 million share repurchase program.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Company paid a quarterly cash dividend of $0.165 per common share for a total distribution of $9.3 million.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Declaration of Quarterly Cash Dividend</w:t>
      </w:r>
    </w:p>
    <w:p>
      <w:pPr>
        <w:spacing w:after="0" w:line="194"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The Company also announced that the Board of Directors has declared a cash dividend of $0.165 per common share for the third quarter of fiscal 2016 payable on August 1, 2016 to shareholders of record on July 7, 2016. This will be the Company's 201st consecutive quarterly cash dividend.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2016 Guidance</w:t>
      </w:r>
    </w:p>
    <w:p>
      <w:pPr>
        <w:spacing w:after="0" w:line="194"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The Company now expects GAAP income from continuing operations of $1.07 to $1.17 per diluted share for fiscal year 2016, or adjusted income from continuing operations of $1.55 to $1.65 per diluted share. This increased guidance is due to the benefit of timing associated with the 2020 Vision Initiative and other strategic project investments that have not yet occurred. This guidance excludes any potential benefits associated with certain discrete tax items that would impact the Company's effective tax rate.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Information</w:t>
      </w:r>
    </w:p>
    <w:p>
      <w:pPr>
        <w:spacing w:after="0" w:line="19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ABM will host its quarterly conference call for all interested parties on Thursday, June 9, 2016 at 8:30 AM (ET). The live conference call can be accessed via audio webcast at the "Investors" section of the Company's website, located at www.abm.com, or by dialing (877) 664-7395 approximately 15 minutes prior to the scheduled time.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 supplemental presentation will accompany the webcast on the Company's website.</w:t>
      </w:r>
    </w:p>
    <w:p>
      <w:pPr>
        <w:spacing w:after="0" w:line="174"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A replay will be available approximately two hours after the recording through June 17, 2016 and can be accessed by dialing (855) 859-2056 and then entering ID #13170692. An archive will also be available on the ABM website for 90 days.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0046AC"/>
        </w:rPr>
        <w:t>ABOUT ABM</w:t>
      </w:r>
    </w:p>
    <w:p>
      <w:pPr>
        <w:spacing w:after="0" w:line="17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ABM (</w:t>
      </w:r>
      <w:r>
        <w:rPr>
          <w:rFonts w:ascii="Arial" w:cs="Arial" w:eastAsia="Arial" w:hAnsi="Arial"/>
          <w:sz w:val="17"/>
          <w:szCs w:val="17"/>
          <w:u w:val="single" w:color="auto"/>
          <w:color w:val="0563C1"/>
        </w:rPr>
        <w:t>NYSE: ABM</w:t>
      </w:r>
      <w:r>
        <w:rPr>
          <w:rFonts w:ascii="Arial" w:cs="Arial" w:eastAsia="Arial" w:hAnsi="Arial"/>
          <w:sz w:val="17"/>
          <w:szCs w:val="17"/>
          <w:color w:val="auto"/>
        </w:rPr>
        <w:t>) is a leading provider of facility solutions with revenues of approximately $4.9 billion and over 100,000 employees in 300+ offices throughout the United States and various international locations. ABM’s comprehensive capabilities include janitorial, electrical &amp; lighting, energy solutions,</w:t>
      </w: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2663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805" w:right="219" w:bottom="1440" w:gutter="0" w:footer="0" w:header="0"/>
        </w:sectPr>
      </w:pPr>
    </w:p>
    <w:bookmarkStart w:id="7" w:name="page8"/>
    <w:bookmarkEnd w:id="7"/>
    <w:p>
      <w:pPr>
        <w:jc w:val="both"/>
        <w:spacing w:after="0" w:line="232" w:lineRule="auto"/>
        <w:rPr>
          <w:sz w:val="20"/>
          <w:szCs w:val="20"/>
          <w:color w:val="auto"/>
        </w:rPr>
      </w:pPr>
      <w:r>
        <w:rPr>
          <w:rFonts w:ascii="Arial" w:cs="Arial" w:eastAsia="Arial" w:hAnsi="Arial"/>
          <w:sz w:val="17"/>
          <w:szCs w:val="17"/>
          <w:color w:val="auto"/>
        </w:rPr>
        <w:t xml:space="preserve">facilities engineering, HVAC &amp; mechanical, landscape &amp; turf, mission critical solutions and parking, provided through stand-alone or integrated solutions. ABM provides custom facility solutions in urban, suburban and rural areas to properties of all sizes - from schools and commercial buildings to hospitals, data centers, manufacturing plants and airports. ABM Industries Incorporated, which operates through its subsidiaries, was founded in 1909. For more information, visit </w:t>
      </w:r>
      <w:r>
        <w:rPr>
          <w:rFonts w:ascii="Arial" w:cs="Arial" w:eastAsia="Arial" w:hAnsi="Arial"/>
          <w:sz w:val="17"/>
          <w:szCs w:val="17"/>
          <w:u w:val="single" w:color="auto"/>
          <w:color w:val="0563C1"/>
        </w:rPr>
        <w:t>www.abm.com</w:t>
      </w:r>
      <w:r>
        <w:rPr>
          <w:rFonts w:ascii="Arial" w:cs="Arial" w:eastAsia="Arial" w:hAnsi="Arial"/>
          <w:sz w:val="17"/>
          <w:szCs w:val="17"/>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Cautionary Statement under the Private Securities Litigation Reform Act of 1995</w:t>
      </w:r>
    </w:p>
    <w:p>
      <w:pPr>
        <w:spacing w:after="0" w:line="187" w:lineRule="exact"/>
        <w:rPr>
          <w:sz w:val="20"/>
          <w:szCs w:val="20"/>
          <w:color w:val="auto"/>
        </w:rPr>
      </w:pPr>
    </w:p>
    <w:p>
      <w:pPr>
        <w:jc w:val="both"/>
        <w:spacing w:after="0" w:line="242" w:lineRule="auto"/>
        <w:rPr>
          <w:sz w:val="20"/>
          <w:szCs w:val="20"/>
          <w:color w:val="auto"/>
        </w:rPr>
      </w:pPr>
      <w:r>
        <w:rPr>
          <w:rFonts w:ascii="Arial" w:cs="Arial" w:eastAsia="Arial" w:hAnsi="Arial"/>
          <w:sz w:val="12"/>
          <w:szCs w:val="12"/>
          <w:i w:val="1"/>
          <w:iCs w:val="1"/>
          <w:color w:val="auto"/>
        </w:rPr>
        <w:t>This press release contains both historical and forward-looking statements. Forward-looking statements are not based on historical facts but instead reflect the current expectations, estimates, or projections of ABM Industries Incorporated (“ABM”), and its subsidiaries (collectively referred to as “ABM,” “we,” “us,” “our,” or the “Company”), concerning future results or events. These statements generally can be identified by the use of forward-looking words or phrases, such as “anticipate,” “believe,” “could,” “estimate,” “expect,” “forecast,” “intend,” “likely,” “may,” “outlook,” “plan,” “predict,” “should,” “target,” or other similar words or phrases. These statements are not guarantees of future performance and are inherently subject to known and unknown risks, uncertainties, and assumptions that are difficult to predict and could cause our actual results to differ materially from those indicated by these statements. We cannot assure you that any of our expectations, estimates, or projections will be achieved. Numerous factors could cause our actual results and events to differ materially from those expressed or implied by forward-looking statements. These factors include, but are not limited to the following: (1) changes to our businesses, operating structure, capital structure, or personnel relating to the implementation of our 2020 Vision strategic transformation initiative may not have the desired effects on our financial condition and results of operations; (2) high deductibles for certain insurable risks increases our exposure to volatility associated with those risks, including the possibility that: (i) our risk management and safety programs may not have the intended effect of reducing our insurance costs for casualty programs, and (ii) our insurance reserves may need to be materially adjusted from time to time; (3) the success of our business depends on our ability to preserve our long-term relationships with clients; (4) the success of our business depends on retaining senior management and attracting and retaining qualified personnel; (5) risks related to our acquisition strategy could have a negative impact on our results of operations; (6) intense competition could constrain our ability to gain business and reduce our profitability; (7) increases in costs that we cannot pass through to clients could negatively affect our profitability; (8) negative or unexpected tax consequences could adversely affect our results of operations; (9) expected benefits from our captive insurance company may not be achieved; (10) losses stemming from accidents or other incidents at facilities in which we operate could cause significant damage to our reputation and financial loss; (11) changes in energy prices and government regulations could adversely impact the results of operations of our Building &amp; Energy Solutions business; (12) significant delays or reductions in appropriations for our government contracts may negatively affect our business and could have an adverse effect on our financial position, results of operations, and cash flows; (13) the failure of our joint venture partners to perform their obligations may negatively impact our ability to do business; (14) federal health care reform legislation may adversely affect our business and results of operations; (15) adverse weather conditions may negatively affect our business; (16) centralization of certain administrative functions could increase our exposure to business continuity risks; (17) cyber-security breaches, information technology interruptions, or date losses could expose us to risks; (18) services in areas of military conflict expose us to additional risks; (19) a decline in commercial office building occupancy and rental rates could reduce our revenues and profitability; (20) deterioration in general economic conditions could reduce the demand for facility services and, as a result, reduce our earnings and adversely affect our financial condition; (21) financial difficulties or bankruptcy of one or more of our clients could adversely affect our operating results; (22) future increases in the level of our debt or in interest rates could affect adversely our results of operations; (23) the ability to fund our operations and pay our debt obligations depends upon our access to cash; (24) goodwill impairment charges could have a material adverse effect on our financial condition and results of operations; (25) impairment of long-lived assets may adversely affect our operating results; (26) class and representative actions and other lawsuits alleging various claims could cause us to incur substantial liabilities; (27) changes in immigration laws or enforcement actions or investigations under such laws could significantly adversely affect our labor force, operations, and financial results; (28) labor disputes could lead to loss of revenues or expense variations; (29) participation in multiemployer pension plans could cause us to incur material liabilities; (30) actions of activist investors could be disruptive, costly, and cause uncertainty about the strategic direction of our business; and (31) disasters or acts of terrorism could disrupt services. The list of factors above is illustrative and by no means exhaustive. Additional information regarding these and other risks and uncertainties we face is contained in our Annual Report on Form 10-K for the year ended October 31, 2015 and in other reports we file from time to time with the Securities and Exchange Commission (including all amendments to those reports). We urge readers to consider these risks and uncertainties in evaluating our forward-looking statements. We caution readers not to place undue reliance upon any such forward- looking statements, which speak only as of the date made. We undertake no obligation to publicly update any forward-looking statements, whether as a result of new information, future events, or otherwise, except as required by law.</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Non-GAAP Financial Information</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i w:val="1"/>
          <w:iCs w:val="1"/>
          <w:color w:val="auto"/>
        </w:rPr>
        <w:t>To supplement ABM’s consolidated financial information, the Company has presented income from continuing operations as adjusted for items impacting comparability, for the second quarter of fiscal years 2016 and 2015. These adjustments have been made with the intent of providing financial measures that give management and investors a better understanding of the underlying operational results and trends as well as ABM’s marketplace performance. In addition, the Company has presented earnings before income from discontinued operations, net of income tax benefit, interest, taxes, depreciation and</w:t>
      </w:r>
    </w:p>
    <w:p>
      <w:pPr>
        <w:spacing w:after="0" w:line="33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2663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805" w:right="219" w:bottom="1440" w:gutter="0" w:footer="0" w:header="0"/>
        </w:sectPr>
      </w:pPr>
    </w:p>
    <w:bookmarkStart w:id="8" w:name="page9"/>
    <w:bookmarkEnd w:id="8"/>
    <w:p>
      <w:pPr>
        <w:jc w:val="both"/>
        <w:spacing w:after="0" w:line="235" w:lineRule="auto"/>
        <w:rPr>
          <w:sz w:val="20"/>
          <w:szCs w:val="20"/>
          <w:color w:val="auto"/>
        </w:rPr>
      </w:pPr>
      <w:r>
        <w:rPr>
          <w:rFonts w:ascii="Arial" w:cs="Arial" w:eastAsia="Arial" w:hAnsi="Arial"/>
          <w:sz w:val="17"/>
          <w:szCs w:val="17"/>
          <w:i w:val="1"/>
          <w:iCs w:val="1"/>
          <w:color w:val="auto"/>
        </w:rPr>
        <w:t>amortization and excluding items impacting comparability (adjusted EBITDA) for the second quarter of fiscal years 2016 and 2015. Adjusted EBITDA is among the indicators management uses as a basis for planning and forecasting future periods.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880" w:type="dxa"/>
            <w:vAlign w:val="bottom"/>
            <w:gridSpan w:val="2"/>
          </w:tcPr>
          <w:p>
            <w:pPr>
              <w:spacing w:after="0"/>
              <w:rPr>
                <w:sz w:val="20"/>
                <w:szCs w:val="20"/>
                <w:color w:val="auto"/>
              </w:rPr>
            </w:pPr>
            <w:r>
              <w:rPr>
                <w:rFonts w:ascii="Arial" w:cs="Arial" w:eastAsia="Arial" w:hAnsi="Arial"/>
                <w:sz w:val="17"/>
                <w:szCs w:val="17"/>
                <w:b w:val="1"/>
                <w:bCs w:val="1"/>
                <w:color w:val="auto"/>
              </w:rPr>
              <w:t>Contact:</w:t>
            </w:r>
          </w:p>
        </w:tc>
        <w:tc>
          <w:tcPr>
            <w:tcW w:w="1600" w:type="dxa"/>
            <w:vAlign w:val="bottom"/>
            <w:vMerge w:val="restart"/>
          </w:tcPr>
          <w:p>
            <w:pPr>
              <w:spacing w:after="0"/>
              <w:rPr>
                <w:sz w:val="20"/>
                <w:szCs w:val="20"/>
                <w:color w:val="auto"/>
              </w:rPr>
            </w:pPr>
            <w:r>
              <w:rPr>
                <w:rFonts w:ascii="Arial" w:cs="Arial" w:eastAsia="Arial" w:hAnsi="Arial"/>
                <w:sz w:val="17"/>
                <w:szCs w:val="17"/>
                <w:color w:val="auto"/>
              </w:rPr>
              <w:t>Susie Choi</w:t>
            </w:r>
          </w:p>
        </w:tc>
        <w:tc>
          <w:tcPr>
            <w:tcW w:w="4100" w:type="dxa"/>
            <w:vAlign w:val="bottom"/>
            <w:vMerge w:val="restart"/>
          </w:tcPr>
          <w:p>
            <w:pPr>
              <w:ind w:left="1360"/>
              <w:spacing w:after="0"/>
              <w:rPr>
                <w:sz w:val="20"/>
                <w:szCs w:val="20"/>
                <w:color w:val="auto"/>
              </w:rPr>
            </w:pPr>
            <w:r>
              <w:rPr>
                <w:rFonts w:ascii="Arial" w:cs="Arial" w:eastAsia="Arial" w:hAnsi="Arial"/>
                <w:sz w:val="17"/>
                <w:szCs w:val="17"/>
                <w:color w:val="auto"/>
              </w:rPr>
              <w:t>Media:</w:t>
            </w:r>
          </w:p>
        </w:tc>
        <w:tc>
          <w:tcPr>
            <w:tcW w:w="1740" w:type="dxa"/>
            <w:vAlign w:val="bottom"/>
            <w:vMerge w:val="restart"/>
          </w:tcPr>
          <w:p>
            <w:pPr>
              <w:spacing w:after="0"/>
              <w:rPr>
                <w:sz w:val="20"/>
                <w:szCs w:val="20"/>
                <w:color w:val="auto"/>
              </w:rPr>
            </w:pPr>
            <w:r>
              <w:rPr>
                <w:rFonts w:ascii="Arial" w:cs="Arial" w:eastAsia="Arial" w:hAnsi="Arial"/>
                <w:sz w:val="17"/>
                <w:szCs w:val="17"/>
                <w:color w:val="auto"/>
              </w:rPr>
              <w:t>Chas Strong</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4100" w:type="dxa"/>
            <w:vAlign w:val="bottom"/>
            <w:vMerge w:val="continue"/>
          </w:tcPr>
          <w:p>
            <w:pPr>
              <w:spacing w:after="0" w:line="20" w:lineRule="exact"/>
              <w:rPr>
                <w:sz w:val="1"/>
                <w:szCs w:val="1"/>
                <w:color w:val="auto"/>
              </w:rPr>
            </w:pPr>
          </w:p>
        </w:tc>
        <w:tc>
          <w:tcPr>
            <w:tcW w:w="1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880" w:type="dxa"/>
            <w:vAlign w:val="bottom"/>
            <w:gridSpan w:val="2"/>
          </w:tcPr>
          <w:p>
            <w:pPr>
              <w:spacing w:after="0" w:line="185" w:lineRule="exact"/>
              <w:rPr>
                <w:sz w:val="20"/>
                <w:szCs w:val="20"/>
                <w:color w:val="auto"/>
              </w:rPr>
            </w:pPr>
            <w:r>
              <w:rPr>
                <w:rFonts w:ascii="Arial" w:cs="Arial" w:eastAsia="Arial" w:hAnsi="Arial"/>
                <w:sz w:val="17"/>
                <w:szCs w:val="17"/>
                <w:color w:val="auto"/>
              </w:rPr>
              <w:t>Investors Relations:</w:t>
            </w:r>
          </w:p>
        </w:tc>
        <w:tc>
          <w:tcPr>
            <w:tcW w:w="1600" w:type="dxa"/>
            <w:vAlign w:val="bottom"/>
            <w:vMerge w:val="continue"/>
          </w:tcPr>
          <w:p>
            <w:pPr>
              <w:spacing w:after="0"/>
              <w:rPr>
                <w:sz w:val="16"/>
                <w:szCs w:val="16"/>
                <w:color w:val="auto"/>
              </w:rPr>
            </w:pPr>
          </w:p>
        </w:tc>
        <w:tc>
          <w:tcPr>
            <w:tcW w:w="410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0" w:type="dxa"/>
            <w:vAlign w:val="bottom"/>
          </w:tcPr>
          <w:p>
            <w:pPr>
              <w:spacing w:after="0" w:line="185" w:lineRule="exact"/>
              <w:rPr>
                <w:sz w:val="20"/>
                <w:szCs w:val="20"/>
                <w:color w:val="auto"/>
              </w:rPr>
            </w:pPr>
            <w:r>
              <w:rPr>
                <w:rFonts w:ascii="Arial" w:cs="Arial" w:eastAsia="Arial" w:hAnsi="Arial"/>
                <w:sz w:val="17"/>
                <w:szCs w:val="17"/>
                <w:color w:val="auto"/>
              </w:rPr>
              <w:t>(212) 297-9721</w:t>
            </w:r>
          </w:p>
        </w:tc>
        <w:tc>
          <w:tcPr>
            <w:tcW w:w="4100" w:type="dxa"/>
            <w:vAlign w:val="bottom"/>
          </w:tcPr>
          <w:p>
            <w:pPr>
              <w:spacing w:after="0"/>
              <w:rPr>
                <w:sz w:val="16"/>
                <w:szCs w:val="16"/>
                <w:color w:val="auto"/>
              </w:rPr>
            </w:pPr>
          </w:p>
        </w:tc>
        <w:tc>
          <w:tcPr>
            <w:tcW w:w="1740" w:type="dxa"/>
            <w:vAlign w:val="bottom"/>
          </w:tcPr>
          <w:p>
            <w:pPr>
              <w:spacing w:after="0" w:line="185" w:lineRule="exact"/>
              <w:rPr>
                <w:sz w:val="20"/>
                <w:szCs w:val="20"/>
                <w:color w:val="auto"/>
              </w:rPr>
            </w:pPr>
            <w:r>
              <w:rPr>
                <w:rFonts w:ascii="Arial" w:cs="Arial" w:eastAsia="Arial" w:hAnsi="Arial"/>
                <w:sz w:val="17"/>
                <w:szCs w:val="17"/>
                <w:color w:val="auto"/>
              </w:rPr>
              <w:t>(770) 953-5072</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0" w:type="dxa"/>
            <w:vAlign w:val="bottom"/>
            <w:tcBorders>
              <w:bottom w:val="single" w:sz="8" w:color="0000FF"/>
            </w:tcBorders>
          </w:tcPr>
          <w:p>
            <w:pPr>
              <w:spacing w:after="0" w:line="165" w:lineRule="exact"/>
              <w:rPr>
                <w:sz w:val="20"/>
                <w:szCs w:val="20"/>
                <w:color w:val="auto"/>
              </w:rPr>
            </w:pPr>
            <w:r>
              <w:rPr>
                <w:rFonts w:ascii="Arial" w:cs="Arial" w:eastAsia="Arial" w:hAnsi="Arial"/>
                <w:sz w:val="17"/>
                <w:szCs w:val="17"/>
                <w:color w:val="0000FF"/>
                <w:w w:val="97"/>
              </w:rPr>
              <w:t>susie.choi@abm.com</w:t>
            </w:r>
          </w:p>
        </w:tc>
        <w:tc>
          <w:tcPr>
            <w:tcW w:w="4100" w:type="dxa"/>
            <w:vAlign w:val="bottom"/>
          </w:tcPr>
          <w:p>
            <w:pPr>
              <w:spacing w:after="0"/>
              <w:rPr>
                <w:sz w:val="14"/>
                <w:szCs w:val="14"/>
                <w:color w:val="auto"/>
              </w:rPr>
            </w:pPr>
          </w:p>
        </w:tc>
        <w:tc>
          <w:tcPr>
            <w:tcW w:w="1740" w:type="dxa"/>
            <w:vAlign w:val="bottom"/>
            <w:tcBorders>
              <w:bottom w:val="single" w:sz="8" w:color="0000FF"/>
            </w:tcBorders>
          </w:tcPr>
          <w:p>
            <w:pPr>
              <w:spacing w:after="0" w:line="165" w:lineRule="exact"/>
              <w:rPr>
                <w:sz w:val="20"/>
                <w:szCs w:val="20"/>
                <w:color w:val="auto"/>
              </w:rPr>
            </w:pPr>
            <w:r>
              <w:rPr>
                <w:rFonts w:ascii="Arial" w:cs="Arial" w:eastAsia="Arial" w:hAnsi="Arial"/>
                <w:sz w:val="17"/>
                <w:szCs w:val="17"/>
                <w:color w:val="0000FF"/>
                <w:w w:val="98"/>
              </w:rPr>
              <w:t>chas.strong@abm.com</w:t>
            </w:r>
          </w:p>
        </w:tc>
        <w:tc>
          <w:tcPr>
            <w:tcW w:w="0" w:type="dxa"/>
            <w:vAlign w:val="bottom"/>
          </w:tcPr>
          <w:p>
            <w:pPr>
              <w:spacing w:after="0"/>
              <w:rPr>
                <w:sz w:val="1"/>
                <w:szCs w:val="1"/>
                <w:color w:val="auto"/>
              </w:rPr>
            </w:pPr>
          </w:p>
        </w:tc>
      </w:tr>
    </w:tbl>
    <w:p>
      <w:pPr>
        <w:spacing w:after="0" w:line="36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26630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Financial Schedules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INCOME STATEMENT INFORMATION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2"/>
                <w:szCs w:val="12"/>
                <w:b w:val="1"/>
                <w:bCs w:val="1"/>
                <w:color w:val="auto"/>
              </w:rPr>
              <w:t>Three Months Ended April 30,</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restart"/>
          </w:tcPr>
          <w:p>
            <w:pPr>
              <w:jc w:val="right"/>
              <w:ind w:right="459"/>
              <w:spacing w:after="0"/>
              <w:rPr>
                <w:sz w:val="20"/>
                <w:szCs w:val="20"/>
                <w:color w:val="auto"/>
              </w:rPr>
            </w:pPr>
            <w:r>
              <w:rPr>
                <w:rFonts w:ascii="Arial" w:cs="Arial" w:eastAsia="Arial" w:hAnsi="Arial"/>
                <w:sz w:val="12"/>
                <w:szCs w:val="12"/>
                <w:b w:val="1"/>
                <w:bCs w:val="1"/>
                <w:color w:val="auto"/>
              </w:rPr>
              <w:t>Increase /</w:t>
            </w:r>
          </w:p>
        </w:tc>
        <w:tc>
          <w:tcPr>
            <w:tcW w:w="0" w:type="dxa"/>
            <w:vAlign w:val="bottom"/>
          </w:tcPr>
          <w:p>
            <w:pPr>
              <w:spacing w:after="0"/>
              <w:rPr>
                <w:sz w:val="1"/>
                <w:szCs w:val="1"/>
                <w:color w:val="auto"/>
              </w:rPr>
            </w:pPr>
          </w:p>
        </w:tc>
      </w:tr>
      <w:tr>
        <w:trPr>
          <w:trHeight w:val="108"/>
        </w:trPr>
        <w:tc>
          <w:tcPr>
            <w:tcW w:w="6400" w:type="dxa"/>
            <w:vAlign w:val="bottom"/>
            <w:gridSpan w:val="4"/>
            <w:vMerge w:val="restart"/>
          </w:tcPr>
          <w:p>
            <w:pPr>
              <w:ind w:left="40"/>
              <w:spacing w:after="0"/>
              <w:rPr>
                <w:sz w:val="20"/>
                <w:szCs w:val="20"/>
                <w:color w:val="auto"/>
              </w:rPr>
            </w:pPr>
            <w:r>
              <w:rPr>
                <w:rFonts w:ascii="Arial" w:cs="Arial" w:eastAsia="Arial" w:hAnsi="Arial"/>
                <w:sz w:val="12"/>
                <w:szCs w:val="12"/>
                <w:i w:val="1"/>
                <w:iCs w:val="1"/>
                <w:u w:val="single" w:color="auto"/>
                <w:color w:val="auto"/>
              </w:rPr>
              <w:t>(</w:t>
            </w:r>
            <w:r>
              <w:rPr>
                <w:rFonts w:ascii="Arial" w:cs="Arial" w:eastAsia="Arial" w:hAnsi="Arial"/>
                <w:sz w:val="12"/>
                <w:szCs w:val="12"/>
                <w:i w:val="1"/>
                <w:iCs w:val="1"/>
                <w:color w:val="auto"/>
              </w:rPr>
              <w:t>$ in millions, except per share amounts)</w:t>
            </w: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6400" w:type="dxa"/>
            <w:vAlign w:val="bottom"/>
            <w:gridSpan w:val="4"/>
            <w:vMerge w:val="continue"/>
          </w:tcPr>
          <w:p>
            <w:pPr>
              <w:spacing w:after="0"/>
              <w:rPr>
                <w:sz w:val="7"/>
                <w:szCs w:val="7"/>
                <w:color w:val="auto"/>
              </w:rPr>
            </w:pPr>
          </w:p>
        </w:tc>
        <w:tc>
          <w:tcPr>
            <w:tcW w:w="10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2016</w:t>
            </w:r>
          </w:p>
        </w:tc>
        <w:tc>
          <w:tcPr>
            <w:tcW w:w="60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2"/>
                <w:szCs w:val="12"/>
                <w:b w:val="1"/>
                <w:bCs w:val="1"/>
                <w:color w:val="auto"/>
              </w:rPr>
              <w:t>2015</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vMerge w:val="restart"/>
          </w:tcPr>
          <w:p>
            <w:pPr>
              <w:jc w:val="right"/>
              <w:ind w:right="419"/>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38"/>
        </w:trPr>
        <w:tc>
          <w:tcPr>
            <w:tcW w:w="40" w:type="dxa"/>
            <w:vAlign w:val="bottom"/>
            <w:tcBorders>
              <w:bottom w:val="single" w:sz="8" w:color="auto"/>
            </w:tcBorders>
          </w:tcPr>
          <w:p>
            <w:pPr>
              <w:spacing w:after="0"/>
              <w:rPr>
                <w:sz w:val="3"/>
                <w:szCs w:val="3"/>
                <w:color w:val="auto"/>
              </w:rPr>
            </w:pPr>
          </w:p>
        </w:tc>
        <w:tc>
          <w:tcPr>
            <w:tcW w:w="2020" w:type="dxa"/>
            <w:vAlign w:val="bottom"/>
            <w:tcBorders>
              <w:top w:val="single" w:sz="8" w:color="auto"/>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vMerge w:val="continue"/>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2"/>
                <w:szCs w:val="12"/>
                <w:b w:val="1"/>
                <w:bCs w:val="1"/>
                <w:color w:val="auto"/>
              </w:rPr>
              <w:t>Revenues</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1,257.1</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1,176.4</w:t>
            </w:r>
          </w:p>
        </w:tc>
        <w:tc>
          <w:tcPr>
            <w:tcW w:w="1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85"/>
        </w:trPr>
        <w:tc>
          <w:tcPr>
            <w:tcW w:w="6400" w:type="dxa"/>
            <w:vAlign w:val="bottom"/>
            <w:gridSpan w:val="4"/>
          </w:tcPr>
          <w:p>
            <w:pPr>
              <w:ind w:left="40"/>
              <w:spacing w:after="0"/>
              <w:rPr>
                <w:sz w:val="20"/>
                <w:szCs w:val="20"/>
                <w:color w:val="auto"/>
              </w:rPr>
            </w:pPr>
            <w:r>
              <w:rPr>
                <w:rFonts w:ascii="Arial" w:cs="Arial" w:eastAsia="Arial" w:hAnsi="Arial"/>
                <w:sz w:val="12"/>
                <w:szCs w:val="12"/>
                <w:b w:val="1"/>
                <w:bCs w:val="1"/>
                <w:color w:val="auto"/>
              </w:rPr>
              <w:t>Expenses</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Operating</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1,132.4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1,052.6</w:t>
            </w:r>
          </w:p>
        </w:tc>
        <w:tc>
          <w:tcPr>
            <w:tcW w:w="1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360" w:type="dxa"/>
            <w:vAlign w:val="bottom"/>
            <w:gridSpan w:val="3"/>
          </w:tcPr>
          <w:p>
            <w:pPr>
              <w:ind w:left="280"/>
              <w:spacing w:after="0"/>
              <w:rPr>
                <w:sz w:val="20"/>
                <w:szCs w:val="20"/>
                <w:color w:val="auto"/>
              </w:rPr>
            </w:pPr>
            <w:r>
              <w:rPr>
                <w:rFonts w:ascii="Arial" w:cs="Arial" w:eastAsia="Arial" w:hAnsi="Arial"/>
                <w:sz w:val="12"/>
                <w:szCs w:val="12"/>
                <w:color w:val="auto"/>
              </w:rPr>
              <w:t>Selling, general and administrative</w:t>
            </w:r>
          </w:p>
        </w:tc>
        <w:tc>
          <w:tcPr>
            <w:tcW w:w="10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97.5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90.6</w:t>
            </w:r>
          </w:p>
        </w:tc>
        <w:tc>
          <w:tcPr>
            <w:tcW w:w="1700" w:type="dxa"/>
            <w:vAlign w:val="bottom"/>
            <w:gridSpan w:val="2"/>
          </w:tcPr>
          <w:p>
            <w:pPr>
              <w:jc w:val="right"/>
              <w:ind w:right="59"/>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Restructuring and related</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8.8</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85"/>
        </w:trPr>
        <w:tc>
          <w:tcPr>
            <w:tcW w:w="40" w:type="dxa"/>
            <w:vAlign w:val="bottom"/>
            <w:tcBorders>
              <w:bottom w:val="single" w:sz="8" w:color="CCEEFF"/>
            </w:tcBorders>
          </w:tcPr>
          <w:p>
            <w:pPr>
              <w:spacing w:after="0"/>
              <w:rPr>
                <w:sz w:val="16"/>
                <w:szCs w:val="16"/>
                <w:color w:val="auto"/>
              </w:rPr>
            </w:pPr>
          </w:p>
        </w:tc>
        <w:tc>
          <w:tcPr>
            <w:tcW w:w="6360" w:type="dxa"/>
            <w:vAlign w:val="bottom"/>
            <w:tcBorders>
              <w:bottom w:val="single" w:sz="8" w:color="CCEEFF"/>
            </w:tcBorders>
            <w:gridSpan w:val="3"/>
          </w:tcPr>
          <w:p>
            <w:pPr>
              <w:ind w:left="280"/>
              <w:spacing w:after="0"/>
              <w:rPr>
                <w:sz w:val="20"/>
                <w:szCs w:val="20"/>
                <w:color w:val="auto"/>
              </w:rPr>
            </w:pPr>
            <w:r>
              <w:rPr>
                <w:rFonts w:ascii="Arial" w:cs="Arial" w:eastAsia="Arial" w:hAnsi="Arial"/>
                <w:sz w:val="12"/>
                <w:szCs w:val="12"/>
                <w:color w:val="auto"/>
              </w:rPr>
              <w:t>Amortization of intangible assets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6.6</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6.0</w:t>
            </w:r>
          </w:p>
        </w:tc>
        <w:tc>
          <w:tcPr>
            <w:tcW w:w="1700" w:type="dxa"/>
            <w:vAlign w:val="bottom"/>
            <w:tcBorders>
              <w:bottom w:val="single" w:sz="8" w:color="CCEEFF"/>
            </w:tcBorders>
            <w:gridSpan w:val="2"/>
          </w:tcPr>
          <w:p>
            <w:pPr>
              <w:jc w:val="right"/>
              <w:ind w:right="59"/>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6360" w:type="dxa"/>
            <w:vAlign w:val="bottom"/>
            <w:gridSpan w:val="3"/>
            <w:shd w:val="clear" w:color="auto" w:fill="CCEEFF"/>
          </w:tcPr>
          <w:p>
            <w:pPr>
              <w:ind w:left="560"/>
              <w:spacing w:after="0"/>
              <w:rPr>
                <w:sz w:val="20"/>
                <w:szCs w:val="20"/>
                <w:color w:val="auto"/>
              </w:rPr>
            </w:pPr>
            <w:r>
              <w:rPr>
                <w:rFonts w:ascii="Arial" w:cs="Arial" w:eastAsia="Arial" w:hAnsi="Arial"/>
                <w:sz w:val="12"/>
                <w:szCs w:val="12"/>
                <w:color w:val="auto"/>
              </w:rPr>
              <w:t>Total expenses</w:t>
            </w:r>
          </w:p>
        </w:tc>
        <w:tc>
          <w:tcPr>
            <w:tcW w:w="10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1,245.3</w:t>
            </w:r>
          </w:p>
        </w:tc>
        <w:tc>
          <w:tcPr>
            <w:tcW w:w="1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1,149.2</w:t>
            </w:r>
          </w:p>
        </w:tc>
        <w:tc>
          <w:tcPr>
            <w:tcW w:w="1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76"/>
        </w:trPr>
        <w:tc>
          <w:tcPr>
            <w:tcW w:w="6400" w:type="dxa"/>
            <w:vAlign w:val="bottom"/>
            <w:gridSpan w:val="4"/>
          </w:tcPr>
          <w:p>
            <w:pPr>
              <w:ind w:left="40"/>
              <w:spacing w:after="0"/>
              <w:rPr>
                <w:sz w:val="20"/>
                <w:szCs w:val="20"/>
                <w:color w:val="auto"/>
              </w:rPr>
            </w:pPr>
            <w:r>
              <w:rPr>
                <w:rFonts w:ascii="Arial" w:cs="Arial" w:eastAsia="Arial" w:hAnsi="Arial"/>
                <w:sz w:val="12"/>
                <w:szCs w:val="12"/>
                <w:color w:val="auto"/>
              </w:rPr>
              <w:t>Operating profit</w:t>
            </w:r>
          </w:p>
        </w:tc>
        <w:tc>
          <w:tcPr>
            <w:tcW w:w="102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11.8</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27.2</w:t>
            </w:r>
          </w:p>
        </w:tc>
        <w:tc>
          <w:tcPr>
            <w:tcW w:w="1700" w:type="dxa"/>
            <w:vAlign w:val="bottom"/>
            <w:gridSpan w:val="2"/>
          </w:tcPr>
          <w:p>
            <w:pPr>
              <w:jc w:val="right"/>
              <w:ind w:right="19"/>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85"/>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Income from unconsolidated affiliates, net</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0.9</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2.2</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(59.6)%</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CCEEFF"/>
            </w:tcBorders>
            <w:gridSpan w:val="4"/>
          </w:tcPr>
          <w:p>
            <w:pPr>
              <w:ind w:left="40"/>
              <w:spacing w:after="0"/>
              <w:rPr>
                <w:sz w:val="20"/>
                <w:szCs w:val="20"/>
                <w:color w:val="auto"/>
              </w:rPr>
            </w:pPr>
            <w:r>
              <w:rPr>
                <w:rFonts w:ascii="Arial" w:cs="Arial" w:eastAsia="Arial" w:hAnsi="Arial"/>
                <w:sz w:val="12"/>
                <w:szCs w:val="12"/>
                <w:color w:val="auto"/>
              </w:rPr>
              <w:t>Interest expense</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(2.4)</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1700" w:type="dxa"/>
            <w:vAlign w:val="bottom"/>
            <w:tcBorders>
              <w:bottom w:val="single" w:sz="8" w:color="CCEEFF"/>
            </w:tcBorders>
            <w:gridSpan w:val="2"/>
          </w:tcPr>
          <w:p>
            <w:pPr>
              <w:jc w:val="right"/>
              <w:ind w:right="19"/>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76"/>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Income from continuing operations before income taxes</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10.3</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26.9</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(61.7)%</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CCEEFF"/>
            </w:tcBorders>
            <w:gridSpan w:val="4"/>
          </w:tcPr>
          <w:p>
            <w:pPr>
              <w:ind w:left="40"/>
              <w:spacing w:after="0"/>
              <w:rPr>
                <w:sz w:val="20"/>
                <w:szCs w:val="20"/>
                <w:color w:val="auto"/>
              </w:rPr>
            </w:pPr>
            <w:r>
              <w:rPr>
                <w:rFonts w:ascii="Arial" w:cs="Arial" w:eastAsia="Arial" w:hAnsi="Arial"/>
                <w:sz w:val="12"/>
                <w:szCs w:val="12"/>
                <w:color w:val="auto"/>
              </w:rPr>
              <w:t>Income tax provision</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(3.5)</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1700" w:type="dxa"/>
            <w:vAlign w:val="bottom"/>
            <w:tcBorders>
              <w:bottom w:val="single" w:sz="8" w:color="CCEEFF"/>
            </w:tcBorders>
            <w:gridSpan w:val="2"/>
          </w:tcPr>
          <w:p>
            <w:pPr>
              <w:jc w:val="right"/>
              <w:ind w:right="19"/>
              <w:spacing w:after="0"/>
              <w:rPr>
                <w:sz w:val="20"/>
                <w:szCs w:val="20"/>
                <w:color w:val="auto"/>
              </w:rPr>
            </w:pPr>
            <w:r>
              <w:rPr>
                <w:rFonts w:ascii="Arial" w:cs="Arial" w:eastAsia="Arial" w:hAnsi="Arial"/>
                <w:sz w:val="12"/>
                <w:szCs w:val="12"/>
                <w:color w:val="auto"/>
              </w:rPr>
              <w:t>(67.8)%</w:t>
            </w:r>
          </w:p>
        </w:tc>
        <w:tc>
          <w:tcPr>
            <w:tcW w:w="0" w:type="dxa"/>
            <w:vAlign w:val="bottom"/>
          </w:tcPr>
          <w:p>
            <w:pPr>
              <w:spacing w:after="0"/>
              <w:rPr>
                <w:sz w:val="1"/>
                <w:szCs w:val="1"/>
                <w:color w:val="auto"/>
              </w:rPr>
            </w:pPr>
          </w:p>
        </w:tc>
      </w:tr>
      <w:tr>
        <w:trPr>
          <w:trHeight w:val="176"/>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Income from continuing operations</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6.8</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16.0</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(57.6)%</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CCEEFF"/>
            </w:tcBorders>
            <w:gridSpan w:val="4"/>
          </w:tcPr>
          <w:p>
            <w:pPr>
              <w:ind w:left="40"/>
              <w:spacing w:after="0"/>
              <w:rPr>
                <w:sz w:val="20"/>
                <w:szCs w:val="20"/>
                <w:color w:val="auto"/>
              </w:rPr>
            </w:pPr>
            <w:r>
              <w:rPr>
                <w:rFonts w:ascii="Arial" w:cs="Arial" w:eastAsia="Arial" w:hAnsi="Arial"/>
                <w:sz w:val="12"/>
                <w:szCs w:val="12"/>
                <w:color w:val="auto"/>
              </w:rPr>
              <w:t>Net (loss) income from discontinued operations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(2.4)</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2.3</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jc w:val="right"/>
              <w:ind w:right="39"/>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53"/>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2"/>
                <w:szCs w:val="12"/>
                <w:b w:val="1"/>
                <w:bCs w:val="1"/>
                <w:color w:val="auto"/>
              </w:rPr>
              <w:t>Net income</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4.4</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18.3</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(76.1)%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2"/>
                <w:szCs w:val="12"/>
                <w:b w:val="1"/>
                <w:bCs w:val="1"/>
                <w:color w:val="auto"/>
              </w:rPr>
              <w:t>Net income per common share — basic</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400" w:type="dxa"/>
            <w:vAlign w:val="bottom"/>
            <w:gridSpan w:val="4"/>
            <w:vMerge w:val="continue"/>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Income from continuing operations</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0.12</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0.28</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(57.1)%</w:t>
            </w:r>
          </w:p>
        </w:tc>
        <w:tc>
          <w:tcPr>
            <w:tcW w:w="0" w:type="dxa"/>
            <w:vAlign w:val="bottom"/>
          </w:tcPr>
          <w:p>
            <w:pPr>
              <w:spacing w:after="0"/>
              <w:rPr>
                <w:sz w:val="1"/>
                <w:szCs w:val="1"/>
                <w:color w:val="auto"/>
              </w:rPr>
            </w:pPr>
          </w:p>
        </w:tc>
      </w:tr>
      <w:tr>
        <w:trPr>
          <w:trHeight w:val="185"/>
        </w:trPr>
        <w:tc>
          <w:tcPr>
            <w:tcW w:w="40" w:type="dxa"/>
            <w:vAlign w:val="bottom"/>
            <w:tcBorders>
              <w:bottom w:val="single" w:sz="8" w:color="CCEEFF"/>
            </w:tcBorders>
          </w:tcPr>
          <w:p>
            <w:pPr>
              <w:spacing w:after="0"/>
              <w:rPr>
                <w:sz w:val="16"/>
                <w:szCs w:val="16"/>
                <w:color w:val="auto"/>
              </w:rPr>
            </w:pPr>
          </w:p>
        </w:tc>
        <w:tc>
          <w:tcPr>
            <w:tcW w:w="6360" w:type="dxa"/>
            <w:vAlign w:val="bottom"/>
            <w:tcBorders>
              <w:bottom w:val="single" w:sz="8" w:color="CCEEFF"/>
            </w:tcBorders>
            <w:gridSpan w:val="3"/>
          </w:tcPr>
          <w:p>
            <w:pPr>
              <w:ind w:left="280"/>
              <w:spacing w:after="0"/>
              <w:rPr>
                <w:sz w:val="20"/>
                <w:szCs w:val="20"/>
                <w:color w:val="auto"/>
              </w:rPr>
            </w:pPr>
            <w:r>
              <w:rPr>
                <w:rFonts w:ascii="Arial" w:cs="Arial" w:eastAsia="Arial" w:hAnsi="Arial"/>
                <w:sz w:val="12"/>
                <w:szCs w:val="12"/>
                <w:color w:val="auto"/>
              </w:rPr>
              <w:t>(Loss) income from discontinued operations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(0.04)</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0.04</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jc w:val="right"/>
              <w:ind w:right="39"/>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Net income</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0.08</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0.32</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(75.0)%</w:t>
            </w:r>
          </w:p>
        </w:tc>
        <w:tc>
          <w:tcPr>
            <w:tcW w:w="0" w:type="dxa"/>
            <w:vAlign w:val="bottom"/>
          </w:tcPr>
          <w:p>
            <w:pPr>
              <w:spacing w:after="0"/>
              <w:rPr>
                <w:sz w:val="1"/>
                <w:szCs w:val="1"/>
                <w:color w:val="auto"/>
              </w:rPr>
            </w:pPr>
          </w:p>
        </w:tc>
      </w:tr>
      <w:tr>
        <w:trPr>
          <w:trHeight w:val="185"/>
        </w:trPr>
        <w:tc>
          <w:tcPr>
            <w:tcW w:w="6400" w:type="dxa"/>
            <w:vAlign w:val="bottom"/>
            <w:gridSpan w:val="4"/>
          </w:tcPr>
          <w:p>
            <w:pPr>
              <w:ind w:left="40"/>
              <w:spacing w:after="0"/>
              <w:rPr>
                <w:sz w:val="20"/>
                <w:szCs w:val="20"/>
                <w:color w:val="auto"/>
              </w:rPr>
            </w:pPr>
            <w:r>
              <w:rPr>
                <w:rFonts w:ascii="Arial" w:cs="Arial" w:eastAsia="Arial" w:hAnsi="Arial"/>
                <w:sz w:val="12"/>
                <w:szCs w:val="12"/>
                <w:b w:val="1"/>
                <w:bCs w:val="1"/>
                <w:color w:val="auto"/>
              </w:rPr>
              <w:t>Net income per common share — diluted</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Income from continuing operations</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0.12</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0.28</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(57.1)%</w:t>
            </w:r>
          </w:p>
        </w:tc>
        <w:tc>
          <w:tcPr>
            <w:tcW w:w="0" w:type="dxa"/>
            <w:vAlign w:val="bottom"/>
          </w:tcPr>
          <w:p>
            <w:pPr>
              <w:spacing w:after="0"/>
              <w:rPr>
                <w:sz w:val="1"/>
                <w:szCs w:val="1"/>
                <w:color w:val="auto"/>
              </w:rPr>
            </w:pPr>
          </w:p>
        </w:tc>
      </w:tr>
      <w:tr>
        <w:trPr>
          <w:trHeight w:val="185"/>
        </w:trPr>
        <w:tc>
          <w:tcPr>
            <w:tcW w:w="40" w:type="dxa"/>
            <w:vAlign w:val="bottom"/>
            <w:tcBorders>
              <w:bottom w:val="single" w:sz="8" w:color="CCEEFF"/>
            </w:tcBorders>
          </w:tcPr>
          <w:p>
            <w:pPr>
              <w:spacing w:after="0"/>
              <w:rPr>
                <w:sz w:val="16"/>
                <w:szCs w:val="16"/>
                <w:color w:val="auto"/>
              </w:rPr>
            </w:pPr>
          </w:p>
        </w:tc>
        <w:tc>
          <w:tcPr>
            <w:tcW w:w="6360" w:type="dxa"/>
            <w:vAlign w:val="bottom"/>
            <w:tcBorders>
              <w:bottom w:val="single" w:sz="8" w:color="CCEEFF"/>
            </w:tcBorders>
            <w:gridSpan w:val="3"/>
          </w:tcPr>
          <w:p>
            <w:pPr>
              <w:ind w:left="280"/>
              <w:spacing w:after="0"/>
              <w:rPr>
                <w:sz w:val="20"/>
                <w:szCs w:val="20"/>
                <w:color w:val="auto"/>
              </w:rPr>
            </w:pPr>
            <w:r>
              <w:rPr>
                <w:rFonts w:ascii="Arial" w:cs="Arial" w:eastAsia="Arial" w:hAnsi="Arial"/>
                <w:sz w:val="12"/>
                <w:szCs w:val="12"/>
                <w:color w:val="auto"/>
              </w:rPr>
              <w:t>(Loss) income from discontinued operations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(0.04)</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0.04</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jc w:val="right"/>
              <w:ind w:right="39"/>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Net Income</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0.08</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0.32</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(75.0)%</w:t>
            </w:r>
          </w:p>
        </w:tc>
        <w:tc>
          <w:tcPr>
            <w:tcW w:w="0" w:type="dxa"/>
            <w:vAlign w:val="bottom"/>
          </w:tcPr>
          <w:p>
            <w:pPr>
              <w:spacing w:after="0"/>
              <w:rPr>
                <w:sz w:val="1"/>
                <w:szCs w:val="1"/>
                <w:color w:val="auto"/>
              </w:rPr>
            </w:pPr>
          </w:p>
        </w:tc>
      </w:tr>
      <w:tr>
        <w:trPr>
          <w:trHeight w:val="185"/>
        </w:trPr>
        <w:tc>
          <w:tcPr>
            <w:tcW w:w="6400" w:type="dxa"/>
            <w:vAlign w:val="bottom"/>
            <w:gridSpan w:val="4"/>
          </w:tcPr>
          <w:p>
            <w:pPr>
              <w:ind w:left="40"/>
              <w:spacing w:after="0"/>
              <w:rPr>
                <w:sz w:val="20"/>
                <w:szCs w:val="20"/>
                <w:color w:val="auto"/>
              </w:rPr>
            </w:pPr>
            <w:r>
              <w:rPr>
                <w:rFonts w:ascii="Arial" w:cs="Arial" w:eastAsia="Arial" w:hAnsi="Arial"/>
                <w:sz w:val="12"/>
                <w:szCs w:val="12"/>
                <w:b w:val="1"/>
                <w:bCs w:val="1"/>
                <w:color w:val="auto"/>
              </w:rPr>
              <w:t>Weighted-average common and common equivalent shares outstanding</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Basic</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56.4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56.8</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360" w:type="dxa"/>
            <w:vAlign w:val="bottom"/>
            <w:gridSpan w:val="3"/>
          </w:tcPr>
          <w:p>
            <w:pPr>
              <w:ind w:left="280"/>
              <w:spacing w:after="0"/>
              <w:rPr>
                <w:sz w:val="20"/>
                <w:szCs w:val="20"/>
                <w:color w:val="auto"/>
              </w:rPr>
            </w:pPr>
            <w:r>
              <w:rPr>
                <w:rFonts w:ascii="Arial" w:cs="Arial" w:eastAsia="Arial" w:hAnsi="Arial"/>
                <w:sz w:val="12"/>
                <w:szCs w:val="12"/>
                <w:color w:val="auto"/>
              </w:rPr>
              <w:t>Diluted</w:t>
            </w:r>
          </w:p>
        </w:tc>
        <w:tc>
          <w:tcPr>
            <w:tcW w:w="10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56.9</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57.6</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2"/>
                <w:szCs w:val="12"/>
                <w:b w:val="1"/>
                <w:bCs w:val="1"/>
                <w:color w:val="auto"/>
              </w:rPr>
              <w:t>Dividends declared per common share</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0.165</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0.160</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
        <w:spacing w:after="0"/>
        <w:rPr>
          <w:sz w:val="20"/>
          <w:szCs w:val="20"/>
          <w:color w:val="auto"/>
        </w:rPr>
      </w:pPr>
      <w:r>
        <w:rPr>
          <w:rFonts w:ascii="Arial" w:cs="Arial" w:eastAsia="Arial" w:hAnsi="Arial"/>
          <w:sz w:val="15"/>
          <w:szCs w:val="15"/>
          <w:color w:val="auto"/>
        </w:rPr>
        <w:t>* Not meaningful</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2663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INCOME STATEMENT INFORMATION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2"/>
                <w:szCs w:val="12"/>
                <w:b w:val="1"/>
                <w:bCs w:val="1"/>
                <w:color w:val="auto"/>
              </w:rPr>
              <w:t>Six Months Ended April 30,</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restart"/>
          </w:tcPr>
          <w:p>
            <w:pPr>
              <w:jc w:val="right"/>
              <w:ind w:right="459"/>
              <w:spacing w:after="0"/>
              <w:rPr>
                <w:sz w:val="20"/>
                <w:szCs w:val="20"/>
                <w:color w:val="auto"/>
              </w:rPr>
            </w:pPr>
            <w:r>
              <w:rPr>
                <w:rFonts w:ascii="Arial" w:cs="Arial" w:eastAsia="Arial" w:hAnsi="Arial"/>
                <w:sz w:val="12"/>
                <w:szCs w:val="12"/>
                <w:b w:val="1"/>
                <w:bCs w:val="1"/>
                <w:color w:val="auto"/>
              </w:rPr>
              <w:t>Increase /</w:t>
            </w:r>
          </w:p>
        </w:tc>
        <w:tc>
          <w:tcPr>
            <w:tcW w:w="0" w:type="dxa"/>
            <w:vAlign w:val="bottom"/>
          </w:tcPr>
          <w:p>
            <w:pPr>
              <w:spacing w:after="0"/>
              <w:rPr>
                <w:sz w:val="1"/>
                <w:szCs w:val="1"/>
                <w:color w:val="auto"/>
              </w:rPr>
            </w:pPr>
          </w:p>
        </w:tc>
      </w:tr>
      <w:tr>
        <w:trPr>
          <w:trHeight w:val="108"/>
        </w:trPr>
        <w:tc>
          <w:tcPr>
            <w:tcW w:w="6400" w:type="dxa"/>
            <w:vAlign w:val="bottom"/>
            <w:gridSpan w:val="4"/>
            <w:vMerge w:val="restart"/>
          </w:tcPr>
          <w:p>
            <w:pPr>
              <w:ind w:left="40"/>
              <w:spacing w:after="0"/>
              <w:rPr>
                <w:sz w:val="20"/>
                <w:szCs w:val="20"/>
                <w:color w:val="auto"/>
              </w:rPr>
            </w:pPr>
            <w:r>
              <w:rPr>
                <w:rFonts w:ascii="Arial" w:cs="Arial" w:eastAsia="Arial" w:hAnsi="Arial"/>
                <w:sz w:val="12"/>
                <w:szCs w:val="12"/>
                <w:i w:val="1"/>
                <w:iCs w:val="1"/>
                <w:u w:val="single" w:color="auto"/>
                <w:color w:val="auto"/>
              </w:rPr>
              <w:t>(</w:t>
            </w:r>
            <w:r>
              <w:rPr>
                <w:rFonts w:ascii="Arial" w:cs="Arial" w:eastAsia="Arial" w:hAnsi="Arial"/>
                <w:sz w:val="12"/>
                <w:szCs w:val="12"/>
                <w:i w:val="1"/>
                <w:iCs w:val="1"/>
                <w:color w:val="auto"/>
              </w:rPr>
              <w:t>$ in millions, except per share amounts)</w:t>
            </w: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6400" w:type="dxa"/>
            <w:vAlign w:val="bottom"/>
            <w:gridSpan w:val="4"/>
            <w:vMerge w:val="continue"/>
          </w:tcPr>
          <w:p>
            <w:pPr>
              <w:spacing w:after="0"/>
              <w:rPr>
                <w:sz w:val="7"/>
                <w:szCs w:val="7"/>
                <w:color w:val="auto"/>
              </w:rPr>
            </w:pPr>
          </w:p>
        </w:tc>
        <w:tc>
          <w:tcPr>
            <w:tcW w:w="10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2016</w:t>
            </w:r>
          </w:p>
        </w:tc>
        <w:tc>
          <w:tcPr>
            <w:tcW w:w="60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2"/>
                <w:szCs w:val="12"/>
                <w:b w:val="1"/>
                <w:bCs w:val="1"/>
                <w:color w:val="auto"/>
              </w:rPr>
              <w:t>2015</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vMerge w:val="restart"/>
          </w:tcPr>
          <w:p>
            <w:pPr>
              <w:jc w:val="right"/>
              <w:ind w:right="419"/>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38"/>
        </w:trPr>
        <w:tc>
          <w:tcPr>
            <w:tcW w:w="40" w:type="dxa"/>
            <w:vAlign w:val="bottom"/>
            <w:tcBorders>
              <w:bottom w:val="single" w:sz="8" w:color="auto"/>
            </w:tcBorders>
          </w:tcPr>
          <w:p>
            <w:pPr>
              <w:spacing w:after="0"/>
              <w:rPr>
                <w:sz w:val="3"/>
                <w:szCs w:val="3"/>
                <w:color w:val="auto"/>
              </w:rPr>
            </w:pPr>
          </w:p>
        </w:tc>
        <w:tc>
          <w:tcPr>
            <w:tcW w:w="2020" w:type="dxa"/>
            <w:vAlign w:val="bottom"/>
            <w:tcBorders>
              <w:top w:val="single" w:sz="8" w:color="auto"/>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vMerge w:val="continue"/>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2"/>
                <w:szCs w:val="12"/>
                <w:b w:val="1"/>
                <w:bCs w:val="1"/>
                <w:color w:val="auto"/>
              </w:rPr>
              <w:t>Revenues</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2,525.5</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2,370.9</w:t>
            </w:r>
          </w:p>
        </w:tc>
        <w:tc>
          <w:tcPr>
            <w:tcW w:w="1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85"/>
        </w:trPr>
        <w:tc>
          <w:tcPr>
            <w:tcW w:w="6400" w:type="dxa"/>
            <w:vAlign w:val="bottom"/>
            <w:gridSpan w:val="4"/>
          </w:tcPr>
          <w:p>
            <w:pPr>
              <w:ind w:left="40"/>
              <w:spacing w:after="0"/>
              <w:rPr>
                <w:sz w:val="20"/>
                <w:szCs w:val="20"/>
                <w:color w:val="auto"/>
              </w:rPr>
            </w:pPr>
            <w:r>
              <w:rPr>
                <w:rFonts w:ascii="Arial" w:cs="Arial" w:eastAsia="Arial" w:hAnsi="Arial"/>
                <w:sz w:val="12"/>
                <w:szCs w:val="12"/>
                <w:b w:val="1"/>
                <w:bCs w:val="1"/>
                <w:color w:val="auto"/>
              </w:rPr>
              <w:t>Expenses</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Operating</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2,278.7</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2,125.6</w:t>
            </w:r>
          </w:p>
        </w:tc>
        <w:tc>
          <w:tcPr>
            <w:tcW w:w="1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360" w:type="dxa"/>
            <w:vAlign w:val="bottom"/>
            <w:gridSpan w:val="3"/>
          </w:tcPr>
          <w:p>
            <w:pPr>
              <w:ind w:left="280"/>
              <w:spacing w:after="0"/>
              <w:rPr>
                <w:sz w:val="20"/>
                <w:szCs w:val="20"/>
                <w:color w:val="auto"/>
              </w:rPr>
            </w:pPr>
            <w:r>
              <w:rPr>
                <w:rFonts w:ascii="Arial" w:cs="Arial" w:eastAsia="Arial" w:hAnsi="Arial"/>
                <w:sz w:val="12"/>
                <w:szCs w:val="12"/>
                <w:color w:val="auto"/>
              </w:rPr>
              <w:t>Selling, general and administrative</w:t>
            </w:r>
          </w:p>
        </w:tc>
        <w:tc>
          <w:tcPr>
            <w:tcW w:w="10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192.4</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189.3</w:t>
            </w:r>
          </w:p>
        </w:tc>
        <w:tc>
          <w:tcPr>
            <w:tcW w:w="1700" w:type="dxa"/>
            <w:vAlign w:val="bottom"/>
            <w:gridSpan w:val="2"/>
          </w:tcPr>
          <w:p>
            <w:pPr>
              <w:jc w:val="right"/>
              <w:ind w:right="59"/>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Restructuring and related</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16.0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85"/>
        </w:trPr>
        <w:tc>
          <w:tcPr>
            <w:tcW w:w="40" w:type="dxa"/>
            <w:vAlign w:val="bottom"/>
            <w:tcBorders>
              <w:bottom w:val="single" w:sz="8" w:color="CCEEFF"/>
            </w:tcBorders>
          </w:tcPr>
          <w:p>
            <w:pPr>
              <w:spacing w:after="0"/>
              <w:rPr>
                <w:sz w:val="16"/>
                <w:szCs w:val="16"/>
                <w:color w:val="auto"/>
              </w:rPr>
            </w:pPr>
          </w:p>
        </w:tc>
        <w:tc>
          <w:tcPr>
            <w:tcW w:w="6360" w:type="dxa"/>
            <w:vAlign w:val="bottom"/>
            <w:tcBorders>
              <w:bottom w:val="single" w:sz="8" w:color="CCEEFF"/>
            </w:tcBorders>
            <w:gridSpan w:val="3"/>
          </w:tcPr>
          <w:p>
            <w:pPr>
              <w:ind w:left="280"/>
              <w:spacing w:after="0"/>
              <w:rPr>
                <w:sz w:val="20"/>
                <w:szCs w:val="20"/>
                <w:color w:val="auto"/>
              </w:rPr>
            </w:pPr>
            <w:r>
              <w:rPr>
                <w:rFonts w:ascii="Arial" w:cs="Arial" w:eastAsia="Arial" w:hAnsi="Arial"/>
                <w:sz w:val="12"/>
                <w:szCs w:val="12"/>
                <w:color w:val="auto"/>
              </w:rPr>
              <w:t>Amortization of intangible assets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13.0</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12.0</w:t>
            </w:r>
          </w:p>
        </w:tc>
        <w:tc>
          <w:tcPr>
            <w:tcW w:w="1700" w:type="dxa"/>
            <w:vAlign w:val="bottom"/>
            <w:tcBorders>
              <w:bottom w:val="single" w:sz="8" w:color="CCEEFF"/>
            </w:tcBorders>
            <w:gridSpan w:val="2"/>
          </w:tcPr>
          <w:p>
            <w:pPr>
              <w:jc w:val="right"/>
              <w:ind w:right="59"/>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6360" w:type="dxa"/>
            <w:vAlign w:val="bottom"/>
            <w:gridSpan w:val="3"/>
            <w:shd w:val="clear" w:color="auto" w:fill="CCEEFF"/>
          </w:tcPr>
          <w:p>
            <w:pPr>
              <w:ind w:left="560"/>
              <w:spacing w:after="0"/>
              <w:rPr>
                <w:sz w:val="20"/>
                <w:szCs w:val="20"/>
                <w:color w:val="auto"/>
              </w:rPr>
            </w:pPr>
            <w:r>
              <w:rPr>
                <w:rFonts w:ascii="Arial" w:cs="Arial" w:eastAsia="Arial" w:hAnsi="Arial"/>
                <w:sz w:val="12"/>
                <w:szCs w:val="12"/>
                <w:color w:val="auto"/>
              </w:rPr>
              <w:t>Total expenses</w:t>
            </w:r>
          </w:p>
        </w:tc>
        <w:tc>
          <w:tcPr>
            <w:tcW w:w="10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2,500.1</w:t>
            </w:r>
          </w:p>
        </w:tc>
        <w:tc>
          <w:tcPr>
            <w:tcW w:w="1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2,326.9</w:t>
            </w:r>
          </w:p>
        </w:tc>
        <w:tc>
          <w:tcPr>
            <w:tcW w:w="1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76"/>
        </w:trPr>
        <w:tc>
          <w:tcPr>
            <w:tcW w:w="6400" w:type="dxa"/>
            <w:vAlign w:val="bottom"/>
            <w:gridSpan w:val="4"/>
          </w:tcPr>
          <w:p>
            <w:pPr>
              <w:ind w:left="40"/>
              <w:spacing w:after="0"/>
              <w:rPr>
                <w:sz w:val="20"/>
                <w:szCs w:val="20"/>
                <w:color w:val="auto"/>
              </w:rPr>
            </w:pPr>
            <w:r>
              <w:rPr>
                <w:rFonts w:ascii="Arial" w:cs="Arial" w:eastAsia="Arial" w:hAnsi="Arial"/>
                <w:sz w:val="12"/>
                <w:szCs w:val="12"/>
                <w:color w:val="auto"/>
              </w:rPr>
              <w:t>Operating profit</w:t>
            </w:r>
          </w:p>
        </w:tc>
        <w:tc>
          <w:tcPr>
            <w:tcW w:w="102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25.4</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44.0</w:t>
            </w:r>
          </w:p>
        </w:tc>
        <w:tc>
          <w:tcPr>
            <w:tcW w:w="1700" w:type="dxa"/>
            <w:vAlign w:val="bottom"/>
            <w:gridSpan w:val="2"/>
          </w:tcPr>
          <w:p>
            <w:pPr>
              <w:jc w:val="right"/>
              <w:ind w:right="19"/>
              <w:spacing w:after="0"/>
              <w:rPr>
                <w:sz w:val="20"/>
                <w:szCs w:val="20"/>
                <w:color w:val="auto"/>
              </w:rPr>
            </w:pPr>
            <w:r>
              <w:rPr>
                <w:rFonts w:ascii="Arial" w:cs="Arial" w:eastAsia="Arial" w:hAnsi="Arial"/>
                <w:sz w:val="12"/>
                <w:szCs w:val="12"/>
                <w:color w:val="auto"/>
              </w:rPr>
              <w:t>(42.2)%</w:t>
            </w:r>
          </w:p>
        </w:tc>
        <w:tc>
          <w:tcPr>
            <w:tcW w:w="0" w:type="dxa"/>
            <w:vAlign w:val="bottom"/>
          </w:tcPr>
          <w:p>
            <w:pPr>
              <w:spacing w:after="0"/>
              <w:rPr>
                <w:sz w:val="1"/>
                <w:szCs w:val="1"/>
                <w:color w:val="auto"/>
              </w:rPr>
            </w:pPr>
          </w:p>
        </w:tc>
      </w:tr>
      <w:tr>
        <w:trPr>
          <w:trHeight w:val="185"/>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Income from unconsolidated affiliates, net</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3.7</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CCEEFF"/>
            </w:tcBorders>
            <w:gridSpan w:val="4"/>
          </w:tcPr>
          <w:p>
            <w:pPr>
              <w:ind w:left="40"/>
              <w:spacing w:after="0"/>
              <w:rPr>
                <w:sz w:val="20"/>
                <w:szCs w:val="20"/>
                <w:color w:val="auto"/>
              </w:rPr>
            </w:pPr>
            <w:r>
              <w:rPr>
                <w:rFonts w:ascii="Arial" w:cs="Arial" w:eastAsia="Arial" w:hAnsi="Arial"/>
                <w:sz w:val="12"/>
                <w:szCs w:val="12"/>
                <w:color w:val="auto"/>
              </w:rPr>
              <w:t>Interest expense</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(5.1)</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w:t>
            </w:r>
          </w:p>
        </w:tc>
        <w:tc>
          <w:tcPr>
            <w:tcW w:w="1700" w:type="dxa"/>
            <w:vAlign w:val="bottom"/>
            <w:tcBorders>
              <w:bottom w:val="single" w:sz="8" w:color="CCEEFF"/>
            </w:tcBorders>
            <w:gridSpan w:val="2"/>
          </w:tcPr>
          <w:p>
            <w:pPr>
              <w:jc w:val="right"/>
              <w:ind w:right="19"/>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76"/>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Income from continuing operations before income taxes</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23.6</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42.5</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(44.4)%</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CCEEFF"/>
            </w:tcBorders>
            <w:gridSpan w:val="4"/>
          </w:tcPr>
          <w:p>
            <w:pPr>
              <w:ind w:left="40"/>
              <w:spacing w:after="0"/>
              <w:rPr>
                <w:sz w:val="20"/>
                <w:szCs w:val="20"/>
                <w:color w:val="auto"/>
              </w:rPr>
            </w:pPr>
            <w:r>
              <w:rPr>
                <w:rFonts w:ascii="Arial" w:cs="Arial" w:eastAsia="Arial" w:hAnsi="Arial"/>
                <w:sz w:val="12"/>
                <w:szCs w:val="12"/>
                <w:color w:val="auto"/>
              </w:rPr>
              <w:t>Income tax provision</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w:t>
            </w:r>
          </w:p>
        </w:tc>
        <w:tc>
          <w:tcPr>
            <w:tcW w:w="1700" w:type="dxa"/>
            <w:vAlign w:val="bottom"/>
            <w:tcBorders>
              <w:bottom w:val="single" w:sz="8" w:color="CCEEFF"/>
            </w:tcBorders>
            <w:gridSpan w:val="2"/>
          </w:tcPr>
          <w:p>
            <w:pPr>
              <w:jc w:val="right"/>
              <w:ind w:right="19"/>
              <w:spacing w:after="0"/>
              <w:rPr>
                <w:sz w:val="20"/>
                <w:szCs w:val="20"/>
                <w:color w:val="auto"/>
              </w:rPr>
            </w:pPr>
            <w:r>
              <w:rPr>
                <w:rFonts w:ascii="Arial" w:cs="Arial" w:eastAsia="Arial" w:hAnsi="Arial"/>
                <w:sz w:val="12"/>
                <w:szCs w:val="12"/>
                <w:color w:val="auto"/>
              </w:rPr>
              <w:t>(73.7)%</w:t>
            </w:r>
          </w:p>
        </w:tc>
        <w:tc>
          <w:tcPr>
            <w:tcW w:w="0" w:type="dxa"/>
            <w:vAlign w:val="bottom"/>
          </w:tcPr>
          <w:p>
            <w:pPr>
              <w:spacing w:after="0"/>
              <w:rPr>
                <w:sz w:val="1"/>
                <w:szCs w:val="1"/>
                <w:color w:val="auto"/>
              </w:rPr>
            </w:pPr>
          </w:p>
        </w:tc>
      </w:tr>
      <w:tr>
        <w:trPr>
          <w:trHeight w:val="176"/>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2"/>
                <w:szCs w:val="12"/>
                <w:color w:val="auto"/>
              </w:rPr>
              <w:t>Income from continuing operations</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20.4</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30.3</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CCEEFF"/>
            </w:tcBorders>
            <w:gridSpan w:val="4"/>
          </w:tcPr>
          <w:p>
            <w:pPr>
              <w:ind w:left="40"/>
              <w:spacing w:after="0"/>
              <w:rPr>
                <w:sz w:val="20"/>
                <w:szCs w:val="20"/>
                <w:color w:val="auto"/>
              </w:rPr>
            </w:pPr>
            <w:r>
              <w:rPr>
                <w:rFonts w:ascii="Arial" w:cs="Arial" w:eastAsia="Arial" w:hAnsi="Arial"/>
                <w:sz w:val="12"/>
                <w:szCs w:val="12"/>
                <w:color w:val="auto"/>
              </w:rPr>
              <w:t>Net (loss) income from discontinued operations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5.7</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jc w:val="right"/>
              <w:ind w:right="39"/>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53"/>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2"/>
                <w:szCs w:val="12"/>
                <w:b w:val="1"/>
                <w:bCs w:val="1"/>
                <w:color w:val="auto"/>
              </w:rPr>
              <w:t>Net income</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18.4</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36.0</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(49.1)%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2"/>
                <w:szCs w:val="12"/>
                <w:b w:val="1"/>
                <w:bCs w:val="1"/>
                <w:color w:val="auto"/>
              </w:rPr>
              <w:t>Net income per common share — basic</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400" w:type="dxa"/>
            <w:vAlign w:val="bottom"/>
            <w:gridSpan w:val="4"/>
            <w:vMerge w:val="continue"/>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Income from continuing operations</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0.36</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0.54</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(33.3)%</w:t>
            </w:r>
          </w:p>
        </w:tc>
        <w:tc>
          <w:tcPr>
            <w:tcW w:w="0" w:type="dxa"/>
            <w:vAlign w:val="bottom"/>
          </w:tcPr>
          <w:p>
            <w:pPr>
              <w:spacing w:after="0"/>
              <w:rPr>
                <w:sz w:val="1"/>
                <w:szCs w:val="1"/>
                <w:color w:val="auto"/>
              </w:rPr>
            </w:pPr>
          </w:p>
        </w:tc>
      </w:tr>
      <w:tr>
        <w:trPr>
          <w:trHeight w:val="185"/>
        </w:trPr>
        <w:tc>
          <w:tcPr>
            <w:tcW w:w="40" w:type="dxa"/>
            <w:vAlign w:val="bottom"/>
            <w:tcBorders>
              <w:bottom w:val="single" w:sz="8" w:color="CCEEFF"/>
            </w:tcBorders>
          </w:tcPr>
          <w:p>
            <w:pPr>
              <w:spacing w:after="0"/>
              <w:rPr>
                <w:sz w:val="16"/>
                <w:szCs w:val="16"/>
                <w:color w:val="auto"/>
              </w:rPr>
            </w:pPr>
          </w:p>
        </w:tc>
        <w:tc>
          <w:tcPr>
            <w:tcW w:w="6360" w:type="dxa"/>
            <w:vAlign w:val="bottom"/>
            <w:tcBorders>
              <w:bottom w:val="single" w:sz="8" w:color="CCEEFF"/>
            </w:tcBorders>
            <w:gridSpan w:val="3"/>
          </w:tcPr>
          <w:p>
            <w:pPr>
              <w:ind w:left="280"/>
              <w:spacing w:after="0"/>
              <w:rPr>
                <w:sz w:val="20"/>
                <w:szCs w:val="20"/>
                <w:color w:val="auto"/>
              </w:rPr>
            </w:pPr>
            <w:r>
              <w:rPr>
                <w:rFonts w:ascii="Arial" w:cs="Arial" w:eastAsia="Arial" w:hAnsi="Arial"/>
                <w:sz w:val="12"/>
                <w:szCs w:val="12"/>
                <w:color w:val="auto"/>
              </w:rPr>
              <w:t>(Loss) income from discontinued operations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(0.04)</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0.10</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jc w:val="right"/>
              <w:ind w:right="39"/>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Net income</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0.32</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0.64</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85"/>
        </w:trPr>
        <w:tc>
          <w:tcPr>
            <w:tcW w:w="6400" w:type="dxa"/>
            <w:vAlign w:val="bottom"/>
            <w:gridSpan w:val="4"/>
          </w:tcPr>
          <w:p>
            <w:pPr>
              <w:ind w:left="40"/>
              <w:spacing w:after="0"/>
              <w:rPr>
                <w:sz w:val="20"/>
                <w:szCs w:val="20"/>
                <w:color w:val="auto"/>
              </w:rPr>
            </w:pPr>
            <w:r>
              <w:rPr>
                <w:rFonts w:ascii="Arial" w:cs="Arial" w:eastAsia="Arial" w:hAnsi="Arial"/>
                <w:sz w:val="12"/>
                <w:szCs w:val="12"/>
                <w:b w:val="1"/>
                <w:bCs w:val="1"/>
                <w:color w:val="auto"/>
              </w:rPr>
              <w:t>Net income per common share — diluted</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Income from continuing operations</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0.36</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0.53</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85"/>
        </w:trPr>
        <w:tc>
          <w:tcPr>
            <w:tcW w:w="40" w:type="dxa"/>
            <w:vAlign w:val="bottom"/>
            <w:tcBorders>
              <w:bottom w:val="single" w:sz="8" w:color="CCEEFF"/>
            </w:tcBorders>
          </w:tcPr>
          <w:p>
            <w:pPr>
              <w:spacing w:after="0"/>
              <w:rPr>
                <w:sz w:val="16"/>
                <w:szCs w:val="16"/>
                <w:color w:val="auto"/>
              </w:rPr>
            </w:pPr>
          </w:p>
        </w:tc>
        <w:tc>
          <w:tcPr>
            <w:tcW w:w="6360" w:type="dxa"/>
            <w:vAlign w:val="bottom"/>
            <w:tcBorders>
              <w:bottom w:val="single" w:sz="8" w:color="CCEEFF"/>
            </w:tcBorders>
            <w:gridSpan w:val="3"/>
          </w:tcPr>
          <w:p>
            <w:pPr>
              <w:ind w:left="280"/>
              <w:spacing w:after="0"/>
              <w:rPr>
                <w:sz w:val="20"/>
                <w:szCs w:val="20"/>
                <w:color w:val="auto"/>
              </w:rPr>
            </w:pPr>
            <w:r>
              <w:rPr>
                <w:rFonts w:ascii="Arial" w:cs="Arial" w:eastAsia="Arial" w:hAnsi="Arial"/>
                <w:sz w:val="12"/>
                <w:szCs w:val="12"/>
                <w:color w:val="auto"/>
              </w:rPr>
              <w:t>(Loss) income from discontinued operations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(0.04)</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0.10</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jc w:val="right"/>
              <w:ind w:right="39"/>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Net Income</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0.32</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0.63</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(49.2)%</w:t>
            </w:r>
          </w:p>
        </w:tc>
        <w:tc>
          <w:tcPr>
            <w:tcW w:w="0" w:type="dxa"/>
            <w:vAlign w:val="bottom"/>
          </w:tcPr>
          <w:p>
            <w:pPr>
              <w:spacing w:after="0"/>
              <w:rPr>
                <w:sz w:val="1"/>
                <w:szCs w:val="1"/>
                <w:color w:val="auto"/>
              </w:rPr>
            </w:pPr>
          </w:p>
        </w:tc>
      </w:tr>
      <w:tr>
        <w:trPr>
          <w:trHeight w:val="185"/>
        </w:trPr>
        <w:tc>
          <w:tcPr>
            <w:tcW w:w="6400" w:type="dxa"/>
            <w:vAlign w:val="bottom"/>
            <w:gridSpan w:val="4"/>
          </w:tcPr>
          <w:p>
            <w:pPr>
              <w:ind w:left="40"/>
              <w:spacing w:after="0"/>
              <w:rPr>
                <w:sz w:val="20"/>
                <w:szCs w:val="20"/>
                <w:color w:val="auto"/>
              </w:rPr>
            </w:pPr>
            <w:r>
              <w:rPr>
                <w:rFonts w:ascii="Arial" w:cs="Arial" w:eastAsia="Arial" w:hAnsi="Arial"/>
                <w:sz w:val="12"/>
                <w:szCs w:val="12"/>
                <w:b w:val="1"/>
                <w:bCs w:val="1"/>
                <w:color w:val="auto"/>
              </w:rPr>
              <w:t>Weighted-average common and common equivalent shares outstanding</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63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Basic</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56.5</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56.6</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360" w:type="dxa"/>
            <w:vAlign w:val="bottom"/>
            <w:gridSpan w:val="3"/>
          </w:tcPr>
          <w:p>
            <w:pPr>
              <w:ind w:left="280"/>
              <w:spacing w:after="0"/>
              <w:rPr>
                <w:sz w:val="20"/>
                <w:szCs w:val="20"/>
                <w:color w:val="auto"/>
              </w:rPr>
            </w:pPr>
            <w:r>
              <w:rPr>
                <w:rFonts w:ascii="Arial" w:cs="Arial" w:eastAsia="Arial" w:hAnsi="Arial"/>
                <w:sz w:val="12"/>
                <w:szCs w:val="12"/>
                <w:color w:val="auto"/>
              </w:rPr>
              <w:t>Diluted</w:t>
            </w:r>
          </w:p>
        </w:tc>
        <w:tc>
          <w:tcPr>
            <w:tcW w:w="10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57.0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57.4</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2"/>
                <w:szCs w:val="12"/>
                <w:b w:val="1"/>
                <w:bCs w:val="1"/>
                <w:color w:val="auto"/>
              </w:rPr>
              <w:t>Dividends declared per common share</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0.330</w:t>
            </w: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0.320</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
        <w:spacing w:after="0"/>
        <w:rPr>
          <w:sz w:val="20"/>
          <w:szCs w:val="20"/>
          <w:color w:val="auto"/>
        </w:rPr>
      </w:pPr>
      <w:r>
        <w:rPr>
          <w:rFonts w:ascii="Arial" w:cs="Arial" w:eastAsia="Arial" w:hAnsi="Arial"/>
          <w:sz w:val="15"/>
          <w:szCs w:val="15"/>
          <w:color w:val="auto"/>
        </w:rPr>
        <w:t>* Not meaningful</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2663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CONSOLIDATED CASH FLOW INFORMATION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120" w:type="dxa"/>
            <w:vAlign w:val="bottom"/>
            <w:gridSpan w:val="3"/>
            <w:vMerge w:val="restart"/>
          </w:tcPr>
          <w:p>
            <w:pPr>
              <w:ind w:left="40"/>
              <w:spacing w:after="0"/>
              <w:rPr>
                <w:sz w:val="20"/>
                <w:szCs w:val="20"/>
                <w:color w:val="auto"/>
              </w:rPr>
            </w:pPr>
            <w:r>
              <w:rPr>
                <w:rFonts w:ascii="Arial" w:cs="Arial" w:eastAsia="Arial" w:hAnsi="Arial"/>
                <w:sz w:val="12"/>
                <w:szCs w:val="12"/>
                <w:i w:val="1"/>
                <w:iCs w:val="1"/>
                <w:color w:val="auto"/>
              </w:rPr>
              <w:t>(in millions)</w:t>
            </w:r>
          </w:p>
        </w:tc>
        <w:tc>
          <w:tcPr>
            <w:tcW w:w="2760" w:type="dxa"/>
            <w:vAlign w:val="bottom"/>
            <w:tcBorders>
              <w:bottom w:val="single" w:sz="8" w:color="auto"/>
            </w:tcBorders>
            <w:gridSpan w:val="4"/>
          </w:tcPr>
          <w:p>
            <w:pPr>
              <w:jc w:val="right"/>
              <w:ind w:right="187"/>
              <w:spacing w:after="0"/>
              <w:rPr>
                <w:sz w:val="20"/>
                <w:szCs w:val="20"/>
                <w:color w:val="auto"/>
              </w:rPr>
            </w:pPr>
            <w:r>
              <w:rPr>
                <w:rFonts w:ascii="Arial" w:cs="Arial" w:eastAsia="Arial" w:hAnsi="Arial"/>
                <w:sz w:val="12"/>
                <w:szCs w:val="12"/>
                <w:b w:val="1"/>
                <w:bCs w:val="1"/>
                <w:color w:val="auto"/>
              </w:rPr>
              <w:t>Three Months Ended April 30,</w:t>
            </w: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8120" w:type="dxa"/>
            <w:vAlign w:val="bottom"/>
            <w:gridSpan w:val="3"/>
            <w:vMerge w:val="continue"/>
          </w:tcPr>
          <w:p>
            <w:pPr>
              <w:spacing w:after="0"/>
              <w:rPr>
                <w:sz w:val="10"/>
                <w:szCs w:val="10"/>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2016</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47"/>
              <w:spacing w:after="0"/>
              <w:rPr>
                <w:sz w:val="20"/>
                <w:szCs w:val="20"/>
                <w:color w:val="auto"/>
              </w:rPr>
            </w:pPr>
            <w:r>
              <w:rPr>
                <w:rFonts w:ascii="Arial" w:cs="Arial" w:eastAsia="Arial" w:hAnsi="Arial"/>
                <w:sz w:val="12"/>
                <w:szCs w:val="12"/>
                <w:b w:val="1"/>
                <w:bCs w:val="1"/>
                <w:color w:val="auto"/>
              </w:rPr>
              <w:t>2015</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40" w:type="dxa"/>
            <w:vAlign w:val="bottom"/>
            <w:tcBorders>
              <w:bottom w:val="single" w:sz="8" w:color="CCEEFF"/>
            </w:tcBorders>
          </w:tcPr>
          <w:p>
            <w:pPr>
              <w:spacing w:after="0"/>
              <w:rPr>
                <w:sz w:val="3"/>
                <w:szCs w:val="3"/>
                <w:color w:val="auto"/>
              </w:rPr>
            </w:pPr>
          </w:p>
        </w:tc>
        <w:tc>
          <w:tcPr>
            <w:tcW w:w="600" w:type="dxa"/>
            <w:vAlign w:val="bottom"/>
            <w:tcBorders>
              <w:top w:val="single" w:sz="8" w:color="auto"/>
              <w:bottom w:val="single" w:sz="8" w:color="CCEEFF"/>
            </w:tcBorders>
          </w:tcPr>
          <w:p>
            <w:pPr>
              <w:spacing w:after="0"/>
              <w:rPr>
                <w:sz w:val="3"/>
                <w:szCs w:val="3"/>
                <w:color w:val="auto"/>
              </w:rPr>
            </w:pPr>
          </w:p>
        </w:tc>
        <w:tc>
          <w:tcPr>
            <w:tcW w:w="74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Net cash provided by operating activities of continuing operations</w:t>
            </w: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86.7</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66.6</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2"/>
                <w:szCs w:val="12"/>
                <w:color w:val="auto"/>
              </w:rPr>
              <w:t>Net cash provided by operating activities of discontinued operations</w:t>
            </w: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0.7</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53"/>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2"/>
                <w:szCs w:val="12"/>
                <w:b w:val="1"/>
                <w:bCs w:val="1"/>
                <w:color w:val="auto"/>
              </w:rPr>
              <w:t>Net cash provided by operating activities</w:t>
            </w:r>
          </w:p>
        </w:tc>
        <w:tc>
          <w:tcPr>
            <w:tcW w:w="106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87.4</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907"/>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71.4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Purchase of businesses, net of cash acquired</w:t>
            </w:r>
          </w:p>
        </w:tc>
        <w:tc>
          <w:tcPr>
            <w:tcW w:w="1060" w:type="dxa"/>
            <w:vAlign w:val="bottom"/>
          </w:tcPr>
          <w:p>
            <w:pPr>
              <w:jc w:val="right"/>
              <w:ind w:right="919"/>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90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10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65"/>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Net cash used in investing activities of continuing operations</w:t>
            </w:r>
          </w:p>
        </w:tc>
        <w:tc>
          <w:tcPr>
            <w:tcW w:w="106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96"/>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Net cash used in investing activities of discontinued operations</w:t>
            </w:r>
          </w:p>
        </w:tc>
        <w:tc>
          <w:tcPr>
            <w:tcW w:w="10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93"/>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2"/>
                <w:szCs w:val="12"/>
                <w:b w:val="1"/>
                <w:bCs w:val="1"/>
                <w:color w:val="auto"/>
              </w:rPr>
              <w:t>Net cash used in investing activities</w:t>
            </w:r>
          </w:p>
        </w:tc>
        <w:tc>
          <w:tcPr>
            <w:tcW w:w="1060" w:type="dxa"/>
            <w:vAlign w:val="bottom"/>
            <w:tcBorders>
              <w:bottom w:val="single" w:sz="8" w:color="auto"/>
            </w:tcBorders>
          </w:tcPr>
          <w:p>
            <w:pPr>
              <w:jc w:val="right"/>
              <w:ind w:right="91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(6.8)</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907"/>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59"/>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Proceeds from issuance of share-based compensation awards, net of taxes withheld</w:t>
            </w: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90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Incremental tax benefit from share-based compensation awards</w:t>
            </w:r>
          </w:p>
        </w:tc>
        <w:tc>
          <w:tcPr>
            <w:tcW w:w="106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2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Repurchases of common stock</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(10.2)</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Dividends paid</w:t>
            </w:r>
          </w:p>
        </w:tc>
        <w:tc>
          <w:tcPr>
            <w:tcW w:w="106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(9.3)</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Borrowings from line of credit</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237.0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230.6</w:t>
            </w: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Repayment of borrowings from line of credit</w:t>
            </w:r>
          </w:p>
        </w:tc>
        <w:tc>
          <w:tcPr>
            <w:tcW w:w="106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(314.8)</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(286.1)</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Financing of energy savings performance contracts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Changes in book cash overdrafts</w:t>
            </w:r>
          </w:p>
        </w:tc>
        <w:tc>
          <w:tcPr>
            <w:tcW w:w="106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Repayment of capital lease obligations</w:t>
            </w:r>
          </w:p>
        </w:tc>
        <w:tc>
          <w:tcPr>
            <w:tcW w:w="10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(0.3)</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53"/>
        </w:trPr>
        <w:tc>
          <w:tcPr>
            <w:tcW w:w="8120" w:type="dxa"/>
            <w:vAlign w:val="bottom"/>
            <w:gridSpan w:val="3"/>
          </w:tcPr>
          <w:p>
            <w:pPr>
              <w:ind w:left="40"/>
              <w:spacing w:after="0"/>
              <w:rPr>
                <w:sz w:val="20"/>
                <w:szCs w:val="20"/>
                <w:color w:val="auto"/>
              </w:rPr>
            </w:pPr>
            <w:r>
              <w:rPr>
                <w:rFonts w:ascii="Arial" w:cs="Arial" w:eastAsia="Arial" w:hAnsi="Arial"/>
                <w:sz w:val="12"/>
                <w:szCs w:val="12"/>
                <w:b w:val="1"/>
                <w:bCs w:val="1"/>
                <w:color w:val="auto"/>
              </w:rPr>
              <w:t>Net cash used in financing activities</w:t>
            </w:r>
          </w:p>
        </w:tc>
        <w:tc>
          <w:tcPr>
            <w:tcW w:w="1060" w:type="dxa"/>
            <w:vAlign w:val="bottom"/>
            <w:tcBorders>
              <w:bottom w:val="single" w:sz="8" w:color="auto"/>
            </w:tcBorders>
          </w:tcPr>
          <w:p>
            <w:pPr>
              <w:jc w:val="right"/>
              <w:ind w:right="91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(90.8)</w:t>
            </w:r>
          </w:p>
        </w:tc>
        <w:tc>
          <w:tcPr>
            <w:tcW w:w="120" w:type="dxa"/>
            <w:vAlign w:val="bottom"/>
          </w:tcPr>
          <w:p>
            <w:pPr>
              <w:spacing w:after="0"/>
              <w:rPr>
                <w:sz w:val="13"/>
                <w:szCs w:val="13"/>
                <w:color w:val="auto"/>
              </w:rPr>
            </w:pPr>
          </w:p>
        </w:tc>
        <w:tc>
          <w:tcPr>
            <w:tcW w:w="1020" w:type="dxa"/>
            <w:vAlign w:val="bottom"/>
            <w:tcBorders>
              <w:bottom w:val="single" w:sz="8" w:color="auto"/>
            </w:tcBorders>
          </w:tcPr>
          <w:p>
            <w:pPr>
              <w:jc w:val="right"/>
              <w:ind w:right="907"/>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8980"/>
        <w:spacing w:after="0"/>
        <w:rPr>
          <w:sz w:val="20"/>
          <w:szCs w:val="20"/>
          <w:color w:val="auto"/>
        </w:rPr>
      </w:pPr>
      <w:r>
        <w:rPr>
          <w:rFonts w:ascii="Arial" w:cs="Arial" w:eastAsia="Arial" w:hAnsi="Arial"/>
          <w:sz w:val="12"/>
          <w:szCs w:val="12"/>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6350</wp:posOffset>
            </wp:positionV>
            <wp:extent cx="21024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02485" cy="7620"/>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66305" cy="124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305" cy="12446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2"/>
          <w:szCs w:val="12"/>
          <w:color w:val="auto"/>
        </w:rPr>
        <w:t>Net cash provided by operating activities of continuing operations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2"/>
          <w:szCs w:val="12"/>
          <w:color w:val="auto"/>
        </w:rPr>
        <w:t>Net cash used in operating activities of discontinued operations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19"/>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b w:val="1"/>
                <w:bCs w:val="1"/>
                <w:color w:val="auto"/>
              </w:rPr>
              <w:t>2015</w:t>
            </w:r>
          </w:p>
        </w:tc>
      </w:tr>
      <w:tr>
        <w:trPr>
          <w:trHeight w:val="189"/>
        </w:trPr>
        <w:tc>
          <w:tcPr>
            <w:tcW w:w="380" w:type="dxa"/>
            <w:vAlign w:val="bottom"/>
          </w:tcPr>
          <w:p>
            <w:pPr>
              <w:jc w:val="right"/>
              <w:ind w:right="239"/>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59"/>
              <w:spacing w:after="0"/>
              <w:rPr>
                <w:sz w:val="20"/>
                <w:szCs w:val="20"/>
                <w:color w:val="auto"/>
              </w:rPr>
            </w:pPr>
            <w:r>
              <w:rPr>
                <w:rFonts w:ascii="Arial" w:cs="Arial" w:eastAsia="Arial" w:hAnsi="Arial"/>
                <w:sz w:val="12"/>
                <w:szCs w:val="12"/>
                <w:color w:val="auto"/>
              </w:rPr>
              <w:t>78.5</w:t>
            </w:r>
          </w:p>
        </w:tc>
        <w:tc>
          <w:tcPr>
            <w:tcW w:w="120" w:type="dxa"/>
            <w:vAlign w:val="bottom"/>
          </w:tcPr>
          <w:p>
            <w:pPr>
              <w:spacing w:after="0"/>
              <w:rPr>
                <w:sz w:val="16"/>
                <w:szCs w:val="16"/>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39"/>
              <w:spacing w:after="0"/>
              <w:rPr>
                <w:sz w:val="20"/>
                <w:szCs w:val="20"/>
                <w:color w:val="auto"/>
              </w:rPr>
            </w:pPr>
            <w:r>
              <w:rPr>
                <w:rFonts w:ascii="Arial" w:cs="Arial" w:eastAsia="Arial" w:hAnsi="Arial"/>
                <w:sz w:val="12"/>
                <w:szCs w:val="12"/>
                <w:color w:val="auto"/>
              </w:rPr>
              <w:t>39.9</w:t>
            </w:r>
          </w:p>
        </w:tc>
      </w:tr>
      <w:tr>
        <w:trPr>
          <w:trHeight w:val="170"/>
        </w:trPr>
        <w:tc>
          <w:tcPr>
            <w:tcW w:w="380" w:type="dxa"/>
            <w:vAlign w:val="bottom"/>
          </w:tcPr>
          <w:p>
            <w:pPr>
              <w:spacing w:after="0"/>
              <w:rPr>
                <w:sz w:val="14"/>
                <w:szCs w:val="14"/>
                <w:color w:val="auto"/>
              </w:rPr>
            </w:pPr>
          </w:p>
        </w:tc>
        <w:tc>
          <w:tcPr>
            <w:tcW w:w="1240" w:type="dxa"/>
            <w:vAlign w:val="bottom"/>
          </w:tcPr>
          <w:p>
            <w:pPr>
              <w:jc w:val="right"/>
              <w:ind w:right="19"/>
              <w:spacing w:after="0"/>
              <w:rPr>
                <w:sz w:val="20"/>
                <w:szCs w:val="20"/>
                <w:color w:val="auto"/>
              </w:rPr>
            </w:pPr>
            <w:r>
              <w:rPr>
                <w:rFonts w:ascii="Arial" w:cs="Arial" w:eastAsia="Arial" w:hAnsi="Arial"/>
                <w:sz w:val="12"/>
                <w:szCs w:val="12"/>
                <w:color w:val="auto"/>
              </w:rPr>
              <w:t>(22.5)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(0.9)</w:t>
            </w:r>
          </w:p>
        </w:tc>
      </w:tr>
    </w:tbl>
    <w:p>
      <w:pPr>
        <w:spacing w:after="0" w:line="1" w:lineRule="exact"/>
        <w:rPr>
          <w:sz w:val="20"/>
          <w:szCs w:val="20"/>
          <w:color w:val="auto"/>
        </w:rPr>
      </w:pPr>
    </w:p>
    <w:p>
      <w:pPr>
        <w:sectPr>
          <w:pgSz w:w="11900" w:h="16838" w:orient="portrait"/>
          <w:cols w:equalWidth="0" w:num="2">
            <w:col w:w="7400" w:space="720"/>
            <w:col w:w="3320"/>
          </w:cols>
          <w:pgMar w:left="240" w:top="785" w:right="21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Net cash provided by operating activities</w:t>
            </w:r>
          </w:p>
        </w:tc>
        <w:tc>
          <w:tcPr>
            <w:tcW w:w="62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56.0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39.0</w:t>
            </w:r>
          </w:p>
        </w:tc>
      </w:tr>
      <w:tr>
        <w:trPr>
          <w:trHeight w:val="20"/>
        </w:trPr>
        <w:tc>
          <w:tcPr>
            <w:tcW w:w="8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36"/>
        </w:trPr>
        <w:tc>
          <w:tcPr>
            <w:tcW w:w="8120" w:type="dxa"/>
            <w:vAlign w:val="bottom"/>
          </w:tcPr>
          <w:p>
            <w:pPr>
              <w:ind w:left="40"/>
              <w:spacing w:after="0" w:line="136" w:lineRule="exact"/>
              <w:rPr>
                <w:sz w:val="20"/>
                <w:szCs w:val="20"/>
                <w:color w:val="auto"/>
              </w:rPr>
            </w:pPr>
            <w:r>
              <w:rPr>
                <w:rFonts w:ascii="Arial" w:cs="Arial" w:eastAsia="Arial" w:hAnsi="Arial"/>
                <w:sz w:val="12"/>
                <w:szCs w:val="12"/>
                <w:color w:val="auto"/>
              </w:rPr>
              <w:t>Purchase of businesses, net of cash acquired</w:t>
            </w:r>
          </w:p>
        </w:tc>
        <w:tc>
          <w:tcPr>
            <w:tcW w:w="620" w:type="dxa"/>
            <w:vAlign w:val="bottom"/>
          </w:tcPr>
          <w:p>
            <w:pPr>
              <w:jc w:val="right"/>
              <w:ind w:right="479"/>
              <w:spacing w:after="0" w:line="136" w:lineRule="exact"/>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9"/>
              <w:spacing w:after="0" w:line="136" w:lineRule="exact"/>
              <w:rPr>
                <w:sz w:val="20"/>
                <w:szCs w:val="20"/>
                <w:color w:val="auto"/>
              </w:rPr>
            </w:pPr>
            <w:r>
              <w:rPr>
                <w:rFonts w:ascii="Arial" w:cs="Arial" w:eastAsia="Arial" w:hAnsi="Arial"/>
                <w:sz w:val="12"/>
                <w:szCs w:val="12"/>
                <w:color w:val="auto"/>
              </w:rPr>
              <w:t>(81.0)</w:t>
            </w:r>
          </w:p>
        </w:tc>
        <w:tc>
          <w:tcPr>
            <w:tcW w:w="120" w:type="dxa"/>
            <w:vAlign w:val="bottom"/>
          </w:tcPr>
          <w:p>
            <w:pPr>
              <w:spacing w:after="0"/>
              <w:rPr>
                <w:sz w:val="11"/>
                <w:szCs w:val="11"/>
                <w:color w:val="auto"/>
              </w:rPr>
            </w:pPr>
          </w:p>
        </w:tc>
        <w:tc>
          <w:tcPr>
            <w:tcW w:w="600" w:type="dxa"/>
            <w:vAlign w:val="bottom"/>
          </w:tcPr>
          <w:p>
            <w:pPr>
              <w:jc w:val="right"/>
              <w:ind w:right="48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36" w:lineRule="exact"/>
              <w:rPr>
                <w:sz w:val="20"/>
                <w:szCs w:val="20"/>
                <w:color w:val="auto"/>
              </w:rPr>
            </w:pPr>
            <w:r>
              <w:rPr>
                <w:rFonts w:ascii="Arial" w:cs="Arial" w:eastAsia="Arial" w:hAnsi="Arial"/>
                <w:sz w:val="12"/>
                <w:szCs w:val="12"/>
                <w:color w:val="auto"/>
              </w:rPr>
              <w:t>(4.2)</w:t>
            </w:r>
          </w:p>
        </w:tc>
      </w:tr>
      <w:tr>
        <w:trPr>
          <w:trHeight w:val="185"/>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6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(10.3)</w:t>
            </w:r>
          </w:p>
        </w:tc>
        <w:tc>
          <w:tcPr>
            <w:tcW w:w="1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w:t>
            </w:r>
          </w:p>
        </w:tc>
      </w:tr>
      <w:tr>
        <w:trPr>
          <w:trHeight w:val="165"/>
        </w:trPr>
        <w:tc>
          <w:tcPr>
            <w:tcW w:w="8120" w:type="dxa"/>
            <w:vAlign w:val="bottom"/>
          </w:tcPr>
          <w:p>
            <w:pPr>
              <w:ind w:left="40"/>
              <w:spacing w:after="0"/>
              <w:rPr>
                <w:sz w:val="20"/>
                <w:szCs w:val="20"/>
                <w:color w:val="auto"/>
              </w:rPr>
            </w:pPr>
            <w:r>
              <w:rPr>
                <w:rFonts w:ascii="Arial" w:cs="Arial" w:eastAsia="Arial" w:hAnsi="Arial"/>
                <w:sz w:val="12"/>
                <w:szCs w:val="12"/>
                <w:color w:val="auto"/>
              </w:rPr>
              <w:t>Net cash used in investing activities of continuing operations</w:t>
            </w:r>
          </w:p>
        </w:tc>
        <w:tc>
          <w:tcPr>
            <w:tcW w:w="6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(91.3)</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(13.8)</w:t>
            </w:r>
          </w:p>
        </w:tc>
      </w:tr>
      <w:tr>
        <w:trPr>
          <w:trHeight w:val="185"/>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cash used in investing activities of discontinued operations</w:t>
            </w:r>
          </w:p>
        </w:tc>
        <w:tc>
          <w:tcPr>
            <w:tcW w:w="6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w:t>
            </w:r>
          </w:p>
        </w:tc>
      </w:tr>
      <w:tr>
        <w:trPr>
          <w:trHeight w:val="19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Net cash used in investing activities</w:t>
            </w:r>
          </w:p>
        </w:tc>
        <w:tc>
          <w:tcPr>
            <w:tcW w:w="6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(94.4)</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4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w:t>
            </w:r>
          </w:p>
        </w:tc>
      </w:tr>
      <w:tr>
        <w:trPr>
          <w:trHeight w:val="159"/>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Proceeds from issuance of share-based compensation awards, net of taxes withheld</w:t>
            </w:r>
          </w:p>
        </w:tc>
        <w:tc>
          <w:tcPr>
            <w:tcW w:w="62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13.5</w:t>
            </w:r>
          </w:p>
        </w:tc>
      </w:tr>
      <w:tr>
        <w:trPr>
          <w:trHeight w:val="185"/>
        </w:trPr>
        <w:tc>
          <w:tcPr>
            <w:tcW w:w="8120" w:type="dxa"/>
            <w:vAlign w:val="bottom"/>
          </w:tcPr>
          <w:p>
            <w:pPr>
              <w:ind w:left="40"/>
              <w:spacing w:after="0"/>
              <w:rPr>
                <w:sz w:val="20"/>
                <w:szCs w:val="20"/>
                <w:color w:val="auto"/>
              </w:rPr>
            </w:pPr>
            <w:r>
              <w:rPr>
                <w:rFonts w:ascii="Arial" w:cs="Arial" w:eastAsia="Arial" w:hAnsi="Arial"/>
                <w:sz w:val="12"/>
                <w:szCs w:val="12"/>
                <w:color w:val="auto"/>
              </w:rPr>
              <w:t>Incremental tax benefit from share-based compensation awards</w:t>
            </w:r>
          </w:p>
        </w:tc>
        <w:tc>
          <w:tcPr>
            <w:tcW w:w="62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2"/>
                <w:szCs w:val="12"/>
                <w:color w:val="auto"/>
              </w:rPr>
              <w:t>0.5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2"/>
                <w:szCs w:val="12"/>
                <w:color w:val="auto"/>
              </w:rPr>
              <w:t>1.2</w:t>
            </w:r>
          </w:p>
        </w:tc>
      </w:tr>
      <w:tr>
        <w:trPr>
          <w:trHeight w:val="185"/>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Repurchases of common stock</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(21.5)</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r>
      <w:tr>
        <w:trPr>
          <w:trHeight w:val="185"/>
        </w:trPr>
        <w:tc>
          <w:tcPr>
            <w:tcW w:w="8120" w:type="dxa"/>
            <w:vAlign w:val="bottom"/>
          </w:tcPr>
          <w:p>
            <w:pPr>
              <w:ind w:left="40"/>
              <w:spacing w:after="0"/>
              <w:rPr>
                <w:sz w:val="20"/>
                <w:szCs w:val="20"/>
                <w:color w:val="auto"/>
              </w:rPr>
            </w:pPr>
            <w:r>
              <w:rPr>
                <w:rFonts w:ascii="Arial" w:cs="Arial" w:eastAsia="Arial" w:hAnsi="Arial"/>
                <w:sz w:val="12"/>
                <w:szCs w:val="12"/>
                <w:color w:val="auto"/>
              </w:rPr>
              <w:t>Dividends paid</w:t>
            </w:r>
          </w:p>
        </w:tc>
        <w:tc>
          <w:tcPr>
            <w:tcW w:w="62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(18.5)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(17.9)</w:t>
            </w:r>
          </w:p>
        </w:tc>
      </w:tr>
      <w:tr>
        <w:trPr>
          <w:trHeight w:val="185"/>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Deferred financing costs paid</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r>
      <w:tr>
        <w:trPr>
          <w:trHeight w:val="185"/>
        </w:trPr>
        <w:tc>
          <w:tcPr>
            <w:tcW w:w="8120" w:type="dxa"/>
            <w:vAlign w:val="bottom"/>
          </w:tcPr>
          <w:p>
            <w:pPr>
              <w:ind w:left="40"/>
              <w:spacing w:after="0"/>
              <w:rPr>
                <w:sz w:val="20"/>
                <w:szCs w:val="20"/>
                <w:color w:val="auto"/>
              </w:rPr>
            </w:pPr>
            <w:r>
              <w:rPr>
                <w:rFonts w:ascii="Arial" w:cs="Arial" w:eastAsia="Arial" w:hAnsi="Arial"/>
                <w:sz w:val="12"/>
                <w:szCs w:val="12"/>
                <w:color w:val="auto"/>
              </w:rPr>
              <w:t>Borrowings from line of credit</w:t>
            </w:r>
          </w:p>
        </w:tc>
        <w:tc>
          <w:tcPr>
            <w:tcW w:w="62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2"/>
                <w:szCs w:val="12"/>
                <w:color w:val="auto"/>
              </w:rPr>
              <w:t>536.6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2"/>
                <w:szCs w:val="12"/>
                <w:color w:val="auto"/>
              </w:rPr>
              <w:t>457.3</w:t>
            </w:r>
          </w:p>
        </w:tc>
      </w:tr>
      <w:tr>
        <w:trPr>
          <w:trHeight w:val="185"/>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Repayment of borrowings from line of credit</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(485.7)</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(470.1)</w:t>
            </w:r>
          </w:p>
        </w:tc>
      </w:tr>
      <w:tr>
        <w:trPr>
          <w:trHeight w:val="185"/>
        </w:trPr>
        <w:tc>
          <w:tcPr>
            <w:tcW w:w="8120" w:type="dxa"/>
            <w:vAlign w:val="bottom"/>
          </w:tcPr>
          <w:p>
            <w:pPr>
              <w:ind w:left="40"/>
              <w:spacing w:after="0"/>
              <w:rPr>
                <w:sz w:val="20"/>
                <w:szCs w:val="20"/>
                <w:color w:val="auto"/>
              </w:rPr>
            </w:pPr>
            <w:r>
              <w:rPr>
                <w:rFonts w:ascii="Arial" w:cs="Arial" w:eastAsia="Arial" w:hAnsi="Arial"/>
                <w:sz w:val="12"/>
                <w:szCs w:val="12"/>
                <w:color w:val="auto"/>
              </w:rPr>
              <w:t>Financing of energy savings performance contracts</w:t>
            </w:r>
          </w:p>
        </w:tc>
        <w:tc>
          <w:tcPr>
            <w:tcW w:w="62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185"/>
        </w:trPr>
        <w:tc>
          <w:tcPr>
            <w:tcW w:w="8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Changes in book cash overdrafts</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r>
      <w:tr>
        <w:trPr>
          <w:trHeight w:val="18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Repayment of capital lease obligations</w:t>
            </w: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(0.6)</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r>
      <w:tr>
        <w:trPr>
          <w:trHeight w:val="15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6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28.6</w:t>
            </w: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(31.4)</w:t>
            </w:r>
          </w:p>
        </w:tc>
      </w:tr>
      <w:tr>
        <w:trPr>
          <w:trHeight w:val="20"/>
        </w:trPr>
        <w:tc>
          <w:tcPr>
            <w:tcW w:w="8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26630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 INFORMATION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0" w:type="dxa"/>
            <w:vAlign w:val="bottom"/>
            <w:vMerge w:val="restart"/>
          </w:tcPr>
          <w:p>
            <w:pPr>
              <w:spacing w:after="0"/>
              <w:rPr>
                <w:sz w:val="12"/>
                <w:szCs w:val="12"/>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w w:val="89"/>
              </w:rPr>
              <w:t>(in millions)</w:t>
            </w:r>
          </w:p>
        </w:tc>
        <w:tc>
          <w:tcPr>
            <w:tcW w:w="756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April 30, 2016</w:t>
            </w:r>
          </w:p>
        </w:tc>
        <w:tc>
          <w:tcPr>
            <w:tcW w:w="180" w:type="dxa"/>
            <w:vAlign w:val="bottom"/>
          </w:tcPr>
          <w:p>
            <w:pPr>
              <w:spacing w:after="0"/>
              <w:rPr>
                <w:sz w:val="12"/>
                <w:szCs w:val="12"/>
                <w:color w:val="auto"/>
              </w:rPr>
            </w:pPr>
          </w:p>
        </w:tc>
        <w:tc>
          <w:tcPr>
            <w:tcW w:w="1400" w:type="dxa"/>
            <w:vAlign w:val="bottom"/>
            <w:vMerge w:val="restart"/>
          </w:tcPr>
          <w:p>
            <w:pPr>
              <w:jc w:val="right"/>
              <w:ind w:right="239"/>
              <w:spacing w:after="0"/>
              <w:rPr>
                <w:sz w:val="20"/>
                <w:szCs w:val="20"/>
                <w:color w:val="auto"/>
              </w:rPr>
            </w:pPr>
            <w:r>
              <w:rPr>
                <w:rFonts w:ascii="Arial" w:cs="Arial" w:eastAsia="Arial" w:hAnsi="Arial"/>
                <w:sz w:val="12"/>
                <w:szCs w:val="12"/>
                <w:b w:val="1"/>
                <w:bCs w:val="1"/>
                <w:color w:val="auto"/>
              </w:rPr>
              <w:t>October 31, 2015</w:t>
            </w:r>
          </w:p>
        </w:tc>
        <w:tc>
          <w:tcPr>
            <w:tcW w:w="0" w:type="dxa"/>
            <w:vAlign w:val="bottom"/>
          </w:tcPr>
          <w:p>
            <w:pPr>
              <w:spacing w:after="0"/>
              <w:rPr>
                <w:sz w:val="1"/>
                <w:szCs w:val="1"/>
                <w:color w:val="auto"/>
              </w:rPr>
            </w:pPr>
          </w:p>
        </w:tc>
      </w:tr>
      <w:tr>
        <w:trPr>
          <w:trHeight w:val="38"/>
        </w:trPr>
        <w:tc>
          <w:tcPr>
            <w:tcW w:w="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5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81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2"/>
                <w:szCs w:val="12"/>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13"/>
                <w:szCs w:val="13"/>
                <w:color w:val="auto"/>
              </w:rPr>
            </w:pPr>
          </w:p>
        </w:tc>
        <w:tc>
          <w:tcPr>
            <w:tcW w:w="138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140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Current assets</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Cash and cash equivalents</w:t>
            </w: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45.7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55.5</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080" w:type="dxa"/>
            <w:vAlign w:val="bottom"/>
            <w:gridSpan w:val="2"/>
          </w:tcPr>
          <w:p>
            <w:pPr>
              <w:ind w:left="180"/>
              <w:spacing w:after="0"/>
              <w:rPr>
                <w:sz w:val="20"/>
                <w:szCs w:val="20"/>
                <w:color w:val="auto"/>
              </w:rPr>
            </w:pPr>
            <w:r>
              <w:rPr>
                <w:rFonts w:ascii="Arial" w:cs="Arial" w:eastAsia="Arial" w:hAnsi="Arial"/>
                <w:sz w:val="12"/>
                <w:szCs w:val="12"/>
                <w:color w:val="auto"/>
              </w:rPr>
              <w:t>Trade accounts receivable, net of allowances</w:t>
            </w:r>
          </w:p>
        </w:tc>
        <w:tc>
          <w:tcPr>
            <w:tcW w:w="24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2"/>
                <w:szCs w:val="12"/>
                <w:color w:val="auto"/>
              </w:rPr>
              <w:t>736.7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2"/>
                <w:szCs w:val="12"/>
                <w:color w:val="auto"/>
              </w:rPr>
              <w:t>742.9</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Prepaid expenses</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68.6</w:t>
            </w:r>
          </w:p>
        </w:tc>
        <w:tc>
          <w:tcPr>
            <w:tcW w:w="0" w:type="dxa"/>
            <w:vAlign w:val="bottom"/>
          </w:tcPr>
          <w:p>
            <w:pPr>
              <w:spacing w:after="0"/>
              <w:rPr>
                <w:sz w:val="1"/>
                <w:szCs w:val="1"/>
                <w:color w:val="auto"/>
              </w:rPr>
            </w:pPr>
          </w:p>
        </w:tc>
      </w:tr>
      <w:tr>
        <w:trPr>
          <w:trHeight w:val="185"/>
        </w:trPr>
        <w:tc>
          <w:tcPr>
            <w:tcW w:w="40" w:type="dxa"/>
            <w:vAlign w:val="bottom"/>
            <w:tcBorders>
              <w:bottom w:val="single" w:sz="8" w:color="CCEEFF"/>
            </w:tcBorders>
          </w:tcPr>
          <w:p>
            <w:pPr>
              <w:spacing w:after="0"/>
              <w:rPr>
                <w:sz w:val="16"/>
                <w:szCs w:val="16"/>
                <w:color w:val="auto"/>
              </w:rPr>
            </w:pPr>
          </w:p>
        </w:tc>
        <w:tc>
          <w:tcPr>
            <w:tcW w:w="8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Other current assets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25.1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80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903.4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894.0</w:t>
            </w:r>
          </w:p>
        </w:tc>
        <w:tc>
          <w:tcPr>
            <w:tcW w:w="0" w:type="dxa"/>
            <w:vAlign w:val="bottom"/>
          </w:tcPr>
          <w:p>
            <w:pPr>
              <w:spacing w:after="0"/>
              <w:rPr>
                <w:sz w:val="1"/>
                <w:szCs w:val="1"/>
                <w:color w:val="auto"/>
              </w:rPr>
            </w:pPr>
          </w:p>
        </w:tc>
      </w:tr>
      <w:tr>
        <w:trPr>
          <w:trHeight w:val="176"/>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Other investments</w:t>
            </w:r>
          </w:p>
        </w:tc>
        <w:tc>
          <w:tcPr>
            <w:tcW w:w="240" w:type="dxa"/>
            <w:vAlign w:val="bottom"/>
          </w:tcPr>
          <w:p>
            <w:pPr>
              <w:spacing w:after="0"/>
              <w:rPr>
                <w:sz w:val="15"/>
                <w:szCs w:val="15"/>
                <w:color w:val="auto"/>
              </w:rPr>
            </w:pPr>
          </w:p>
        </w:tc>
        <w:tc>
          <w:tcPr>
            <w:tcW w:w="1380" w:type="dxa"/>
            <w:vAlign w:val="bottom"/>
          </w:tcPr>
          <w:p>
            <w:pPr>
              <w:jc w:val="right"/>
              <w:ind w:right="59"/>
              <w:spacing w:after="0"/>
              <w:rPr>
                <w:sz w:val="20"/>
                <w:szCs w:val="20"/>
                <w:color w:val="auto"/>
              </w:rPr>
            </w:pPr>
            <w:r>
              <w:rPr>
                <w:rFonts w:ascii="Arial" w:cs="Arial" w:eastAsia="Arial" w:hAnsi="Arial"/>
                <w:sz w:val="12"/>
                <w:szCs w:val="12"/>
                <w:color w:val="auto"/>
              </w:rPr>
              <w:t>29.5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39"/>
              <w:spacing w:after="0"/>
              <w:rPr>
                <w:sz w:val="20"/>
                <w:szCs w:val="20"/>
                <w:color w:val="auto"/>
              </w:rPr>
            </w:pPr>
            <w:r>
              <w:rPr>
                <w:rFonts w:ascii="Arial" w:cs="Arial" w:eastAsia="Arial" w:hAnsi="Arial"/>
                <w:sz w:val="12"/>
                <w:szCs w:val="12"/>
                <w:color w:val="auto"/>
              </w:rPr>
              <w:t>35.7</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Property, plant and equipment, net of accumulated depreciation</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74.0</w:t>
            </w: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Other intangible assets, net of accumulated amortization</w:t>
            </w:r>
          </w:p>
        </w:tc>
        <w:tc>
          <w:tcPr>
            <w:tcW w:w="24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2"/>
                <w:szCs w:val="12"/>
                <w:color w:val="auto"/>
              </w:rPr>
              <w:t>124.3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2"/>
                <w:szCs w:val="12"/>
                <w:color w:val="auto"/>
              </w:rPr>
              <w:t>111.4</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Goodwill</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912.5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867.5</w:t>
            </w: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Deferred income tax asset, net</w:t>
            </w:r>
          </w:p>
        </w:tc>
        <w:tc>
          <w:tcPr>
            <w:tcW w:w="24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2"/>
                <w:szCs w:val="12"/>
                <w:color w:val="auto"/>
              </w:rPr>
              <w:t>26.5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2"/>
                <w:szCs w:val="12"/>
                <w:color w:val="auto"/>
              </w:rPr>
              <w:t>34.1</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Other noncurrent assets</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114.9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114.0</w:t>
            </w:r>
          </w:p>
        </w:tc>
        <w:tc>
          <w:tcPr>
            <w:tcW w:w="0" w:type="dxa"/>
            <w:vAlign w:val="bottom"/>
          </w:tcPr>
          <w:p>
            <w:pPr>
              <w:spacing w:after="0"/>
              <w:rPr>
                <w:sz w:val="1"/>
                <w:szCs w:val="1"/>
                <w:color w:val="auto"/>
              </w:rPr>
            </w:pPr>
          </w:p>
        </w:tc>
      </w:tr>
      <w:tr>
        <w:trPr>
          <w:trHeight w:val="193"/>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2"/>
                <w:szCs w:val="12"/>
                <w:color w:val="auto"/>
              </w:rPr>
              <w:t>Total assets</w:t>
            </w: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2,184.5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2,130.7</w:t>
            </w:r>
          </w:p>
        </w:tc>
        <w:tc>
          <w:tcPr>
            <w:tcW w:w="0" w:type="dxa"/>
            <w:vAlign w:val="bottom"/>
          </w:tcPr>
          <w:p>
            <w:pPr>
              <w:spacing w:after="0"/>
              <w:rPr>
                <w:sz w:val="1"/>
                <w:szCs w:val="1"/>
                <w:color w:val="auto"/>
              </w:rPr>
            </w:pPr>
          </w:p>
        </w:tc>
      </w:tr>
      <w:tr>
        <w:trPr>
          <w:trHeight w:val="159"/>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b w:val="1"/>
                <w:bCs w:val="1"/>
                <w:color w:val="auto"/>
              </w:rPr>
              <w:t>LIABILITIES AND STOCKHOLDERS' EQUITY</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Current Liabilities</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Trade accounts payable</w:t>
            </w: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178.2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179.1</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080" w:type="dxa"/>
            <w:vAlign w:val="bottom"/>
            <w:gridSpan w:val="2"/>
          </w:tcPr>
          <w:p>
            <w:pPr>
              <w:ind w:left="180"/>
              <w:spacing w:after="0"/>
              <w:rPr>
                <w:sz w:val="20"/>
                <w:szCs w:val="20"/>
                <w:color w:val="auto"/>
              </w:rPr>
            </w:pPr>
            <w:r>
              <w:rPr>
                <w:rFonts w:ascii="Arial" w:cs="Arial" w:eastAsia="Arial" w:hAnsi="Arial"/>
                <w:sz w:val="12"/>
                <w:szCs w:val="12"/>
                <w:color w:val="auto"/>
              </w:rPr>
              <w:t>Accrued compensation</w:t>
            </w:r>
          </w:p>
        </w:tc>
        <w:tc>
          <w:tcPr>
            <w:tcW w:w="24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2"/>
                <w:szCs w:val="12"/>
                <w:color w:val="auto"/>
              </w:rPr>
              <w:t>117.1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2"/>
                <w:szCs w:val="12"/>
                <w:color w:val="auto"/>
              </w:rPr>
              <w:t>128.8</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Accrued taxes—other than income</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35.7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080" w:type="dxa"/>
            <w:vAlign w:val="bottom"/>
            <w:gridSpan w:val="2"/>
          </w:tcPr>
          <w:p>
            <w:pPr>
              <w:ind w:left="180"/>
              <w:spacing w:after="0"/>
              <w:rPr>
                <w:sz w:val="20"/>
                <w:szCs w:val="20"/>
                <w:color w:val="auto"/>
              </w:rPr>
            </w:pPr>
            <w:r>
              <w:rPr>
                <w:rFonts w:ascii="Arial" w:cs="Arial" w:eastAsia="Arial" w:hAnsi="Arial"/>
                <w:sz w:val="12"/>
                <w:szCs w:val="12"/>
                <w:color w:val="auto"/>
              </w:rPr>
              <w:t>Insurance claims</w:t>
            </w:r>
          </w:p>
        </w:tc>
        <w:tc>
          <w:tcPr>
            <w:tcW w:w="24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2"/>
                <w:szCs w:val="12"/>
                <w:color w:val="auto"/>
              </w:rPr>
              <w:t>90.3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2"/>
                <w:szCs w:val="12"/>
                <w:color w:val="auto"/>
              </w:rPr>
              <w:t>90.0</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Income taxes payable</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85"/>
        </w:trPr>
        <w:tc>
          <w:tcPr>
            <w:tcW w:w="40" w:type="dxa"/>
            <w:vAlign w:val="bottom"/>
            <w:tcBorders>
              <w:bottom w:val="single" w:sz="8" w:color="CCEEFF"/>
            </w:tcBorders>
          </w:tcPr>
          <w:p>
            <w:pPr>
              <w:spacing w:after="0"/>
              <w:rPr>
                <w:sz w:val="16"/>
                <w:szCs w:val="16"/>
                <w:color w:val="auto"/>
              </w:rPr>
            </w:pPr>
          </w:p>
        </w:tc>
        <w:tc>
          <w:tcPr>
            <w:tcW w:w="8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Other accrued liabilities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146.3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129.8</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80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568.2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568.2</w:t>
            </w:r>
          </w:p>
        </w:tc>
        <w:tc>
          <w:tcPr>
            <w:tcW w:w="0" w:type="dxa"/>
            <w:vAlign w:val="bottom"/>
          </w:tcPr>
          <w:p>
            <w:pPr>
              <w:spacing w:after="0"/>
              <w:rPr>
                <w:sz w:val="1"/>
                <w:szCs w:val="1"/>
                <w:color w:val="auto"/>
              </w:rPr>
            </w:pPr>
          </w:p>
        </w:tc>
      </w:tr>
      <w:tr>
        <w:trPr>
          <w:trHeight w:val="176"/>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Noncurrent income taxes payable</w:t>
            </w:r>
          </w:p>
        </w:tc>
        <w:tc>
          <w:tcPr>
            <w:tcW w:w="240" w:type="dxa"/>
            <w:vAlign w:val="bottom"/>
          </w:tcPr>
          <w:p>
            <w:pPr>
              <w:spacing w:after="0"/>
              <w:rPr>
                <w:sz w:val="15"/>
                <w:szCs w:val="15"/>
                <w:color w:val="auto"/>
              </w:rPr>
            </w:pPr>
          </w:p>
        </w:tc>
        <w:tc>
          <w:tcPr>
            <w:tcW w:w="1380" w:type="dxa"/>
            <w:vAlign w:val="bottom"/>
          </w:tcPr>
          <w:p>
            <w:pPr>
              <w:jc w:val="right"/>
              <w:ind w:right="59"/>
              <w:spacing w:after="0"/>
              <w:rPr>
                <w:sz w:val="20"/>
                <w:szCs w:val="20"/>
                <w:color w:val="auto"/>
              </w:rPr>
            </w:pPr>
            <w:r>
              <w:rPr>
                <w:rFonts w:ascii="Arial" w:cs="Arial" w:eastAsia="Arial" w:hAnsi="Arial"/>
                <w:sz w:val="12"/>
                <w:szCs w:val="12"/>
                <w:color w:val="auto"/>
              </w:rPr>
              <w:t>54.7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39"/>
              <w:spacing w:after="0"/>
              <w:rPr>
                <w:sz w:val="20"/>
                <w:szCs w:val="20"/>
                <w:color w:val="auto"/>
              </w:rPr>
            </w:pPr>
            <w:r>
              <w:rPr>
                <w:rFonts w:ascii="Arial" w:cs="Arial" w:eastAsia="Arial" w:hAnsi="Arial"/>
                <w:sz w:val="12"/>
                <w:szCs w:val="12"/>
                <w:color w:val="auto"/>
              </w:rPr>
              <w:t>53.2</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Line of credit</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208.9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158.0</w:t>
            </w: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Noncurrent insurance claims</w:t>
            </w:r>
          </w:p>
        </w:tc>
        <w:tc>
          <w:tcPr>
            <w:tcW w:w="24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2"/>
                <w:szCs w:val="12"/>
                <w:color w:val="auto"/>
              </w:rPr>
              <w:t>304.5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2"/>
                <w:szCs w:val="12"/>
                <w:color w:val="auto"/>
              </w:rPr>
              <w:t>297.4</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Other noncurrent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56.0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46.4</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80" w:type="dxa"/>
            <w:vAlign w:val="bottom"/>
            <w:gridSpan w:val="2"/>
          </w:tcPr>
          <w:p>
            <w:pPr>
              <w:ind w:left="180"/>
              <w:spacing w:after="0"/>
              <w:rPr>
                <w:sz w:val="20"/>
                <w:szCs w:val="20"/>
                <w:color w:val="auto"/>
              </w:rPr>
            </w:pPr>
            <w:r>
              <w:rPr>
                <w:rFonts w:ascii="Arial" w:cs="Arial" w:eastAsia="Arial" w:hAnsi="Arial"/>
                <w:sz w:val="12"/>
                <w:szCs w:val="12"/>
                <w:color w:val="auto"/>
              </w:rPr>
              <w:t>Total liabilities</w:t>
            </w:r>
          </w:p>
        </w:tc>
        <w:tc>
          <w:tcPr>
            <w:tcW w:w="240" w:type="dxa"/>
            <w:vAlign w:val="bottom"/>
          </w:tcPr>
          <w:p>
            <w:pPr>
              <w:spacing w:after="0"/>
              <w:rPr>
                <w:sz w:val="15"/>
                <w:szCs w:val="15"/>
                <w:color w:val="auto"/>
              </w:rPr>
            </w:pPr>
          </w:p>
        </w:tc>
        <w:tc>
          <w:tcPr>
            <w:tcW w:w="1380" w:type="dxa"/>
            <w:vAlign w:val="bottom"/>
          </w:tcPr>
          <w:p>
            <w:pPr>
              <w:jc w:val="right"/>
              <w:ind w:right="59"/>
              <w:spacing w:after="0"/>
              <w:rPr>
                <w:sz w:val="20"/>
                <w:szCs w:val="20"/>
                <w:color w:val="auto"/>
              </w:rPr>
            </w:pPr>
            <w:r>
              <w:rPr>
                <w:rFonts w:ascii="Arial" w:cs="Arial" w:eastAsia="Arial" w:hAnsi="Arial"/>
                <w:sz w:val="12"/>
                <w:szCs w:val="12"/>
                <w:color w:val="auto"/>
              </w:rPr>
              <w:t>1,192.3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39"/>
              <w:spacing w:after="0"/>
              <w:rPr>
                <w:sz w:val="20"/>
                <w:szCs w:val="20"/>
                <w:color w:val="auto"/>
              </w:rPr>
            </w:pPr>
            <w:r>
              <w:rPr>
                <w:rFonts w:ascii="Arial" w:cs="Arial" w:eastAsia="Arial" w:hAnsi="Arial"/>
                <w:sz w:val="12"/>
                <w:szCs w:val="12"/>
                <w:color w:val="auto"/>
              </w:rPr>
              <w:t>1,123.2</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Total stockholders' equity</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992.2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1,007.5</w:t>
            </w:r>
          </w:p>
        </w:tc>
        <w:tc>
          <w:tcPr>
            <w:tcW w:w="0" w:type="dxa"/>
            <w:vAlign w:val="bottom"/>
          </w:tcPr>
          <w:p>
            <w:pPr>
              <w:spacing w:after="0"/>
              <w:rPr>
                <w:sz w:val="1"/>
                <w:szCs w:val="1"/>
                <w:color w:val="auto"/>
              </w:rPr>
            </w:pPr>
          </w:p>
        </w:tc>
      </w:tr>
      <w:tr>
        <w:trPr>
          <w:trHeight w:val="153"/>
        </w:trPr>
        <w:tc>
          <w:tcPr>
            <w:tcW w:w="8120" w:type="dxa"/>
            <w:vAlign w:val="bottom"/>
            <w:gridSpan w:val="3"/>
          </w:tcPr>
          <w:p>
            <w:pPr>
              <w:ind w:left="40"/>
              <w:spacing w:after="0"/>
              <w:rPr>
                <w:sz w:val="20"/>
                <w:szCs w:val="20"/>
                <w:color w:val="auto"/>
              </w:rPr>
            </w:pPr>
            <w:r>
              <w:rPr>
                <w:rFonts w:ascii="Arial" w:cs="Arial" w:eastAsia="Arial" w:hAnsi="Arial"/>
                <w:sz w:val="12"/>
                <w:szCs w:val="12"/>
                <w:color w:val="auto"/>
              </w:rPr>
              <w:t>Total liabilities and stockholders’ equity</w:t>
            </w: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2,184.5</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2,130.7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2663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AND OPERATING PROFIT BY SEGMENT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400" w:type="dxa"/>
            <w:vAlign w:val="bottom"/>
            <w:gridSpan w:val="3"/>
            <w:vMerge w:val="restart"/>
          </w:tcPr>
          <w:p>
            <w:pPr>
              <w:ind w:left="40"/>
              <w:spacing w:after="0"/>
              <w:rPr>
                <w:sz w:val="20"/>
                <w:szCs w:val="20"/>
                <w:color w:val="auto"/>
              </w:rPr>
            </w:pPr>
            <w:r>
              <w:rPr>
                <w:rFonts w:ascii="Arial" w:cs="Arial" w:eastAsia="Arial" w:hAnsi="Arial"/>
                <w:sz w:val="12"/>
                <w:szCs w:val="12"/>
                <w:i w:val="1"/>
                <w:iCs w:val="1"/>
                <w:u w:val="single" w:color="auto"/>
                <w:color w:val="auto"/>
              </w:rPr>
              <w:t>(</w:t>
            </w:r>
            <w:r>
              <w:rPr>
                <w:rFonts w:ascii="Arial" w:cs="Arial" w:eastAsia="Arial" w:hAnsi="Arial"/>
                <w:sz w:val="12"/>
                <w:szCs w:val="12"/>
                <w:i w:val="1"/>
                <w:iCs w:val="1"/>
                <w:color w:val="auto"/>
              </w:rPr>
              <w:t>$ in millions)</w:t>
            </w:r>
          </w:p>
        </w:tc>
        <w:tc>
          <w:tcPr>
            <w:tcW w:w="276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2"/>
                <w:szCs w:val="12"/>
                <w:b w:val="1"/>
                <w:bCs w:val="1"/>
                <w:color w:val="auto"/>
              </w:rPr>
              <w:t>Three Months Ended April 30,</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restart"/>
          </w:tcPr>
          <w:p>
            <w:pPr>
              <w:jc w:val="right"/>
              <w:ind w:right="479"/>
              <w:spacing w:after="0"/>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28"/>
        </w:trPr>
        <w:tc>
          <w:tcPr>
            <w:tcW w:w="640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1"/>
        </w:trPr>
        <w:tc>
          <w:tcPr>
            <w:tcW w:w="6400" w:type="dxa"/>
            <w:vAlign w:val="bottom"/>
            <w:gridSpan w:val="3"/>
            <w:vMerge w:val="continue"/>
          </w:tcPr>
          <w:p>
            <w:pPr>
              <w:spacing w:after="0"/>
              <w:rPr>
                <w:sz w:val="7"/>
                <w:szCs w:val="7"/>
                <w:color w:val="auto"/>
              </w:rPr>
            </w:pPr>
          </w:p>
        </w:tc>
        <w:tc>
          <w:tcPr>
            <w:tcW w:w="10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2016</w:t>
            </w: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auto"/>
              </w:rPr>
              <w:t>2015</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vMerge w:val="restart"/>
          </w:tcPr>
          <w:p>
            <w:pPr>
              <w:jc w:val="right"/>
              <w:ind w:right="419"/>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38"/>
        </w:trPr>
        <w:tc>
          <w:tcPr>
            <w:tcW w:w="4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CCEEFF"/>
            </w:tcBorders>
          </w:tcPr>
          <w:p>
            <w:pPr>
              <w:spacing w:after="0"/>
              <w:rPr>
                <w:sz w:val="3"/>
                <w:szCs w:val="3"/>
                <w:color w:val="auto"/>
              </w:rPr>
            </w:pPr>
          </w:p>
        </w:tc>
        <w:tc>
          <w:tcPr>
            <w:tcW w:w="566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b w:val="1"/>
                <w:bCs w:val="1"/>
                <w:color w:val="auto"/>
              </w:rPr>
              <w:t>Revenues</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Janitorial</w:t>
            </w:r>
          </w:p>
        </w:tc>
        <w:tc>
          <w:tcPr>
            <w:tcW w:w="1020" w:type="dxa"/>
            <w:vAlign w:val="bottom"/>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686.4</w:t>
            </w:r>
          </w:p>
        </w:tc>
        <w:tc>
          <w:tcPr>
            <w:tcW w:w="120" w:type="dxa"/>
            <w:vAlign w:val="bottom"/>
          </w:tcPr>
          <w:p>
            <w:pPr>
              <w:spacing w:after="0"/>
              <w:rPr>
                <w:sz w:val="16"/>
                <w:szCs w:val="16"/>
                <w:color w:val="auto"/>
              </w:rPr>
            </w:pPr>
          </w:p>
        </w:tc>
        <w:tc>
          <w:tcPr>
            <w:tcW w:w="1020" w:type="dxa"/>
            <w:vAlign w:val="bottom"/>
          </w:tcPr>
          <w:p>
            <w:pPr>
              <w:jc w:val="right"/>
              <w:ind w:right="90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659.5</w:t>
            </w:r>
          </w:p>
        </w:tc>
        <w:tc>
          <w:tcPr>
            <w:tcW w:w="1700" w:type="dxa"/>
            <w:vAlign w:val="bottom"/>
            <w:gridSpan w:val="2"/>
          </w:tcPr>
          <w:p>
            <w:pPr>
              <w:jc w:val="right"/>
              <w:ind w:right="59"/>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Facility Services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143.0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145.8</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85"/>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Parking</w:t>
            </w:r>
          </w:p>
        </w:tc>
        <w:tc>
          <w:tcPr>
            <w:tcW w:w="10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164.6</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153.5</w:t>
            </w:r>
          </w:p>
        </w:tc>
        <w:tc>
          <w:tcPr>
            <w:tcW w:w="1700" w:type="dxa"/>
            <w:vAlign w:val="bottom"/>
            <w:gridSpan w:val="2"/>
          </w:tcPr>
          <w:p>
            <w:pPr>
              <w:jc w:val="right"/>
              <w:ind w:right="59"/>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Building &amp; Energy Solutions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153.1</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121.5</w:t>
            </w:r>
          </w:p>
        </w:tc>
        <w:tc>
          <w:tcPr>
            <w:tcW w:w="1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25.9%</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2"/>
                <w:szCs w:val="12"/>
                <w:color w:val="auto"/>
              </w:rPr>
              <w:t>Other</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110.0</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96.1</w:t>
            </w:r>
          </w:p>
        </w:tc>
        <w:tc>
          <w:tcPr>
            <w:tcW w:w="1700" w:type="dxa"/>
            <w:vAlign w:val="bottom"/>
            <w:tcBorders>
              <w:bottom w:val="single" w:sz="8" w:color="CCEEFF"/>
            </w:tcBorders>
            <w:gridSpan w:val="2"/>
          </w:tcPr>
          <w:p>
            <w:pPr>
              <w:jc w:val="right"/>
              <w:ind w:right="59"/>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53"/>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2"/>
                <w:szCs w:val="12"/>
                <w:b w:val="1"/>
                <w:bCs w:val="1"/>
                <w:color w:val="auto"/>
              </w:rPr>
              <w:t>Total revenues</w:t>
            </w: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1,257.1</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907"/>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1,176.4</w:t>
            </w:r>
          </w:p>
        </w:tc>
        <w:tc>
          <w:tcPr>
            <w:tcW w:w="1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Operating profit</w:t>
            </w: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400" w:type="dxa"/>
            <w:vAlign w:val="bottom"/>
            <w:gridSpan w:val="3"/>
            <w:vMerge w:val="continue"/>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Janitorial</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34.8</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07"/>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39.3</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(11.4)%</w:t>
            </w:r>
          </w:p>
        </w:tc>
        <w:tc>
          <w:tcPr>
            <w:tcW w:w="0" w:type="dxa"/>
            <w:vAlign w:val="bottom"/>
          </w:tcPr>
          <w:p>
            <w:pPr>
              <w:spacing w:after="0"/>
              <w:rPr>
                <w:sz w:val="1"/>
                <w:szCs w:val="1"/>
                <w:color w:val="auto"/>
              </w:rPr>
            </w:pPr>
          </w:p>
        </w:tc>
      </w:tr>
      <w:tr>
        <w:trPr>
          <w:trHeight w:val="185"/>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Facility Services</w:t>
            </w:r>
          </w:p>
        </w:tc>
        <w:tc>
          <w:tcPr>
            <w:tcW w:w="10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6.9</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6.6</w:t>
            </w:r>
          </w:p>
        </w:tc>
        <w:tc>
          <w:tcPr>
            <w:tcW w:w="1700" w:type="dxa"/>
            <w:vAlign w:val="bottom"/>
            <w:gridSpan w:val="2"/>
          </w:tcPr>
          <w:p>
            <w:pPr>
              <w:jc w:val="right"/>
              <w:ind w:right="59"/>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Parking</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6.3</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6.7</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85"/>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Building &amp; Energy Solutions</w:t>
            </w:r>
          </w:p>
        </w:tc>
        <w:tc>
          <w:tcPr>
            <w:tcW w:w="10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3.2</w:t>
            </w:r>
          </w:p>
        </w:tc>
        <w:tc>
          <w:tcPr>
            <w:tcW w:w="1700" w:type="dxa"/>
            <w:vAlign w:val="bottom"/>
            <w:gridSpan w:val="2"/>
          </w:tcPr>
          <w:p>
            <w:pPr>
              <w:jc w:val="right"/>
              <w:ind w:right="19"/>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3.0</w:t>
            </w:r>
          </w:p>
        </w:tc>
        <w:tc>
          <w:tcPr>
            <w:tcW w:w="1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185"/>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Corporate</w:t>
            </w:r>
          </w:p>
        </w:tc>
        <w:tc>
          <w:tcPr>
            <w:tcW w:w="102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(41.0)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(29.4)</w:t>
            </w:r>
          </w:p>
        </w:tc>
        <w:tc>
          <w:tcPr>
            <w:tcW w:w="1700" w:type="dxa"/>
            <w:vAlign w:val="bottom"/>
            <w:gridSpan w:val="2"/>
          </w:tcPr>
          <w:p>
            <w:pPr>
              <w:jc w:val="right"/>
              <w:ind w:right="59"/>
              <w:spacing w:after="0"/>
              <w:rPr>
                <w:sz w:val="20"/>
                <w:szCs w:val="20"/>
                <w:color w:val="auto"/>
              </w:rPr>
            </w:pPr>
            <w:r>
              <w:rPr>
                <w:rFonts w:ascii="Arial" w:cs="Arial" w:eastAsia="Arial" w:hAnsi="Arial"/>
                <w:sz w:val="12"/>
                <w:szCs w:val="12"/>
                <w:color w:val="auto"/>
              </w:rPr>
              <w:t>39.7%</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63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Adjustment for income from unconsolidated affiliates, net included in Building &amp; Energy Solutions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(0.8)</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(61.4)%</w:t>
            </w:r>
          </w:p>
        </w:tc>
        <w:tc>
          <w:tcPr>
            <w:tcW w:w="0" w:type="dxa"/>
            <w:vAlign w:val="bottom"/>
          </w:tcPr>
          <w:p>
            <w:pPr>
              <w:spacing w:after="0"/>
              <w:rPr>
                <w:sz w:val="1"/>
                <w:szCs w:val="1"/>
                <w:color w:val="auto"/>
              </w:rPr>
            </w:pPr>
          </w:p>
        </w:tc>
      </w:tr>
      <w:tr>
        <w:trPr>
          <w:trHeight w:val="185"/>
        </w:trPr>
        <w:tc>
          <w:tcPr>
            <w:tcW w:w="40" w:type="dxa"/>
            <w:vAlign w:val="bottom"/>
            <w:tcBorders>
              <w:bottom w:val="single" w:sz="8" w:color="CCEEFF"/>
            </w:tcBorders>
          </w:tcPr>
          <w:p>
            <w:pPr>
              <w:spacing w:after="0"/>
              <w:rPr>
                <w:sz w:val="16"/>
                <w:szCs w:val="16"/>
                <w:color w:val="auto"/>
              </w:rPr>
            </w:pPr>
          </w:p>
        </w:tc>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Adjustment for tax deductions for energy efficient government buildings, included in Building &amp; Energy Solutions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(0.9)</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700" w:type="dxa"/>
            <w:vAlign w:val="bottom"/>
            <w:tcBorders>
              <w:bottom w:val="single" w:sz="8" w:color="CCEEFF"/>
            </w:tcBorders>
            <w:gridSpan w:val="2"/>
          </w:tcPr>
          <w:p>
            <w:pPr>
              <w:jc w:val="right"/>
              <w:ind w:right="59"/>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b w:val="1"/>
                <w:bCs w:val="1"/>
                <w:color w:val="auto"/>
              </w:rPr>
              <w:t>Total operating profit</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11.8</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27.2</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85"/>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Income from unconsolidated affiliates, net</w:t>
            </w:r>
          </w:p>
        </w:tc>
        <w:tc>
          <w:tcPr>
            <w:tcW w:w="10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0.9</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2.2</w:t>
            </w:r>
          </w:p>
        </w:tc>
        <w:tc>
          <w:tcPr>
            <w:tcW w:w="1700" w:type="dxa"/>
            <w:vAlign w:val="bottom"/>
            <w:gridSpan w:val="2"/>
          </w:tcPr>
          <w:p>
            <w:pPr>
              <w:jc w:val="right"/>
              <w:ind w:right="19"/>
              <w:spacing w:after="0"/>
              <w:rPr>
                <w:sz w:val="20"/>
                <w:szCs w:val="20"/>
                <w:color w:val="auto"/>
              </w:rPr>
            </w:pPr>
            <w:r>
              <w:rPr>
                <w:rFonts w:ascii="Arial" w:cs="Arial" w:eastAsia="Arial" w:hAnsi="Arial"/>
                <w:sz w:val="12"/>
                <w:szCs w:val="12"/>
                <w:color w:val="auto"/>
              </w:rPr>
              <w:t>(59.6)%</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Interest expense</w:t>
            </w:r>
          </w:p>
        </w:tc>
        <w:tc>
          <w:tcPr>
            <w:tcW w:w="10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76"/>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Income from continuing operations before income taxes</w:t>
            </w:r>
          </w:p>
        </w:tc>
        <w:tc>
          <w:tcPr>
            <w:tcW w:w="102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10.3</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26.9</w:t>
            </w:r>
          </w:p>
        </w:tc>
        <w:tc>
          <w:tcPr>
            <w:tcW w:w="1700" w:type="dxa"/>
            <w:vAlign w:val="bottom"/>
            <w:gridSpan w:val="2"/>
          </w:tcPr>
          <w:p>
            <w:pPr>
              <w:jc w:val="right"/>
              <w:ind w:right="19"/>
              <w:spacing w:after="0"/>
              <w:rPr>
                <w:sz w:val="20"/>
                <w:szCs w:val="20"/>
                <w:color w:val="auto"/>
              </w:rPr>
            </w:pPr>
            <w:r>
              <w:rPr>
                <w:rFonts w:ascii="Arial" w:cs="Arial" w:eastAsia="Arial" w:hAnsi="Arial"/>
                <w:sz w:val="12"/>
                <w:szCs w:val="12"/>
                <w:color w:val="auto"/>
              </w:rPr>
              <w:t>(61.7)%</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Income tax provision</w:t>
            </w:r>
          </w:p>
        </w:tc>
        <w:tc>
          <w:tcPr>
            <w:tcW w:w="10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(67.8)%</w:t>
            </w:r>
          </w:p>
        </w:tc>
        <w:tc>
          <w:tcPr>
            <w:tcW w:w="0" w:type="dxa"/>
            <w:vAlign w:val="bottom"/>
          </w:tcPr>
          <w:p>
            <w:pPr>
              <w:spacing w:after="0"/>
              <w:rPr>
                <w:sz w:val="1"/>
                <w:szCs w:val="1"/>
                <w:color w:val="auto"/>
              </w:rPr>
            </w:pPr>
          </w:p>
        </w:tc>
      </w:tr>
      <w:tr>
        <w:trPr>
          <w:trHeight w:val="176"/>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Income from continuing operations</w:t>
            </w:r>
          </w:p>
        </w:tc>
        <w:tc>
          <w:tcPr>
            <w:tcW w:w="102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6.8</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16.0</w:t>
            </w:r>
          </w:p>
        </w:tc>
        <w:tc>
          <w:tcPr>
            <w:tcW w:w="1700" w:type="dxa"/>
            <w:vAlign w:val="bottom"/>
            <w:gridSpan w:val="2"/>
          </w:tcPr>
          <w:p>
            <w:pPr>
              <w:jc w:val="right"/>
              <w:ind w:right="19"/>
              <w:spacing w:after="0"/>
              <w:rPr>
                <w:sz w:val="20"/>
                <w:szCs w:val="20"/>
                <w:color w:val="auto"/>
              </w:rPr>
            </w:pPr>
            <w:r>
              <w:rPr>
                <w:rFonts w:ascii="Arial" w:cs="Arial" w:eastAsia="Arial" w:hAnsi="Arial"/>
                <w:sz w:val="12"/>
                <w:szCs w:val="12"/>
                <w:color w:val="auto"/>
              </w:rPr>
              <w:t>(57.6)%</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Net (loss) income from discontinued operations</w:t>
            </w:r>
          </w:p>
        </w:tc>
        <w:tc>
          <w:tcPr>
            <w:tcW w:w="10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53"/>
        </w:trPr>
        <w:tc>
          <w:tcPr>
            <w:tcW w:w="6400" w:type="dxa"/>
            <w:vAlign w:val="bottom"/>
            <w:gridSpan w:val="3"/>
          </w:tcPr>
          <w:p>
            <w:pPr>
              <w:ind w:left="40"/>
              <w:spacing w:after="0"/>
              <w:rPr>
                <w:sz w:val="20"/>
                <w:szCs w:val="20"/>
                <w:color w:val="auto"/>
              </w:rPr>
            </w:pPr>
            <w:r>
              <w:rPr>
                <w:rFonts w:ascii="Arial" w:cs="Arial" w:eastAsia="Arial" w:hAnsi="Arial"/>
                <w:sz w:val="12"/>
                <w:szCs w:val="12"/>
                <w:b w:val="1"/>
                <w:bCs w:val="1"/>
                <w:color w:val="auto"/>
              </w:rPr>
              <w:t>Net income</w:t>
            </w:r>
          </w:p>
        </w:tc>
        <w:tc>
          <w:tcPr>
            <w:tcW w:w="1020" w:type="dxa"/>
            <w:vAlign w:val="bottom"/>
            <w:tcBorders>
              <w:bottom w:val="single" w:sz="8" w:color="auto"/>
            </w:tcBorders>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3"/>
                <w:szCs w:val="13"/>
                <w:color w:val="auto"/>
              </w:rPr>
            </w:pPr>
          </w:p>
        </w:tc>
        <w:tc>
          <w:tcPr>
            <w:tcW w:w="1020" w:type="dxa"/>
            <w:vAlign w:val="bottom"/>
            <w:tcBorders>
              <w:bottom w:val="single" w:sz="8" w:color="auto"/>
            </w:tcBorders>
          </w:tcPr>
          <w:p>
            <w:pPr>
              <w:jc w:val="right"/>
              <w:ind w:right="907"/>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18.3</w:t>
            </w:r>
          </w:p>
        </w:tc>
        <w:tc>
          <w:tcPr>
            <w:tcW w:w="1700" w:type="dxa"/>
            <w:vAlign w:val="bottom"/>
            <w:gridSpan w:val="2"/>
          </w:tcPr>
          <w:p>
            <w:pPr>
              <w:jc w:val="right"/>
              <w:ind w:right="19"/>
              <w:spacing w:after="0"/>
              <w:rPr>
                <w:sz w:val="20"/>
                <w:szCs w:val="20"/>
                <w:color w:val="auto"/>
              </w:rPr>
            </w:pPr>
            <w:r>
              <w:rPr>
                <w:rFonts w:ascii="Arial" w:cs="Arial" w:eastAsia="Arial" w:hAnsi="Arial"/>
                <w:sz w:val="12"/>
                <w:szCs w:val="12"/>
                <w:color w:val="auto"/>
              </w:rPr>
              <w:t>(76.1)%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
        <w:spacing w:after="0"/>
        <w:rPr>
          <w:sz w:val="20"/>
          <w:szCs w:val="20"/>
          <w:color w:val="auto"/>
        </w:rPr>
      </w:pPr>
      <w:r>
        <w:rPr>
          <w:rFonts w:ascii="Arial" w:cs="Arial" w:eastAsia="Arial" w:hAnsi="Arial"/>
          <w:sz w:val="15"/>
          <w:szCs w:val="15"/>
          <w:color w:val="auto"/>
        </w:rPr>
        <w:t>* Not meaningful</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26630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AND OPERATING PROFIT BY SEGMENT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400" w:type="dxa"/>
            <w:vAlign w:val="bottom"/>
            <w:gridSpan w:val="3"/>
            <w:vMerge w:val="restart"/>
          </w:tcPr>
          <w:p>
            <w:pPr>
              <w:ind w:left="40"/>
              <w:spacing w:after="0"/>
              <w:rPr>
                <w:sz w:val="20"/>
                <w:szCs w:val="20"/>
                <w:color w:val="auto"/>
              </w:rPr>
            </w:pPr>
            <w:r>
              <w:rPr>
                <w:rFonts w:ascii="Arial" w:cs="Arial" w:eastAsia="Arial" w:hAnsi="Arial"/>
                <w:sz w:val="12"/>
                <w:szCs w:val="12"/>
                <w:i w:val="1"/>
                <w:iCs w:val="1"/>
                <w:u w:val="single" w:color="auto"/>
                <w:color w:val="auto"/>
              </w:rPr>
              <w:t>(</w:t>
            </w:r>
            <w:r>
              <w:rPr>
                <w:rFonts w:ascii="Arial" w:cs="Arial" w:eastAsia="Arial" w:hAnsi="Arial"/>
                <w:sz w:val="12"/>
                <w:szCs w:val="12"/>
                <w:i w:val="1"/>
                <w:iCs w:val="1"/>
                <w:color w:val="auto"/>
              </w:rPr>
              <w:t>$ in millions)</w:t>
            </w:r>
          </w:p>
        </w:tc>
        <w:tc>
          <w:tcPr>
            <w:tcW w:w="276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2"/>
                <w:szCs w:val="12"/>
                <w:b w:val="1"/>
                <w:bCs w:val="1"/>
                <w:color w:val="auto"/>
              </w:rPr>
              <w:t>Six Months Ended April 30,</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restart"/>
          </w:tcPr>
          <w:p>
            <w:pPr>
              <w:jc w:val="right"/>
              <w:ind w:right="479"/>
              <w:spacing w:after="0"/>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28"/>
        </w:trPr>
        <w:tc>
          <w:tcPr>
            <w:tcW w:w="640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1"/>
        </w:trPr>
        <w:tc>
          <w:tcPr>
            <w:tcW w:w="6400" w:type="dxa"/>
            <w:vAlign w:val="bottom"/>
            <w:gridSpan w:val="3"/>
            <w:vMerge w:val="continue"/>
          </w:tcPr>
          <w:p>
            <w:pPr>
              <w:spacing w:after="0"/>
              <w:rPr>
                <w:sz w:val="7"/>
                <w:szCs w:val="7"/>
                <w:color w:val="auto"/>
              </w:rPr>
            </w:pPr>
          </w:p>
        </w:tc>
        <w:tc>
          <w:tcPr>
            <w:tcW w:w="10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2016</w:t>
            </w: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auto"/>
              </w:rPr>
              <w:t>2015</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vMerge w:val="restart"/>
          </w:tcPr>
          <w:p>
            <w:pPr>
              <w:jc w:val="right"/>
              <w:ind w:right="419"/>
              <w:spacing w:after="0"/>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38"/>
        </w:trPr>
        <w:tc>
          <w:tcPr>
            <w:tcW w:w="4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CCEEFF"/>
            </w:tcBorders>
          </w:tcPr>
          <w:p>
            <w:pPr>
              <w:spacing w:after="0"/>
              <w:rPr>
                <w:sz w:val="3"/>
                <w:szCs w:val="3"/>
                <w:color w:val="auto"/>
              </w:rPr>
            </w:pPr>
          </w:p>
        </w:tc>
        <w:tc>
          <w:tcPr>
            <w:tcW w:w="566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b w:val="1"/>
                <w:bCs w:val="1"/>
                <w:color w:val="auto"/>
              </w:rPr>
              <w:t>Revenues</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Janitorial</w:t>
            </w:r>
          </w:p>
        </w:tc>
        <w:tc>
          <w:tcPr>
            <w:tcW w:w="1020" w:type="dxa"/>
            <w:vAlign w:val="bottom"/>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1,372.1</w:t>
            </w:r>
          </w:p>
        </w:tc>
        <w:tc>
          <w:tcPr>
            <w:tcW w:w="120" w:type="dxa"/>
            <w:vAlign w:val="bottom"/>
          </w:tcPr>
          <w:p>
            <w:pPr>
              <w:spacing w:after="0"/>
              <w:rPr>
                <w:sz w:val="16"/>
                <w:szCs w:val="16"/>
                <w:color w:val="auto"/>
              </w:rPr>
            </w:pPr>
          </w:p>
        </w:tc>
        <w:tc>
          <w:tcPr>
            <w:tcW w:w="1020" w:type="dxa"/>
            <w:vAlign w:val="bottom"/>
          </w:tcPr>
          <w:p>
            <w:pPr>
              <w:jc w:val="right"/>
              <w:ind w:right="90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1,325.5</w:t>
            </w:r>
          </w:p>
        </w:tc>
        <w:tc>
          <w:tcPr>
            <w:tcW w:w="1700" w:type="dxa"/>
            <w:vAlign w:val="bottom"/>
            <w:gridSpan w:val="2"/>
          </w:tcPr>
          <w:p>
            <w:pPr>
              <w:jc w:val="right"/>
              <w:ind w:right="59"/>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Facility Services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301.4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302.0</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85"/>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Parking</w:t>
            </w:r>
          </w:p>
        </w:tc>
        <w:tc>
          <w:tcPr>
            <w:tcW w:w="10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326.7</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309.2</w:t>
            </w:r>
          </w:p>
        </w:tc>
        <w:tc>
          <w:tcPr>
            <w:tcW w:w="1700" w:type="dxa"/>
            <w:vAlign w:val="bottom"/>
            <w:gridSpan w:val="2"/>
          </w:tcPr>
          <w:p>
            <w:pPr>
              <w:jc w:val="right"/>
              <w:ind w:right="59"/>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Building &amp; Energy Solutions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302.9</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240.9</w:t>
            </w:r>
          </w:p>
        </w:tc>
        <w:tc>
          <w:tcPr>
            <w:tcW w:w="1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25.7%</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2"/>
                <w:szCs w:val="12"/>
                <w:color w:val="auto"/>
              </w:rPr>
              <w:t>Other</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222.3</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193.3</w:t>
            </w:r>
          </w:p>
        </w:tc>
        <w:tc>
          <w:tcPr>
            <w:tcW w:w="1700" w:type="dxa"/>
            <w:vAlign w:val="bottom"/>
            <w:tcBorders>
              <w:bottom w:val="single" w:sz="8" w:color="CCEEFF"/>
            </w:tcBorders>
            <w:gridSpan w:val="2"/>
          </w:tcPr>
          <w:p>
            <w:pPr>
              <w:jc w:val="right"/>
              <w:ind w:right="59"/>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53"/>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2"/>
                <w:szCs w:val="12"/>
                <w:b w:val="1"/>
                <w:bCs w:val="1"/>
                <w:color w:val="auto"/>
              </w:rPr>
              <w:t>Total revenues</w:t>
            </w: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2,525.5</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907"/>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2,370.9</w:t>
            </w:r>
          </w:p>
        </w:tc>
        <w:tc>
          <w:tcPr>
            <w:tcW w:w="1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Operating profit</w:t>
            </w: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400" w:type="dxa"/>
            <w:vAlign w:val="bottom"/>
            <w:gridSpan w:val="3"/>
            <w:vMerge w:val="continue"/>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Janitorial</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68.5</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07"/>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73.7</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85"/>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Facility Services</w:t>
            </w:r>
          </w:p>
        </w:tc>
        <w:tc>
          <w:tcPr>
            <w:tcW w:w="10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12.5</w:t>
            </w:r>
          </w:p>
        </w:tc>
        <w:tc>
          <w:tcPr>
            <w:tcW w:w="1700" w:type="dxa"/>
            <w:vAlign w:val="bottom"/>
            <w:gridSpan w:val="2"/>
          </w:tcPr>
          <w:p>
            <w:pPr>
              <w:jc w:val="right"/>
              <w:ind w:right="19"/>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Parking</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11.3</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13.2</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85"/>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Building &amp; Energy Solutions</w:t>
            </w:r>
          </w:p>
        </w:tc>
        <w:tc>
          <w:tcPr>
            <w:tcW w:w="10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9.4</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6"/>
                <w:szCs w:val="16"/>
                <w:color w:val="auto"/>
              </w:rPr>
            </w:pPr>
          </w:p>
        </w:tc>
        <w:tc>
          <w:tcPr>
            <w:tcW w:w="1600" w:type="dxa"/>
            <w:vAlign w:val="bottom"/>
          </w:tcPr>
          <w:p>
            <w:pPr>
              <w:jc w:val="right"/>
              <w:ind w:right="39"/>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5.2</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5.6</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85"/>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Corporate</w:t>
            </w:r>
          </w:p>
        </w:tc>
        <w:tc>
          <w:tcPr>
            <w:tcW w:w="102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(76.6)</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(61.7)</w:t>
            </w:r>
          </w:p>
        </w:tc>
        <w:tc>
          <w:tcPr>
            <w:tcW w:w="1700" w:type="dxa"/>
            <w:vAlign w:val="bottom"/>
            <w:gridSpan w:val="2"/>
          </w:tcPr>
          <w:p>
            <w:pPr>
              <w:jc w:val="right"/>
              <w:ind w:right="59"/>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63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Adjustment for income from unconsolidated affiliates, net included in Building &amp; Energy Solutions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85"/>
        </w:trPr>
        <w:tc>
          <w:tcPr>
            <w:tcW w:w="40" w:type="dxa"/>
            <w:vAlign w:val="bottom"/>
            <w:tcBorders>
              <w:bottom w:val="single" w:sz="8" w:color="CCEEFF"/>
            </w:tcBorders>
          </w:tcPr>
          <w:p>
            <w:pPr>
              <w:spacing w:after="0"/>
              <w:rPr>
                <w:sz w:val="16"/>
                <w:szCs w:val="16"/>
                <w:color w:val="auto"/>
              </w:rPr>
            </w:pPr>
          </w:p>
        </w:tc>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Adjustment for tax deductions for energy efficient government buildings, included in Building &amp; Energy Solutions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(1.1)</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700" w:type="dxa"/>
            <w:vAlign w:val="bottom"/>
            <w:tcBorders>
              <w:bottom w:val="single" w:sz="8" w:color="CCEEFF"/>
            </w:tcBorders>
            <w:gridSpan w:val="2"/>
          </w:tcPr>
          <w:p>
            <w:pPr>
              <w:jc w:val="right"/>
              <w:ind w:right="59"/>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b w:val="1"/>
                <w:bCs w:val="1"/>
                <w:color w:val="auto"/>
              </w:rPr>
              <w:t>Total operating profit</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25.4</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44.0</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(42.2)%</w:t>
            </w:r>
          </w:p>
        </w:tc>
        <w:tc>
          <w:tcPr>
            <w:tcW w:w="0" w:type="dxa"/>
            <w:vAlign w:val="bottom"/>
          </w:tcPr>
          <w:p>
            <w:pPr>
              <w:spacing w:after="0"/>
              <w:rPr>
                <w:sz w:val="1"/>
                <w:szCs w:val="1"/>
                <w:color w:val="auto"/>
              </w:rPr>
            </w:pPr>
          </w:p>
        </w:tc>
      </w:tr>
      <w:tr>
        <w:trPr>
          <w:trHeight w:val="185"/>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Income from unconsolidated affiliates, net</w:t>
            </w:r>
          </w:p>
        </w:tc>
        <w:tc>
          <w:tcPr>
            <w:tcW w:w="10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3.7</w:t>
            </w:r>
          </w:p>
        </w:tc>
        <w:tc>
          <w:tcPr>
            <w:tcW w:w="1700" w:type="dxa"/>
            <w:vAlign w:val="bottom"/>
            <w:gridSpan w:val="2"/>
          </w:tcPr>
          <w:p>
            <w:pPr>
              <w:jc w:val="right"/>
              <w:ind w:right="19"/>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Interest expense</w:t>
            </w:r>
          </w:p>
        </w:tc>
        <w:tc>
          <w:tcPr>
            <w:tcW w:w="10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76"/>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Income from continuing operations before income taxes</w:t>
            </w:r>
          </w:p>
        </w:tc>
        <w:tc>
          <w:tcPr>
            <w:tcW w:w="102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23.6</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42.5</w:t>
            </w:r>
          </w:p>
        </w:tc>
        <w:tc>
          <w:tcPr>
            <w:tcW w:w="1700" w:type="dxa"/>
            <w:vAlign w:val="bottom"/>
            <w:gridSpan w:val="2"/>
          </w:tcPr>
          <w:p>
            <w:pPr>
              <w:jc w:val="right"/>
              <w:ind w:right="19"/>
              <w:spacing w:after="0"/>
              <w:rPr>
                <w:sz w:val="20"/>
                <w:szCs w:val="20"/>
                <w:color w:val="auto"/>
              </w:rPr>
            </w:pPr>
            <w:r>
              <w:rPr>
                <w:rFonts w:ascii="Arial" w:cs="Arial" w:eastAsia="Arial" w:hAnsi="Arial"/>
                <w:sz w:val="12"/>
                <w:szCs w:val="12"/>
                <w:color w:val="auto"/>
              </w:rPr>
              <w:t>(44.4)%</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Income tax provision</w:t>
            </w:r>
          </w:p>
        </w:tc>
        <w:tc>
          <w:tcPr>
            <w:tcW w:w="10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170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(73.7)%</w:t>
            </w:r>
          </w:p>
        </w:tc>
        <w:tc>
          <w:tcPr>
            <w:tcW w:w="0" w:type="dxa"/>
            <w:vAlign w:val="bottom"/>
          </w:tcPr>
          <w:p>
            <w:pPr>
              <w:spacing w:after="0"/>
              <w:rPr>
                <w:sz w:val="1"/>
                <w:szCs w:val="1"/>
                <w:color w:val="auto"/>
              </w:rPr>
            </w:pPr>
          </w:p>
        </w:tc>
      </w:tr>
      <w:tr>
        <w:trPr>
          <w:trHeight w:val="176"/>
        </w:trPr>
        <w:tc>
          <w:tcPr>
            <w:tcW w:w="6400" w:type="dxa"/>
            <w:vAlign w:val="bottom"/>
            <w:gridSpan w:val="3"/>
          </w:tcPr>
          <w:p>
            <w:pPr>
              <w:ind w:left="40"/>
              <w:spacing w:after="0"/>
              <w:rPr>
                <w:sz w:val="20"/>
                <w:szCs w:val="20"/>
                <w:color w:val="auto"/>
              </w:rPr>
            </w:pPr>
            <w:r>
              <w:rPr>
                <w:rFonts w:ascii="Arial" w:cs="Arial" w:eastAsia="Arial" w:hAnsi="Arial"/>
                <w:sz w:val="12"/>
                <w:szCs w:val="12"/>
                <w:color w:val="auto"/>
              </w:rPr>
              <w:t>Income from continuing operations</w:t>
            </w:r>
          </w:p>
        </w:tc>
        <w:tc>
          <w:tcPr>
            <w:tcW w:w="102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20.4</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30.3</w:t>
            </w:r>
          </w:p>
        </w:tc>
        <w:tc>
          <w:tcPr>
            <w:tcW w:w="1700" w:type="dxa"/>
            <w:vAlign w:val="bottom"/>
            <w:gridSpan w:val="2"/>
          </w:tcPr>
          <w:p>
            <w:pPr>
              <w:jc w:val="right"/>
              <w:ind w:right="19"/>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85"/>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Net (loss) income from discontinued operations</w:t>
            </w:r>
          </w:p>
        </w:tc>
        <w:tc>
          <w:tcPr>
            <w:tcW w:w="10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30"/>
        </w:trPr>
        <w:tc>
          <w:tcPr>
            <w:tcW w:w="64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Net income</w:t>
            </w:r>
          </w:p>
        </w:tc>
        <w:tc>
          <w:tcPr>
            <w:tcW w:w="1020" w:type="dxa"/>
            <w:vAlign w:val="bottom"/>
            <w:tcBorders>
              <w:bottom w:val="single" w:sz="8" w:color="auto"/>
            </w:tcBorders>
          </w:tcPr>
          <w:p>
            <w:pPr>
              <w:jc w:val="right"/>
              <w:ind w:right="879"/>
              <w:spacing w:after="0" w:line="130" w:lineRule="exact"/>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59"/>
              <w:spacing w:after="0" w:line="130" w:lineRule="exact"/>
              <w:rPr>
                <w:sz w:val="20"/>
                <w:szCs w:val="20"/>
                <w:color w:val="auto"/>
              </w:rPr>
            </w:pPr>
            <w:r>
              <w:rPr>
                <w:rFonts w:ascii="Arial" w:cs="Arial" w:eastAsia="Arial" w:hAnsi="Arial"/>
                <w:sz w:val="12"/>
                <w:szCs w:val="12"/>
                <w:color w:val="auto"/>
              </w:rPr>
              <w:t>18.4</w:t>
            </w:r>
          </w:p>
        </w:tc>
        <w:tc>
          <w:tcPr>
            <w:tcW w:w="120" w:type="dxa"/>
            <w:vAlign w:val="bottom"/>
          </w:tcPr>
          <w:p>
            <w:pPr>
              <w:spacing w:after="0"/>
              <w:rPr>
                <w:sz w:val="11"/>
                <w:szCs w:val="11"/>
                <w:color w:val="auto"/>
              </w:rPr>
            </w:pPr>
          </w:p>
        </w:tc>
        <w:tc>
          <w:tcPr>
            <w:tcW w:w="1020" w:type="dxa"/>
            <w:vAlign w:val="bottom"/>
            <w:tcBorders>
              <w:bottom w:val="single" w:sz="8" w:color="auto"/>
            </w:tcBorders>
          </w:tcPr>
          <w:p>
            <w:pPr>
              <w:jc w:val="right"/>
              <w:ind w:right="907"/>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39"/>
              <w:spacing w:after="0" w:line="130" w:lineRule="exact"/>
              <w:rPr>
                <w:sz w:val="20"/>
                <w:szCs w:val="20"/>
                <w:color w:val="auto"/>
              </w:rPr>
            </w:pPr>
            <w:r>
              <w:rPr>
                <w:rFonts w:ascii="Arial" w:cs="Arial" w:eastAsia="Arial" w:hAnsi="Arial"/>
                <w:sz w:val="12"/>
                <w:szCs w:val="12"/>
                <w:color w:val="auto"/>
              </w:rPr>
              <w:t>36.0</w:t>
            </w:r>
          </w:p>
        </w:tc>
        <w:tc>
          <w:tcPr>
            <w:tcW w:w="1700" w:type="dxa"/>
            <w:vAlign w:val="bottom"/>
            <w:gridSpan w:val="2"/>
          </w:tcPr>
          <w:p>
            <w:pPr>
              <w:jc w:val="right"/>
              <w:ind w:right="19"/>
              <w:spacing w:after="0" w:line="130" w:lineRule="exact"/>
              <w:rPr>
                <w:sz w:val="20"/>
                <w:szCs w:val="20"/>
                <w:color w:val="auto"/>
              </w:rPr>
            </w:pPr>
            <w:r>
              <w:rPr>
                <w:rFonts w:ascii="Arial" w:cs="Arial" w:eastAsia="Arial" w:hAnsi="Arial"/>
                <w:sz w:val="12"/>
                <w:szCs w:val="12"/>
                <w:color w:val="auto"/>
              </w:rPr>
              <w:t>(49.1)%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
        <w:spacing w:after="0"/>
        <w:rPr>
          <w:sz w:val="20"/>
          <w:szCs w:val="20"/>
          <w:color w:val="auto"/>
        </w:rPr>
      </w:pPr>
      <w:r>
        <w:rPr>
          <w:rFonts w:ascii="Arial" w:cs="Arial" w:eastAsia="Arial" w:hAnsi="Arial"/>
          <w:sz w:val="15"/>
          <w:szCs w:val="15"/>
          <w:color w:val="auto"/>
        </w:rPr>
        <w:t>* Not meaningful</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26630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sectPr>
      </w:pPr>
    </w:p>
    <w:bookmarkStart w:id="15" w:name="page16"/>
    <w:bookmarkEnd w:id="15"/>
    <w:p>
      <w:pPr>
        <w:ind w:left="8"/>
        <w:spacing w:after="0" w:line="448" w:lineRule="auto"/>
        <w:rPr>
          <w:sz w:val="20"/>
          <w:szCs w:val="20"/>
          <w:color w:val="auto"/>
        </w:rPr>
      </w:pPr>
      <w:r>
        <w:rPr>
          <w:rFonts w:ascii="Arial" w:cs="Arial" w:eastAsia="Arial" w:hAnsi="Arial"/>
          <w:sz w:val="16"/>
          <w:szCs w:val="16"/>
          <w:b w:val="1"/>
          <w:bCs w:val="1"/>
          <w:color w:val="auto"/>
        </w:rPr>
        <w:t>ABM INDUSTRIES INCORPORATED AND SUBSIDIARIES RECONCILIATIONS OF NON-GAAP FINANCIAL MEASURES (UNAUDITED)</w:t>
      </w:r>
    </w:p>
    <w:p>
      <w:pPr>
        <w:spacing w:after="0" w:line="1" w:lineRule="exact"/>
        <w:rPr>
          <w:sz w:val="20"/>
          <w:szCs w:val="20"/>
          <w:color w:val="auto"/>
        </w:rPr>
      </w:pPr>
    </w:p>
    <w:p>
      <w:pPr>
        <w:ind w:left="48"/>
        <w:spacing w:after="0"/>
        <w:rPr>
          <w:sz w:val="20"/>
          <w:szCs w:val="20"/>
          <w:color w:val="auto"/>
        </w:rPr>
      </w:pPr>
      <w:r>
        <w:rPr>
          <w:rFonts w:ascii="Arial" w:cs="Arial" w:eastAsia="Arial" w:hAnsi="Arial"/>
          <w:sz w:val="12"/>
          <w:szCs w:val="12"/>
          <w:i w:val="1"/>
          <w:iCs w:val="1"/>
          <w:u w:val="single" w:color="auto"/>
          <w:color w:val="auto"/>
        </w:rPr>
        <w:t>($ in millions, except per share amounts)</w:t>
      </w:r>
    </w:p>
    <w:p>
      <w:pPr>
        <w:spacing w:after="0" w:line="191" w:lineRule="exact"/>
        <w:rPr>
          <w:sz w:val="20"/>
          <w:szCs w:val="20"/>
          <w:color w:val="auto"/>
        </w:rPr>
      </w:pPr>
    </w:p>
    <w:p>
      <w:pPr>
        <w:ind w:left="48" w:right="580"/>
        <w:spacing w:after="0" w:line="252" w:lineRule="auto"/>
        <w:rPr>
          <w:sz w:val="20"/>
          <w:szCs w:val="20"/>
          <w:color w:val="auto"/>
        </w:rPr>
      </w:pPr>
      <w:r>
        <w:rPr>
          <w:rFonts w:ascii="Arial" w:cs="Arial" w:eastAsia="Arial" w:hAnsi="Arial"/>
          <w:sz w:val="12"/>
          <w:szCs w:val="12"/>
          <w:b w:val="1"/>
          <w:bCs w:val="1"/>
          <w:color w:val="auto"/>
        </w:rPr>
        <w:t>Reconciliation of Adjusted Income from Continuing Operations to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7266305" cy="175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305" cy="175895"/>
                    </a:xfrm>
                    <a:prstGeom prst="rect">
                      <a:avLst/>
                    </a:prstGeom>
                    <a:noFill/>
                  </pic:spPr>
                </pic:pic>
              </a:graphicData>
            </a:graphic>
          </wp:anchor>
        </w:drawing>
      </w:r>
    </w:p>
    <w:p>
      <w:pPr>
        <w:ind w:left="48"/>
        <w:spacing w:after="0"/>
        <w:rPr>
          <w:sz w:val="20"/>
          <w:szCs w:val="20"/>
          <w:color w:val="auto"/>
        </w:rPr>
      </w:pPr>
      <w:r>
        <w:rPr>
          <w:rFonts w:ascii="Arial" w:cs="Arial" w:eastAsia="Arial" w:hAnsi="Arial"/>
          <w:sz w:val="12"/>
          <w:szCs w:val="12"/>
          <w:color w:val="auto"/>
        </w:rPr>
        <w:t>Adjusted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66305" cy="117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line="27" w:lineRule="exact"/>
        <w:rPr>
          <w:sz w:val="20"/>
          <w:szCs w:val="20"/>
          <w:color w:val="auto"/>
        </w:rPr>
      </w:pPr>
    </w:p>
    <w:p>
      <w:pPr>
        <w:ind w:left="228"/>
        <w:spacing w:after="0"/>
        <w:rPr>
          <w:sz w:val="20"/>
          <w:szCs w:val="20"/>
          <w:color w:val="auto"/>
        </w:rPr>
      </w:pPr>
      <w:r>
        <w:rPr>
          <w:rFonts w:ascii="Arial" w:cs="Arial" w:eastAsia="Arial" w:hAnsi="Arial"/>
          <w:sz w:val="12"/>
          <w:szCs w:val="12"/>
          <w:color w:val="auto"/>
        </w:rPr>
        <w:t>Items impacting comparability:</w:t>
      </w:r>
    </w:p>
    <w:p>
      <w:pPr>
        <w:spacing w:after="0" w:line="1" w:lineRule="exact"/>
        <w:rPr>
          <w:sz w:val="20"/>
          <w:szCs w:val="20"/>
          <w:color w:val="auto"/>
        </w:rPr>
      </w:pPr>
    </w:p>
    <w:p>
      <w:pPr>
        <w:ind w:left="228"/>
        <w:spacing w:after="0"/>
        <w:rPr>
          <w:sz w:val="20"/>
          <w:szCs w:val="20"/>
          <w:color w:val="auto"/>
        </w:rPr>
      </w:pPr>
      <w:r>
        <w:rPr>
          <w:rFonts w:ascii="Arial" w:cs="Arial" w:eastAsia="Arial" w:hAnsi="Arial"/>
          <w:sz w:val="12"/>
          <w:szCs w:val="12"/>
          <w:color w:val="auto"/>
        </w:rPr>
        <w:t>CEO/CFO Change</w:t>
      </w:r>
      <w:r>
        <w:rPr>
          <w:rFonts w:ascii="Arial" w:cs="Arial" w:eastAsia="Arial" w:hAnsi="Arial"/>
          <w:sz w:val="20"/>
          <w:szCs w:val="20"/>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6305" cy="117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ind w:left="228"/>
        <w:spacing w:after="0"/>
        <w:rPr>
          <w:sz w:val="20"/>
          <w:szCs w:val="20"/>
          <w:color w:val="auto"/>
        </w:rPr>
      </w:pPr>
      <w:r>
        <w:rPr>
          <w:rFonts w:ascii="Arial" w:cs="Arial" w:eastAsia="Arial" w:hAnsi="Arial"/>
          <w:sz w:val="12"/>
          <w:szCs w:val="12"/>
          <w:color w:val="auto"/>
        </w:rPr>
        <w:t>Self-insurance adjustment</w:t>
      </w:r>
    </w:p>
    <w:p>
      <w:pPr>
        <w:spacing w:after="0" w:line="47" w:lineRule="exact"/>
        <w:rPr>
          <w:sz w:val="20"/>
          <w:szCs w:val="20"/>
          <w:color w:val="auto"/>
        </w:rPr>
      </w:pPr>
    </w:p>
    <w:p>
      <w:pPr>
        <w:ind w:left="228"/>
        <w:spacing w:after="0"/>
        <w:rPr>
          <w:sz w:val="20"/>
          <w:szCs w:val="20"/>
          <w:color w:val="auto"/>
        </w:rPr>
      </w:pPr>
      <w:r>
        <w:rPr>
          <w:rFonts w:ascii="Arial" w:cs="Arial" w:eastAsia="Arial" w:hAnsi="Arial"/>
          <w:sz w:val="12"/>
          <w:szCs w:val="12"/>
          <w:color w:val="auto"/>
        </w:rPr>
        <w:t>Rebranding</w:t>
      </w:r>
    </w:p>
    <w:p>
      <w:pPr>
        <w:spacing w:after="0" w:line="1" w:lineRule="exact"/>
        <w:rPr>
          <w:sz w:val="20"/>
          <w:szCs w:val="20"/>
          <w:color w:val="auto"/>
        </w:rPr>
      </w:pPr>
    </w:p>
    <w:p>
      <w:pPr>
        <w:ind w:left="228"/>
        <w:spacing w:after="0"/>
        <w:rPr>
          <w:sz w:val="20"/>
          <w:szCs w:val="20"/>
          <w:color w:val="auto"/>
        </w:rPr>
      </w:pPr>
      <w:r>
        <w:rPr>
          <w:rFonts w:ascii="Arial" w:cs="Arial" w:eastAsia="Arial" w:hAnsi="Arial"/>
          <w:sz w:val="12"/>
          <w:szCs w:val="12"/>
          <w:color w:val="auto"/>
        </w:rPr>
        <w:t>U.S. Foreign Corrupt Practices Act investigation</w:t>
      </w:r>
      <w:r>
        <w:rPr>
          <w:rFonts w:ascii="Arial" w:cs="Arial" w:eastAsia="Arial" w:hAnsi="Arial"/>
          <w:sz w:val="20"/>
          <w:szCs w:val="20"/>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266305" cy="117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ind w:left="228"/>
        <w:spacing w:after="0"/>
        <w:rPr>
          <w:sz w:val="20"/>
          <w:szCs w:val="20"/>
          <w:color w:val="auto"/>
        </w:rPr>
      </w:pPr>
      <w:r>
        <w:rPr>
          <w:rFonts w:ascii="Arial" w:cs="Arial" w:eastAsia="Arial" w:hAnsi="Arial"/>
          <w:sz w:val="12"/>
          <w:szCs w:val="12"/>
          <w:color w:val="auto"/>
        </w:rPr>
        <w:t>Onsite realignment</w:t>
      </w:r>
    </w:p>
    <w:p>
      <w:pPr>
        <w:spacing w:after="0" w:line="1" w:lineRule="exact"/>
        <w:rPr>
          <w:sz w:val="20"/>
          <w:szCs w:val="20"/>
          <w:color w:val="auto"/>
        </w:rPr>
      </w:pPr>
    </w:p>
    <w:p>
      <w:pPr>
        <w:ind w:left="228"/>
        <w:spacing w:after="0"/>
        <w:rPr>
          <w:sz w:val="20"/>
          <w:szCs w:val="20"/>
          <w:color w:val="auto"/>
        </w:rPr>
      </w:pPr>
      <w:r>
        <w:rPr>
          <w:rFonts w:ascii="Arial" w:cs="Arial" w:eastAsia="Arial" w:hAnsi="Arial"/>
          <w:sz w:val="12"/>
          <w:szCs w:val="12"/>
          <w:color w:val="auto"/>
        </w:rPr>
        <w:t>Restructuring and related</w:t>
      </w:r>
      <w:r>
        <w:rPr>
          <w:rFonts w:ascii="Arial" w:cs="Arial" w:eastAsia="Arial" w:hAnsi="Arial"/>
          <w:sz w:val="20"/>
          <w:szCs w:val="20"/>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266305" cy="117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ind w:left="228"/>
        <w:spacing w:after="0"/>
        <w:rPr>
          <w:sz w:val="20"/>
          <w:szCs w:val="20"/>
          <w:color w:val="auto"/>
        </w:rPr>
      </w:pPr>
      <w:r>
        <w:rPr>
          <w:rFonts w:ascii="Arial" w:cs="Arial" w:eastAsia="Arial" w:hAnsi="Arial"/>
          <w:sz w:val="12"/>
          <w:szCs w:val="12"/>
          <w:color w:val="auto"/>
        </w:rPr>
        <w:t>Acquisition costs</w:t>
      </w:r>
    </w:p>
    <w:p>
      <w:pPr>
        <w:spacing w:after="0" w:line="1" w:lineRule="exact"/>
        <w:rPr>
          <w:sz w:val="20"/>
          <w:szCs w:val="20"/>
          <w:color w:val="auto"/>
        </w:rPr>
      </w:pPr>
    </w:p>
    <w:p>
      <w:pPr>
        <w:ind w:left="228"/>
        <w:spacing w:after="0"/>
        <w:rPr>
          <w:sz w:val="20"/>
          <w:szCs w:val="20"/>
          <w:color w:val="auto"/>
        </w:rPr>
      </w:pPr>
      <w:r>
        <w:rPr>
          <w:rFonts w:ascii="Arial" w:cs="Arial" w:eastAsia="Arial" w:hAnsi="Arial"/>
          <w:sz w:val="12"/>
          <w:szCs w:val="12"/>
          <w:color w:val="auto"/>
        </w:rPr>
        <w:t>Litigation and other settlements</w:t>
      </w:r>
      <w:r>
        <w:rPr>
          <w:rFonts w:ascii="Arial" w:cs="Arial" w:eastAsia="Arial" w:hAnsi="Arial"/>
          <w:sz w:val="20"/>
          <w:szCs w:val="20"/>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266305" cy="117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ind w:left="48"/>
        <w:spacing w:after="0"/>
        <w:rPr>
          <w:sz w:val="20"/>
          <w:szCs w:val="20"/>
          <w:color w:val="auto"/>
        </w:rPr>
      </w:pPr>
      <w:r>
        <w:rPr>
          <w:rFonts w:ascii="Arial" w:cs="Arial" w:eastAsia="Arial" w:hAnsi="Arial"/>
          <w:sz w:val="12"/>
          <w:szCs w:val="12"/>
          <w:color w:val="auto"/>
        </w:rPr>
        <w:t>Total items impacting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66305" cy="1174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line="27" w:lineRule="exact"/>
        <w:rPr>
          <w:sz w:val="20"/>
          <w:szCs w:val="20"/>
          <w:color w:val="auto"/>
        </w:rPr>
      </w:pPr>
    </w:p>
    <w:p>
      <w:pPr>
        <w:ind w:left="48"/>
        <w:spacing w:after="0"/>
        <w:rPr>
          <w:sz w:val="20"/>
          <w:szCs w:val="20"/>
          <w:color w:val="auto"/>
        </w:rPr>
      </w:pPr>
      <w:r>
        <w:rPr>
          <w:rFonts w:ascii="Arial" w:cs="Arial" w:eastAsia="Arial" w:hAnsi="Arial"/>
          <w:sz w:val="12"/>
          <w:szCs w:val="12"/>
          <w:color w:val="auto"/>
        </w:rPr>
        <w:t>Income tax benefit</w:t>
      </w:r>
    </w:p>
    <w:p>
      <w:pPr>
        <w:spacing w:after="0" w:line="47" w:lineRule="exact"/>
        <w:rPr>
          <w:sz w:val="20"/>
          <w:szCs w:val="20"/>
          <w:color w:val="auto"/>
        </w:rPr>
      </w:pPr>
    </w:p>
    <w:p>
      <w:pPr>
        <w:ind w:left="48"/>
        <w:spacing w:after="0"/>
        <w:rPr>
          <w:sz w:val="20"/>
          <w:szCs w:val="20"/>
          <w:color w:val="auto"/>
        </w:rPr>
      </w:pPr>
      <w:r>
        <w:rPr>
          <w:rFonts w:ascii="Arial" w:cs="Arial" w:eastAsia="Arial" w:hAnsi="Arial"/>
          <w:sz w:val="12"/>
          <w:szCs w:val="12"/>
          <w:color w:val="auto"/>
        </w:rPr>
        <w:t>Items impacting comparability,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266305" cy="132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6305" cy="132080"/>
                    </a:xfrm>
                    <a:prstGeom prst="rect">
                      <a:avLst/>
                    </a:prstGeom>
                    <a:noFill/>
                  </pic:spPr>
                </pic:pic>
              </a:graphicData>
            </a:graphic>
          </wp:anchor>
        </w:drawing>
      </w:r>
    </w:p>
    <w:p>
      <w:pPr>
        <w:spacing w:after="0" w:line="38" w:lineRule="exact"/>
        <w:rPr>
          <w:sz w:val="20"/>
          <w:szCs w:val="20"/>
          <w:color w:val="auto"/>
        </w:rPr>
      </w:pPr>
    </w:p>
    <w:p>
      <w:pPr>
        <w:ind w:left="48"/>
        <w:spacing w:after="0"/>
        <w:rPr>
          <w:sz w:val="20"/>
          <w:szCs w:val="20"/>
          <w:color w:val="auto"/>
        </w:rPr>
      </w:pPr>
      <w:r>
        <w:rPr>
          <w:rFonts w:ascii="Arial" w:cs="Arial" w:eastAsia="Arial" w:hAnsi="Arial"/>
          <w:sz w:val="12"/>
          <w:szCs w:val="12"/>
          <w:color w:val="auto"/>
        </w:rPr>
        <w:t>Income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
        <w:spacing w:after="0"/>
        <w:rPr>
          <w:sz w:val="20"/>
          <w:szCs w:val="20"/>
          <w:color w:val="auto"/>
        </w:rPr>
      </w:pPr>
      <w:r>
        <w:rPr>
          <w:rFonts w:ascii="Arial" w:cs="Arial" w:eastAsia="Arial" w:hAnsi="Arial"/>
          <w:sz w:val="12"/>
          <w:szCs w:val="12"/>
          <w:b w:val="1"/>
          <w:bCs w:val="1"/>
          <w:color w:val="auto"/>
        </w:rPr>
        <w:t>Reconciliation of Adjusted EBITDA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266305" cy="1244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305" cy="124460"/>
                    </a:xfrm>
                    <a:prstGeom prst="rect">
                      <a:avLst/>
                    </a:prstGeom>
                    <a:noFill/>
                  </pic:spPr>
                </pic:pic>
              </a:graphicData>
            </a:graphic>
          </wp:anchor>
        </w:drawing>
      </w:r>
    </w:p>
    <w:p>
      <w:pPr>
        <w:spacing w:after="0" w:line="52" w:lineRule="exact"/>
        <w:rPr>
          <w:sz w:val="20"/>
          <w:szCs w:val="20"/>
          <w:color w:val="auto"/>
        </w:rPr>
      </w:pPr>
    </w:p>
    <w:p>
      <w:pPr>
        <w:ind w:left="48"/>
        <w:spacing w:after="0"/>
        <w:rPr>
          <w:sz w:val="20"/>
          <w:szCs w:val="20"/>
          <w:color w:val="auto"/>
        </w:rPr>
      </w:pPr>
      <w:r>
        <w:rPr>
          <w:rFonts w:ascii="Arial" w:cs="Arial" w:eastAsia="Arial" w:hAnsi="Arial"/>
          <w:sz w:val="12"/>
          <w:szCs w:val="12"/>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66305" cy="1174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line="27" w:lineRule="exact"/>
        <w:rPr>
          <w:sz w:val="20"/>
          <w:szCs w:val="20"/>
          <w:color w:val="auto"/>
        </w:rPr>
      </w:pPr>
    </w:p>
    <w:p>
      <w:pPr>
        <w:ind w:left="148"/>
        <w:spacing w:after="0"/>
        <w:rPr>
          <w:sz w:val="20"/>
          <w:szCs w:val="20"/>
          <w:color w:val="auto"/>
        </w:rPr>
      </w:pPr>
      <w:r>
        <w:rPr>
          <w:rFonts w:ascii="Arial" w:cs="Arial" w:eastAsia="Arial" w:hAnsi="Arial"/>
          <w:sz w:val="12"/>
          <w:szCs w:val="12"/>
          <w:color w:val="auto"/>
        </w:rPr>
        <w:t>Items impacting comparability</w:t>
      </w:r>
    </w:p>
    <w:p>
      <w:pPr>
        <w:spacing w:after="0" w:line="93" w:lineRule="exact"/>
        <w:rPr>
          <w:sz w:val="20"/>
          <w:szCs w:val="20"/>
          <w:color w:val="auto"/>
        </w:rPr>
      </w:pPr>
    </w:p>
    <w:p>
      <w:pPr>
        <w:ind w:left="148"/>
        <w:spacing w:after="0"/>
        <w:rPr>
          <w:sz w:val="20"/>
          <w:szCs w:val="20"/>
          <w:color w:val="auto"/>
        </w:rPr>
      </w:pPr>
      <w:r>
        <w:rPr>
          <w:rFonts w:ascii="Arial" w:cs="Arial" w:eastAsia="Arial" w:hAnsi="Arial"/>
          <w:sz w:val="12"/>
          <w:szCs w:val="12"/>
          <w:color w:val="auto"/>
        </w:rPr>
        <w:t>Net (loss) income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6305" cy="117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line="23" w:lineRule="exact"/>
        <w:rPr>
          <w:sz w:val="20"/>
          <w:szCs w:val="20"/>
          <w:color w:val="auto"/>
        </w:rPr>
      </w:pPr>
    </w:p>
    <w:p>
      <w:pPr>
        <w:ind w:left="148"/>
        <w:spacing w:after="0"/>
        <w:rPr>
          <w:sz w:val="20"/>
          <w:szCs w:val="20"/>
          <w:color w:val="auto"/>
        </w:rPr>
      </w:pPr>
      <w:r>
        <w:rPr>
          <w:rFonts w:ascii="Arial" w:cs="Arial" w:eastAsia="Arial" w:hAnsi="Arial"/>
          <w:sz w:val="12"/>
          <w:szCs w:val="12"/>
          <w:color w:val="auto"/>
        </w:rPr>
        <w:t>Income tax provision</w:t>
      </w:r>
    </w:p>
    <w:p>
      <w:pPr>
        <w:ind w:left="148"/>
        <w:spacing w:after="0" w:line="197" w:lineRule="auto"/>
        <w:rPr>
          <w:sz w:val="20"/>
          <w:szCs w:val="20"/>
          <w:color w:val="auto"/>
        </w:rPr>
      </w:pPr>
      <w:r>
        <w:rPr>
          <w:rFonts w:ascii="Arial" w:cs="Arial" w:eastAsia="Arial" w:hAnsi="Arial"/>
          <w:sz w:val="12"/>
          <w:szCs w:val="12"/>
          <w:color w:val="auto"/>
        </w:rPr>
        <w:t>Interest expense, net</w:t>
      </w:r>
      <w:r>
        <w:rPr>
          <w:rFonts w:ascii="Arial" w:cs="Arial" w:eastAsia="Arial" w:hAnsi="Arial"/>
          <w:sz w:val="20"/>
          <w:szCs w:val="20"/>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6305" cy="124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305" cy="124460"/>
                    </a:xfrm>
                    <a:prstGeom prst="rect">
                      <a:avLst/>
                    </a:prstGeom>
                    <a:noFill/>
                  </pic:spPr>
                </pic:pic>
              </a:graphicData>
            </a:graphic>
          </wp:anchor>
        </w:drawing>
      </w:r>
    </w:p>
    <w:p>
      <w:pPr>
        <w:ind w:left="148"/>
        <w:spacing w:after="0"/>
        <w:rPr>
          <w:sz w:val="20"/>
          <w:szCs w:val="20"/>
          <w:color w:val="auto"/>
        </w:rPr>
      </w:pPr>
      <w:r>
        <w:rPr>
          <w:rFonts w:ascii="Arial" w:cs="Arial" w:eastAsia="Arial" w:hAnsi="Arial"/>
          <w:sz w:val="12"/>
          <w:szCs w:val="12"/>
          <w:color w:val="auto"/>
        </w:rPr>
        <w:t>Depreciation and amortization</w:t>
      </w:r>
    </w:p>
    <w:p>
      <w:pPr>
        <w:spacing w:after="0" w:line="58" w:lineRule="exact"/>
        <w:rPr>
          <w:sz w:val="20"/>
          <w:szCs w:val="20"/>
          <w:color w:val="auto"/>
        </w:rPr>
      </w:pPr>
    </w:p>
    <w:p>
      <w:pPr>
        <w:ind w:left="48"/>
        <w:spacing w:after="0"/>
        <w:rPr>
          <w:sz w:val="20"/>
          <w:szCs w:val="20"/>
          <w:color w:val="auto"/>
        </w:rPr>
      </w:pPr>
      <w:r>
        <w:rPr>
          <w:rFonts w:ascii="Arial" w:cs="Arial" w:eastAsia="Arial" w:hAnsi="Arial"/>
          <w:sz w:val="12"/>
          <w:szCs w:val="12"/>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 w:right="220"/>
        <w:spacing w:after="0" w:line="252" w:lineRule="auto"/>
        <w:rPr>
          <w:sz w:val="20"/>
          <w:szCs w:val="20"/>
          <w:color w:val="auto"/>
        </w:rPr>
      </w:pPr>
      <w:r>
        <w:rPr>
          <w:rFonts w:ascii="Arial" w:cs="Arial" w:eastAsia="Arial" w:hAnsi="Arial"/>
          <w:sz w:val="12"/>
          <w:szCs w:val="12"/>
          <w:b w:val="1"/>
          <w:bCs w:val="1"/>
          <w:color w:val="auto"/>
        </w:rPr>
        <w:t>Reconciliation of Adjusted Income from Continuing Operations per Diluted Share to Income from Continuing Operations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7266305" cy="175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305" cy="175895"/>
                    </a:xfrm>
                    <a:prstGeom prst="rect">
                      <a:avLst/>
                    </a:prstGeom>
                    <a:noFill/>
                  </pic:spPr>
                </pic:pic>
              </a:graphicData>
            </a:graphic>
          </wp:anchor>
        </w:drawing>
      </w:r>
    </w:p>
    <w:p>
      <w:pPr>
        <w:ind w:left="148" w:right="2540" w:hanging="91"/>
        <w:spacing w:after="0" w:line="331" w:lineRule="auto"/>
        <w:rPr>
          <w:sz w:val="20"/>
          <w:szCs w:val="20"/>
          <w:color w:val="auto"/>
        </w:rPr>
      </w:pPr>
      <w:r>
        <w:rPr>
          <w:rFonts w:ascii="Arial" w:cs="Arial" w:eastAsia="Arial" w:hAnsi="Arial"/>
          <w:sz w:val="12"/>
          <w:szCs w:val="12"/>
          <w:color w:val="auto"/>
        </w:rPr>
        <w:t>Adjusted income from continuing operations per diluted share Items impacting comparability,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266305" cy="124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305" cy="124460"/>
                    </a:xfrm>
                    <a:prstGeom prst="rect">
                      <a:avLst/>
                    </a:prstGeom>
                    <a:noFill/>
                  </pic:spPr>
                </pic:pic>
              </a:graphicData>
            </a:graphic>
          </wp:anchor>
        </w:drawing>
      </w:r>
    </w:p>
    <w:p>
      <w:pPr>
        <w:ind w:left="48"/>
        <w:spacing w:after="0"/>
        <w:rPr>
          <w:sz w:val="20"/>
          <w:szCs w:val="20"/>
          <w:color w:val="auto"/>
        </w:rPr>
      </w:pPr>
      <w:r>
        <w:rPr>
          <w:rFonts w:ascii="Arial" w:cs="Arial" w:eastAsia="Arial" w:hAnsi="Arial"/>
          <w:sz w:val="12"/>
          <w:szCs w:val="12"/>
          <w:color w:val="auto"/>
        </w:rPr>
        <w:t>Income from continuing operations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66305" cy="1320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305" cy="132080"/>
                    </a:xfrm>
                    <a:prstGeom prst="rect">
                      <a:avLst/>
                    </a:prstGeom>
                    <a:noFill/>
                  </pic:spPr>
                </pic:pic>
              </a:graphicData>
            </a:graphic>
          </wp:anchor>
        </w:drawing>
      </w:r>
    </w:p>
    <w:p>
      <w:pPr>
        <w:spacing w:after="0" w:line="50" w:lineRule="exact"/>
        <w:rPr>
          <w:sz w:val="20"/>
          <w:szCs w:val="20"/>
          <w:color w:val="auto"/>
        </w:rPr>
      </w:pPr>
    </w:p>
    <w:p>
      <w:pPr>
        <w:ind w:left="48"/>
        <w:spacing w:after="0"/>
        <w:rPr>
          <w:sz w:val="20"/>
          <w:szCs w:val="20"/>
          <w:color w:val="auto"/>
        </w:rPr>
      </w:pPr>
      <w:r>
        <w:rPr>
          <w:rFonts w:ascii="Arial" w:cs="Arial" w:eastAsia="Arial" w:hAnsi="Arial"/>
          <w:sz w:val="12"/>
          <w:szCs w:val="12"/>
          <w:color w:val="auto"/>
        </w:rPr>
        <w:t>Diluted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April 30,</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Borders>
              <w:bottom w:val="single" w:sz="8" w:color="auto"/>
            </w:tcBorders>
            <w:gridSpan w:val="4"/>
          </w:tcPr>
          <w:p>
            <w:pPr>
              <w:ind w:left="520"/>
              <w:spacing w:after="0"/>
              <w:rPr>
                <w:sz w:val="20"/>
                <w:szCs w:val="20"/>
                <w:color w:val="auto"/>
              </w:rPr>
            </w:pPr>
            <w:r>
              <w:rPr>
                <w:rFonts w:ascii="Arial" w:cs="Arial" w:eastAsia="Arial" w:hAnsi="Arial"/>
                <w:sz w:val="12"/>
                <w:szCs w:val="12"/>
                <w:b w:val="1"/>
                <w:bCs w:val="1"/>
                <w:color w:val="auto"/>
              </w:rPr>
              <w:t>Six Months Ended April 30,</w:t>
            </w:r>
          </w:p>
        </w:tc>
        <w:tc>
          <w:tcPr>
            <w:tcW w:w="440" w:type="dxa"/>
            <w:vAlign w:val="bottom"/>
            <w:tcBorders>
              <w:bottom w:val="single" w:sz="8" w:color="auto"/>
            </w:tcBorders>
          </w:tcPr>
          <w:p>
            <w:pPr>
              <w:spacing w:after="0"/>
              <w:rPr>
                <w:sz w:val="12"/>
                <w:szCs w:val="12"/>
                <w:color w:val="auto"/>
              </w:rPr>
            </w:pPr>
          </w:p>
        </w:tc>
      </w:tr>
      <w:tr>
        <w:trPr>
          <w:trHeight w:val="176"/>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2"/>
                <w:szCs w:val="12"/>
                <w:b w:val="1"/>
                <w:bCs w:val="1"/>
                <w:color w:val="auto"/>
              </w:rPr>
              <w:t>2016</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15"/>
                <w:szCs w:val="15"/>
                <w:color w:val="auto"/>
              </w:rPr>
            </w:pPr>
          </w:p>
        </w:tc>
      </w:tr>
      <w:tr>
        <w:trPr>
          <w:trHeight w:val="454"/>
        </w:trPr>
        <w:tc>
          <w:tcPr>
            <w:tcW w:w="820" w:type="dxa"/>
            <w:vAlign w:val="bottom"/>
          </w:tcPr>
          <w:p>
            <w:pPr>
              <w:jc w:val="right"/>
              <w:ind w:right="703"/>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39"/>
              <w:spacing w:after="0"/>
              <w:rPr>
                <w:sz w:val="20"/>
                <w:szCs w:val="20"/>
                <w:color w:val="auto"/>
              </w:rPr>
            </w:pPr>
            <w:r>
              <w:rPr>
                <w:rFonts w:ascii="Arial" w:cs="Arial" w:eastAsia="Arial" w:hAnsi="Arial"/>
                <w:sz w:val="12"/>
                <w:szCs w:val="12"/>
                <w:color w:val="auto"/>
              </w:rPr>
              <w:t>17.7</w:t>
            </w:r>
          </w:p>
        </w:tc>
        <w:tc>
          <w:tcPr>
            <w:tcW w:w="120" w:type="dxa"/>
            <w:vAlign w:val="bottom"/>
          </w:tcPr>
          <w:p>
            <w:pPr>
              <w:spacing w:after="0"/>
              <w:rPr>
                <w:sz w:val="24"/>
                <w:szCs w:val="24"/>
                <w:color w:val="auto"/>
              </w:rPr>
            </w:pPr>
          </w:p>
        </w:tc>
        <w:tc>
          <w:tcPr>
            <w:tcW w:w="840" w:type="dxa"/>
            <w:vAlign w:val="bottom"/>
          </w:tcPr>
          <w:p>
            <w:pPr>
              <w:jc w:val="right"/>
              <w:ind w:right="699"/>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19.0</w:t>
            </w:r>
          </w:p>
        </w:tc>
        <w:tc>
          <w:tcPr>
            <w:tcW w:w="940" w:type="dxa"/>
            <w:vAlign w:val="bottom"/>
            <w:gridSpan w:val="2"/>
          </w:tcPr>
          <w:p>
            <w:pPr>
              <w:jc w:val="right"/>
              <w:ind w:right="699"/>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39.3</w:t>
            </w:r>
          </w:p>
        </w:tc>
        <w:tc>
          <w:tcPr>
            <w:tcW w:w="100" w:type="dxa"/>
            <w:vAlign w:val="bottom"/>
          </w:tcPr>
          <w:p>
            <w:pPr>
              <w:spacing w:after="0"/>
              <w:rPr>
                <w:sz w:val="24"/>
                <w:szCs w:val="24"/>
                <w:color w:val="auto"/>
              </w:rPr>
            </w:pPr>
          </w:p>
        </w:tc>
        <w:tc>
          <w:tcPr>
            <w:tcW w:w="800" w:type="dxa"/>
            <w:vAlign w:val="bottom"/>
          </w:tcPr>
          <w:p>
            <w:pPr>
              <w:jc w:val="right"/>
              <w:ind w:right="684"/>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39"/>
              <w:spacing w:after="0"/>
              <w:rPr>
                <w:sz w:val="20"/>
                <w:szCs w:val="20"/>
                <w:color w:val="auto"/>
              </w:rPr>
            </w:pPr>
            <w:r>
              <w:rPr>
                <w:rFonts w:ascii="Arial" w:cs="Arial" w:eastAsia="Arial" w:hAnsi="Arial"/>
                <w:sz w:val="12"/>
                <w:szCs w:val="12"/>
                <w:color w:val="auto"/>
              </w:rPr>
              <w:t>37.2</w:t>
            </w:r>
          </w:p>
        </w:tc>
      </w:tr>
      <w:tr>
        <w:trPr>
          <w:trHeight w:val="369"/>
        </w:trPr>
        <w:tc>
          <w:tcPr>
            <w:tcW w:w="8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24"/>
                <w:szCs w:val="24"/>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85"/>
        </w:trPr>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85"/>
        </w:trPr>
        <w:tc>
          <w:tcPr>
            <w:tcW w:w="82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16"/>
                <w:szCs w:val="16"/>
                <w:color w:val="auto"/>
              </w:rPr>
            </w:pP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185"/>
        </w:trPr>
        <w:tc>
          <w:tcPr>
            <w:tcW w:w="82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(0.2)</w:t>
            </w:r>
          </w:p>
        </w:tc>
      </w:tr>
      <w:tr>
        <w:trPr>
          <w:trHeight w:val="185"/>
        </w:trPr>
        <w:tc>
          <w:tcPr>
            <w:tcW w:w="82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(0.8)</w:t>
            </w:r>
          </w:p>
        </w:tc>
      </w:tr>
      <w:tr>
        <w:trPr>
          <w:trHeight w:val="185"/>
        </w:trPr>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(15.7)</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185"/>
        </w:trPr>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(0.7)</w:t>
            </w:r>
          </w:p>
        </w:tc>
      </w:tr>
      <w:tr>
        <w:trPr>
          <w:trHeight w:val="172"/>
        </w:trPr>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r>
      <w:tr>
        <w:trPr>
          <w:trHeight w:val="177"/>
        </w:trPr>
        <w:tc>
          <w:tcPr>
            <w:tcW w:w="8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(18.7)</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(32.3)</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(11.7)</w:t>
            </w:r>
          </w:p>
        </w:tc>
      </w:tr>
      <w:tr>
        <w:trPr>
          <w:trHeight w:val="172"/>
        </w:trPr>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4.8</w:t>
            </w:r>
          </w:p>
        </w:tc>
      </w:tr>
      <w:tr>
        <w:trPr>
          <w:trHeight w:val="176"/>
        </w:trPr>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(18.9)</w:t>
            </w: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w:t>
            </w:r>
          </w:p>
        </w:tc>
      </w:tr>
      <w:tr>
        <w:trPr>
          <w:trHeight w:val="176"/>
        </w:trPr>
        <w:tc>
          <w:tcPr>
            <w:tcW w:w="820" w:type="dxa"/>
            <w:vAlign w:val="bottom"/>
            <w:tcBorders>
              <w:bottom w:val="single" w:sz="8" w:color="auto"/>
            </w:tcBorders>
          </w:tcPr>
          <w:p>
            <w:pPr>
              <w:jc w:val="right"/>
              <w:ind w:right="703"/>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6.8</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16.0</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20.4</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684"/>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30.3</w:t>
            </w:r>
          </w:p>
        </w:tc>
      </w:tr>
      <w:tr>
        <w:trPr>
          <w:trHeight w:val="20"/>
        </w:trPr>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344"/>
        </w:trPr>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April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Borders>
              <w:bottom w:val="single" w:sz="8" w:color="auto"/>
            </w:tcBorders>
            <w:gridSpan w:val="4"/>
          </w:tcPr>
          <w:p>
            <w:pPr>
              <w:ind w:left="520"/>
              <w:spacing w:after="0"/>
              <w:rPr>
                <w:sz w:val="20"/>
                <w:szCs w:val="20"/>
                <w:color w:val="auto"/>
              </w:rPr>
            </w:pPr>
            <w:r>
              <w:rPr>
                <w:rFonts w:ascii="Arial" w:cs="Arial" w:eastAsia="Arial" w:hAnsi="Arial"/>
                <w:sz w:val="12"/>
                <w:szCs w:val="12"/>
                <w:b w:val="1"/>
                <w:bCs w:val="1"/>
                <w:color w:val="auto"/>
              </w:rPr>
              <w:t>Six Months Ended April 30,</w:t>
            </w:r>
          </w:p>
        </w:tc>
        <w:tc>
          <w:tcPr>
            <w:tcW w:w="440" w:type="dxa"/>
            <w:vAlign w:val="bottom"/>
            <w:tcBorders>
              <w:bottom w:val="single" w:sz="8" w:color="auto"/>
            </w:tcBorders>
          </w:tcPr>
          <w:p>
            <w:pPr>
              <w:spacing w:after="0"/>
              <w:rPr>
                <w:sz w:val="24"/>
                <w:szCs w:val="24"/>
                <w:color w:val="auto"/>
              </w:rPr>
            </w:pPr>
          </w:p>
        </w:tc>
      </w:tr>
      <w:tr>
        <w:trPr>
          <w:trHeight w:val="176"/>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2"/>
                <w:szCs w:val="12"/>
                <w:b w:val="1"/>
                <w:bCs w:val="1"/>
                <w:color w:val="auto"/>
              </w:rPr>
              <w:t>2016</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15"/>
                <w:szCs w:val="15"/>
                <w:color w:val="auto"/>
              </w:rPr>
            </w:pPr>
          </w:p>
        </w:tc>
      </w:tr>
      <w:tr>
        <w:trPr>
          <w:trHeight w:val="374"/>
        </w:trPr>
        <w:tc>
          <w:tcPr>
            <w:tcW w:w="820" w:type="dxa"/>
            <w:vAlign w:val="bottom"/>
          </w:tcPr>
          <w:p>
            <w:pPr>
              <w:jc w:val="right"/>
              <w:ind w:right="703"/>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39"/>
              <w:spacing w:after="0"/>
              <w:rPr>
                <w:sz w:val="20"/>
                <w:szCs w:val="20"/>
                <w:color w:val="auto"/>
              </w:rPr>
            </w:pPr>
            <w:r>
              <w:rPr>
                <w:rFonts w:ascii="Arial" w:cs="Arial" w:eastAsia="Arial" w:hAnsi="Arial"/>
                <w:sz w:val="12"/>
                <w:szCs w:val="12"/>
                <w:color w:val="auto"/>
              </w:rPr>
              <w:t>46.0</w:t>
            </w:r>
          </w:p>
        </w:tc>
        <w:tc>
          <w:tcPr>
            <w:tcW w:w="120" w:type="dxa"/>
            <w:vAlign w:val="bottom"/>
          </w:tcPr>
          <w:p>
            <w:pPr>
              <w:spacing w:after="0"/>
              <w:rPr>
                <w:sz w:val="24"/>
                <w:szCs w:val="24"/>
                <w:color w:val="auto"/>
              </w:rPr>
            </w:pPr>
          </w:p>
        </w:tc>
        <w:tc>
          <w:tcPr>
            <w:tcW w:w="840" w:type="dxa"/>
            <w:vAlign w:val="bottom"/>
          </w:tcPr>
          <w:p>
            <w:pPr>
              <w:jc w:val="right"/>
              <w:ind w:right="699"/>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48.7</w:t>
            </w:r>
          </w:p>
        </w:tc>
        <w:tc>
          <w:tcPr>
            <w:tcW w:w="940" w:type="dxa"/>
            <w:vAlign w:val="bottom"/>
            <w:gridSpan w:val="2"/>
          </w:tcPr>
          <w:p>
            <w:pPr>
              <w:jc w:val="right"/>
              <w:ind w:right="699"/>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89.7</w:t>
            </w:r>
          </w:p>
        </w:tc>
        <w:tc>
          <w:tcPr>
            <w:tcW w:w="100" w:type="dxa"/>
            <w:vAlign w:val="bottom"/>
          </w:tcPr>
          <w:p>
            <w:pPr>
              <w:spacing w:after="0"/>
              <w:rPr>
                <w:sz w:val="24"/>
                <w:szCs w:val="24"/>
                <w:color w:val="auto"/>
              </w:rPr>
            </w:pPr>
          </w:p>
        </w:tc>
        <w:tc>
          <w:tcPr>
            <w:tcW w:w="800" w:type="dxa"/>
            <w:vAlign w:val="bottom"/>
          </w:tcPr>
          <w:p>
            <w:pPr>
              <w:jc w:val="right"/>
              <w:ind w:right="684"/>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39"/>
              <w:spacing w:after="0"/>
              <w:rPr>
                <w:sz w:val="20"/>
                <w:szCs w:val="20"/>
                <w:color w:val="auto"/>
              </w:rPr>
            </w:pPr>
            <w:r>
              <w:rPr>
                <w:rFonts w:ascii="Arial" w:cs="Arial" w:eastAsia="Arial" w:hAnsi="Arial"/>
                <w:sz w:val="12"/>
                <w:szCs w:val="12"/>
                <w:color w:val="auto"/>
              </w:rPr>
              <w:t>87.5</w:t>
            </w:r>
          </w:p>
        </w:tc>
      </w:tr>
      <w:tr>
        <w:trPr>
          <w:trHeight w:val="185"/>
        </w:trPr>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(18.7)</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(32.3)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(11.7)</w:t>
            </w:r>
          </w:p>
        </w:tc>
      </w:tr>
      <w:tr>
        <w:trPr>
          <w:trHeight w:val="185"/>
        </w:trPr>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2"/>
                <w:szCs w:val="12"/>
                <w:color w:val="auto"/>
              </w:rPr>
              <w:t>5.7</w:t>
            </w:r>
          </w:p>
        </w:tc>
      </w:tr>
      <w:tr>
        <w:trPr>
          <w:trHeight w:val="185"/>
        </w:trPr>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(12.2)</w:t>
            </w:r>
          </w:p>
        </w:tc>
      </w:tr>
      <w:tr>
        <w:trPr>
          <w:trHeight w:val="185"/>
        </w:trPr>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83"/>
        </w:trPr>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(29.3)</w:t>
            </w: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(28.1)</w:t>
            </w:r>
          </w:p>
        </w:tc>
      </w:tr>
      <w:tr>
        <w:trPr>
          <w:trHeight w:val="176"/>
        </w:trPr>
        <w:tc>
          <w:tcPr>
            <w:tcW w:w="820" w:type="dxa"/>
            <w:vAlign w:val="bottom"/>
            <w:tcBorders>
              <w:bottom w:val="single" w:sz="8" w:color="auto"/>
            </w:tcBorders>
          </w:tcPr>
          <w:p>
            <w:pPr>
              <w:jc w:val="right"/>
              <w:ind w:right="703"/>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18.3</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18.4</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684"/>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36.0</w:t>
            </w:r>
          </w:p>
        </w:tc>
      </w:tr>
      <w:tr>
        <w:trPr>
          <w:trHeight w:val="20"/>
        </w:trPr>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344"/>
        </w:trPr>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April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Borders>
              <w:bottom w:val="single" w:sz="8" w:color="auto"/>
            </w:tcBorders>
            <w:gridSpan w:val="4"/>
          </w:tcPr>
          <w:p>
            <w:pPr>
              <w:ind w:left="520"/>
              <w:spacing w:after="0"/>
              <w:rPr>
                <w:sz w:val="20"/>
                <w:szCs w:val="20"/>
                <w:color w:val="auto"/>
              </w:rPr>
            </w:pPr>
            <w:r>
              <w:rPr>
                <w:rFonts w:ascii="Arial" w:cs="Arial" w:eastAsia="Arial" w:hAnsi="Arial"/>
                <w:sz w:val="12"/>
                <w:szCs w:val="12"/>
                <w:b w:val="1"/>
                <w:bCs w:val="1"/>
                <w:color w:val="auto"/>
              </w:rPr>
              <w:t>Six Months Ended April 30,</w:t>
            </w:r>
          </w:p>
        </w:tc>
        <w:tc>
          <w:tcPr>
            <w:tcW w:w="440" w:type="dxa"/>
            <w:vAlign w:val="bottom"/>
            <w:tcBorders>
              <w:bottom w:val="single" w:sz="8" w:color="auto"/>
            </w:tcBorders>
          </w:tcPr>
          <w:p>
            <w:pPr>
              <w:spacing w:after="0"/>
              <w:rPr>
                <w:sz w:val="24"/>
                <w:szCs w:val="24"/>
                <w:color w:val="auto"/>
              </w:rPr>
            </w:pPr>
          </w:p>
        </w:tc>
      </w:tr>
      <w:tr>
        <w:trPr>
          <w:trHeight w:val="176"/>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2"/>
                <w:szCs w:val="12"/>
                <w:b w:val="1"/>
                <w:bCs w:val="1"/>
                <w:color w:val="auto"/>
              </w:rPr>
              <w:t>2016</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40" w:type="dxa"/>
            <w:vAlign w:val="bottom"/>
            <w:tcBorders>
              <w:bottom w:val="single" w:sz="8" w:color="auto"/>
            </w:tcBorders>
          </w:tcPr>
          <w:p>
            <w:pPr>
              <w:spacing w:after="0"/>
              <w:rPr>
                <w:sz w:val="15"/>
                <w:szCs w:val="15"/>
                <w:color w:val="auto"/>
              </w:rPr>
            </w:pPr>
          </w:p>
        </w:tc>
      </w:tr>
      <w:tr>
        <w:trPr>
          <w:trHeight w:val="454"/>
        </w:trPr>
        <w:tc>
          <w:tcPr>
            <w:tcW w:w="820" w:type="dxa"/>
            <w:vAlign w:val="bottom"/>
          </w:tcPr>
          <w:p>
            <w:pPr>
              <w:jc w:val="right"/>
              <w:ind w:right="703"/>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39"/>
              <w:spacing w:after="0"/>
              <w:rPr>
                <w:sz w:val="20"/>
                <w:szCs w:val="20"/>
                <w:color w:val="auto"/>
              </w:rPr>
            </w:pPr>
            <w:r>
              <w:rPr>
                <w:rFonts w:ascii="Arial" w:cs="Arial" w:eastAsia="Arial" w:hAnsi="Arial"/>
                <w:sz w:val="12"/>
                <w:szCs w:val="12"/>
                <w:color w:val="auto"/>
              </w:rPr>
              <w:t>0.31</w:t>
            </w:r>
          </w:p>
        </w:tc>
        <w:tc>
          <w:tcPr>
            <w:tcW w:w="120" w:type="dxa"/>
            <w:vAlign w:val="bottom"/>
          </w:tcPr>
          <w:p>
            <w:pPr>
              <w:spacing w:after="0"/>
              <w:rPr>
                <w:sz w:val="24"/>
                <w:szCs w:val="24"/>
                <w:color w:val="auto"/>
              </w:rPr>
            </w:pPr>
          </w:p>
        </w:tc>
        <w:tc>
          <w:tcPr>
            <w:tcW w:w="840" w:type="dxa"/>
            <w:vAlign w:val="bottom"/>
          </w:tcPr>
          <w:p>
            <w:pPr>
              <w:jc w:val="right"/>
              <w:ind w:right="699"/>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0.33</w:t>
            </w:r>
          </w:p>
        </w:tc>
        <w:tc>
          <w:tcPr>
            <w:tcW w:w="940" w:type="dxa"/>
            <w:vAlign w:val="bottom"/>
            <w:gridSpan w:val="2"/>
          </w:tcPr>
          <w:p>
            <w:pPr>
              <w:jc w:val="right"/>
              <w:ind w:right="699"/>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0.69</w:t>
            </w:r>
          </w:p>
        </w:tc>
        <w:tc>
          <w:tcPr>
            <w:tcW w:w="100" w:type="dxa"/>
            <w:vAlign w:val="bottom"/>
          </w:tcPr>
          <w:p>
            <w:pPr>
              <w:spacing w:after="0"/>
              <w:rPr>
                <w:sz w:val="24"/>
                <w:szCs w:val="24"/>
                <w:color w:val="auto"/>
              </w:rPr>
            </w:pPr>
          </w:p>
        </w:tc>
        <w:tc>
          <w:tcPr>
            <w:tcW w:w="800" w:type="dxa"/>
            <w:vAlign w:val="bottom"/>
          </w:tcPr>
          <w:p>
            <w:pPr>
              <w:jc w:val="right"/>
              <w:ind w:right="684"/>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39"/>
              <w:spacing w:after="0"/>
              <w:rPr>
                <w:sz w:val="20"/>
                <w:szCs w:val="20"/>
                <w:color w:val="auto"/>
              </w:rPr>
            </w:pPr>
            <w:r>
              <w:rPr>
                <w:rFonts w:ascii="Arial" w:cs="Arial" w:eastAsia="Arial" w:hAnsi="Arial"/>
                <w:sz w:val="12"/>
                <w:szCs w:val="12"/>
                <w:color w:val="auto"/>
              </w:rPr>
              <w:t>0.65</w:t>
            </w:r>
          </w:p>
        </w:tc>
      </w:tr>
      <w:tr>
        <w:trPr>
          <w:trHeight w:val="183"/>
        </w:trPr>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(0.19)</w:t>
            </w: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(0.05)</w:t>
            </w: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(0.33)</w:t>
            </w: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(0.12)</w:t>
            </w:r>
          </w:p>
        </w:tc>
      </w:tr>
      <w:tr>
        <w:trPr>
          <w:trHeight w:val="176"/>
        </w:trPr>
        <w:tc>
          <w:tcPr>
            <w:tcW w:w="820" w:type="dxa"/>
            <w:vAlign w:val="bottom"/>
          </w:tcPr>
          <w:p>
            <w:pPr>
              <w:jc w:val="right"/>
              <w:ind w:right="643"/>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39"/>
              <w:spacing w:after="0"/>
              <w:rPr>
                <w:sz w:val="20"/>
                <w:szCs w:val="20"/>
                <w:color w:val="auto"/>
              </w:rPr>
            </w:pPr>
            <w:r>
              <w:rPr>
                <w:rFonts w:ascii="Arial" w:cs="Arial" w:eastAsia="Arial" w:hAnsi="Arial"/>
                <w:sz w:val="12"/>
                <w:szCs w:val="12"/>
                <w:color w:val="auto"/>
              </w:rPr>
              <w:t>0.12</w:t>
            </w:r>
          </w:p>
        </w:tc>
        <w:tc>
          <w:tcPr>
            <w:tcW w:w="120" w:type="dxa"/>
            <w:vAlign w:val="bottom"/>
          </w:tcPr>
          <w:p>
            <w:pPr>
              <w:spacing w:after="0"/>
              <w:rPr>
                <w:sz w:val="15"/>
                <w:szCs w:val="15"/>
                <w:color w:val="auto"/>
              </w:rPr>
            </w:pPr>
          </w:p>
        </w:tc>
        <w:tc>
          <w:tcPr>
            <w:tcW w:w="840" w:type="dxa"/>
            <w:vAlign w:val="bottom"/>
          </w:tcPr>
          <w:p>
            <w:pPr>
              <w:jc w:val="right"/>
              <w:ind w:right="659"/>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0.28</w:t>
            </w:r>
          </w:p>
        </w:tc>
        <w:tc>
          <w:tcPr>
            <w:tcW w:w="940" w:type="dxa"/>
            <w:vAlign w:val="bottom"/>
            <w:gridSpan w:val="2"/>
          </w:tcPr>
          <w:p>
            <w:pPr>
              <w:jc w:val="right"/>
              <w:ind w:right="659"/>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0.36</w:t>
            </w:r>
          </w:p>
        </w:tc>
        <w:tc>
          <w:tcPr>
            <w:tcW w:w="100" w:type="dxa"/>
            <w:vAlign w:val="bottom"/>
          </w:tcPr>
          <w:p>
            <w:pPr>
              <w:spacing w:after="0"/>
              <w:rPr>
                <w:sz w:val="15"/>
                <w:szCs w:val="15"/>
                <w:color w:val="auto"/>
              </w:rPr>
            </w:pPr>
          </w:p>
        </w:tc>
        <w:tc>
          <w:tcPr>
            <w:tcW w:w="800" w:type="dxa"/>
            <w:vAlign w:val="bottom"/>
          </w:tcPr>
          <w:p>
            <w:pPr>
              <w:jc w:val="right"/>
              <w:ind w:right="644"/>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39"/>
              <w:spacing w:after="0"/>
              <w:rPr>
                <w:sz w:val="20"/>
                <w:szCs w:val="20"/>
                <w:color w:val="auto"/>
              </w:rPr>
            </w:pPr>
            <w:r>
              <w:rPr>
                <w:rFonts w:ascii="Arial" w:cs="Arial" w:eastAsia="Arial" w:hAnsi="Arial"/>
                <w:sz w:val="12"/>
                <w:szCs w:val="12"/>
                <w:color w:val="auto"/>
              </w:rPr>
              <w:t>0.53</w:t>
            </w: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820" w:type="dxa"/>
            <w:vAlign w:val="bottom"/>
          </w:tcPr>
          <w:p>
            <w:pPr>
              <w:spacing w:after="0"/>
              <w:rPr>
                <w:sz w:val="14"/>
                <w:szCs w:val="14"/>
                <w:color w:val="auto"/>
              </w:rPr>
            </w:pPr>
          </w:p>
        </w:tc>
        <w:tc>
          <w:tcPr>
            <w:tcW w:w="440" w:type="dxa"/>
            <w:vAlign w:val="bottom"/>
          </w:tcPr>
          <w:p>
            <w:pPr>
              <w:jc w:val="right"/>
              <w:ind w:right="39"/>
              <w:spacing w:after="0"/>
              <w:rPr>
                <w:sz w:val="20"/>
                <w:szCs w:val="20"/>
                <w:color w:val="auto"/>
              </w:rPr>
            </w:pPr>
            <w:r>
              <w:rPr>
                <w:rFonts w:ascii="Arial" w:cs="Arial" w:eastAsia="Arial" w:hAnsi="Arial"/>
                <w:sz w:val="12"/>
                <w:szCs w:val="12"/>
                <w:color w:val="auto"/>
              </w:rPr>
              <w:t>56.9</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57.6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jc w:val="right"/>
              <w:ind w:right="59"/>
              <w:spacing w:after="0"/>
              <w:rPr>
                <w:sz w:val="20"/>
                <w:szCs w:val="20"/>
                <w:color w:val="auto"/>
              </w:rPr>
            </w:pPr>
            <w:r>
              <w:rPr>
                <w:rFonts w:ascii="Arial" w:cs="Arial" w:eastAsia="Arial" w:hAnsi="Arial"/>
                <w:sz w:val="12"/>
                <w:szCs w:val="12"/>
                <w:color w:val="auto"/>
              </w:rPr>
              <w:t>57.0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ind w:right="39"/>
              <w:spacing w:after="0"/>
              <w:rPr>
                <w:sz w:val="20"/>
                <w:szCs w:val="20"/>
                <w:color w:val="auto"/>
              </w:rPr>
            </w:pPr>
            <w:r>
              <w:rPr>
                <w:rFonts w:ascii="Arial" w:cs="Arial" w:eastAsia="Arial" w:hAnsi="Arial"/>
                <w:sz w:val="12"/>
                <w:szCs w:val="12"/>
                <w:color w:val="auto"/>
              </w:rPr>
              <w:t>57.4</w:t>
            </w:r>
          </w:p>
        </w:tc>
      </w:tr>
    </w:tbl>
    <w:p>
      <w:pPr>
        <w:spacing w:after="0" w:line="109" w:lineRule="exact"/>
        <w:rPr>
          <w:sz w:val="20"/>
          <w:szCs w:val="20"/>
          <w:color w:val="auto"/>
        </w:rPr>
      </w:pPr>
    </w:p>
    <w:p>
      <w:pPr>
        <w:sectPr>
          <w:pgSz w:w="11900" w:h="16838" w:orient="portrait"/>
          <w:cols w:equalWidth="0" w:num="2">
            <w:col w:w="5928" w:space="140"/>
            <w:col w:w="5380"/>
          </w:cols>
          <w:pgMar w:left="232" w:top="785" w:right="219" w:bottom="1440" w:gutter="0" w:footer="0" w:header="0"/>
        </w:sectPr>
      </w:pPr>
    </w:p>
    <w:p>
      <w:pPr>
        <w:ind w:left="188" w:hanging="188"/>
        <w:spacing w:after="0"/>
        <w:tabs>
          <w:tab w:leader="none" w:pos="188" w:val="left"/>
        </w:tabs>
        <w:numPr>
          <w:ilvl w:val="0"/>
          <w:numId w:val="2"/>
        </w:numPr>
        <w:rPr>
          <w:rFonts w:ascii="Arial" w:cs="Arial" w:eastAsia="Arial" w:hAnsi="Arial"/>
          <w:sz w:val="23"/>
          <w:szCs w:val="23"/>
          <w:color w:val="auto"/>
          <w:vertAlign w:val="superscript"/>
        </w:rPr>
      </w:pPr>
      <w:r>
        <w:rPr>
          <w:rFonts w:ascii="Arial" w:cs="Arial" w:eastAsia="Arial" w:hAnsi="Arial"/>
          <w:sz w:val="13"/>
          <w:szCs w:val="13"/>
          <w:color w:val="auto"/>
        </w:rPr>
        <w:t>Represents severance and other costs related to the departure of our former CEO and CFO.</w:t>
      </w:r>
    </w:p>
    <w:p>
      <w:pPr>
        <w:spacing w:after="0" w:line="139" w:lineRule="exact"/>
        <w:rPr>
          <w:rFonts w:ascii="Arial" w:cs="Arial" w:eastAsia="Arial" w:hAnsi="Arial"/>
          <w:sz w:val="23"/>
          <w:szCs w:val="23"/>
          <w:color w:val="auto"/>
          <w:vertAlign w:val="superscript"/>
        </w:rPr>
      </w:pPr>
    </w:p>
    <w:p>
      <w:pPr>
        <w:ind w:left="168" w:hanging="168"/>
        <w:spacing w:after="0"/>
        <w:tabs>
          <w:tab w:leader="none" w:pos="168" w:val="left"/>
        </w:tabs>
        <w:numPr>
          <w:ilvl w:val="0"/>
          <w:numId w:val="2"/>
        </w:numPr>
        <w:rPr>
          <w:rFonts w:ascii="Arial" w:cs="Arial" w:eastAsia="Arial" w:hAnsi="Arial"/>
          <w:sz w:val="20"/>
          <w:szCs w:val="20"/>
          <w:color w:val="auto"/>
          <w:vertAlign w:val="superscript"/>
        </w:rPr>
      </w:pPr>
      <w:r>
        <w:rPr>
          <w:rFonts w:ascii="Arial" w:cs="Arial" w:eastAsia="Arial" w:hAnsi="Arial"/>
          <w:sz w:val="12"/>
          <w:szCs w:val="12"/>
          <w:color w:val="auto"/>
        </w:rPr>
        <w:t>Includes legal and other cost incurred in connection with an internal investigation into a foreign entity affiliated with a former joint venture partner.</w:t>
      </w:r>
    </w:p>
    <w:p>
      <w:pPr>
        <w:spacing w:after="0" w:line="127" w:lineRule="exact"/>
        <w:rPr>
          <w:rFonts w:ascii="Arial" w:cs="Arial" w:eastAsia="Arial" w:hAnsi="Arial"/>
          <w:sz w:val="20"/>
          <w:szCs w:val="20"/>
          <w:color w:val="auto"/>
          <w:vertAlign w:val="superscript"/>
        </w:rPr>
      </w:pPr>
    </w:p>
    <w:p>
      <w:pPr>
        <w:ind w:left="168" w:hanging="168"/>
        <w:spacing w:after="0"/>
        <w:tabs>
          <w:tab w:leader="none" w:pos="168"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Includes costs for 2020 Vision Transformation Initiative, net of the reversal of certain share-based compensation costs.</w:t>
      </w:r>
    </w:p>
    <w:p>
      <w:pPr>
        <w:spacing w:after="0" w:line="203" w:lineRule="exact"/>
        <w:rPr>
          <w:rFonts w:ascii="Arial" w:cs="Arial" w:eastAsia="Arial" w:hAnsi="Arial"/>
          <w:sz w:val="21"/>
          <w:szCs w:val="21"/>
          <w:color w:val="auto"/>
          <w:vertAlign w:val="superscript"/>
        </w:rPr>
      </w:pPr>
    </w:p>
    <w:p>
      <w:pPr>
        <w:ind w:left="8" w:hanging="8"/>
        <w:spacing w:after="0" w:line="194" w:lineRule="auto"/>
        <w:tabs>
          <w:tab w:leader="none" w:pos="181" w:val="left"/>
        </w:tabs>
        <w:numPr>
          <w:ilvl w:val="0"/>
          <w:numId w:val="2"/>
        </w:numPr>
        <w:rPr>
          <w:rFonts w:ascii="Arial" w:cs="Arial" w:eastAsia="Arial" w:hAnsi="Arial"/>
          <w:sz w:val="22"/>
          <w:szCs w:val="22"/>
          <w:color w:val="auto"/>
          <w:vertAlign w:val="superscript"/>
        </w:rPr>
      </w:pPr>
      <w:r>
        <w:rPr>
          <w:rFonts w:ascii="Arial" w:cs="Arial" w:eastAsia="Arial" w:hAnsi="Arial"/>
          <w:sz w:val="13"/>
          <w:szCs w:val="13"/>
          <w:color w:val="auto"/>
        </w:rPr>
        <w:t>Includes costs related to a reserve established for an outstanding client receivable that is being litigated, and based on recent unfavorable developments, a significant portion of the outstanding receivable amount is no longer deemed collectible.</w:t>
      </w:r>
    </w:p>
    <w:p>
      <w:pPr>
        <w:spacing w:after="0" w:line="193" w:lineRule="exact"/>
        <w:rPr>
          <w:rFonts w:ascii="Arial" w:cs="Arial" w:eastAsia="Arial" w:hAnsi="Arial"/>
          <w:sz w:val="22"/>
          <w:szCs w:val="22"/>
          <w:color w:val="auto"/>
          <w:vertAlign w:val="superscript"/>
        </w:rPr>
      </w:pPr>
    </w:p>
    <w:p>
      <w:pPr>
        <w:ind w:left="8" w:right="20" w:hanging="8"/>
        <w:spacing w:after="0" w:line="184" w:lineRule="auto"/>
        <w:tabs>
          <w:tab w:leader="none" w:pos="192"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Adjusted EBITDA does not include interest income for certain long term energy contracts, in which case a gross up of both interest income and interest expense is being recorded. Thus, interest expense for the three and six months ended April 30, 2016, is shown net of interest income of $0.3 million and $0.6 million, respectively.</w:t>
      </w:r>
    </w:p>
    <w:p>
      <w:pPr>
        <w:spacing w:after="0" w:line="334"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2663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8"/>
          </w:cols>
          <w:pgMar w:left="232" w:top="785" w:right="219" w:bottom="1440" w:gutter="0" w:footer="0" w:header="0"/>
          <w:type w:val="continuous"/>
        </w:sectPr>
      </w:pPr>
    </w:p>
    <w:bookmarkStart w:id="16" w:name="page17"/>
    <w:bookmarkEnd w:id="16"/>
    <w:p>
      <w:pPr>
        <w:ind w:left="8"/>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2016 GUIDANCE</w:t>
      </w:r>
    </w:p>
    <w:p>
      <w:pPr>
        <w:spacing w:after="0" w:line="233"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8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2"/>
                <w:szCs w:val="12"/>
                <w:b w:val="1"/>
                <w:bCs w:val="1"/>
                <w:color w:val="auto"/>
              </w:rPr>
              <w:t>Year Ended October 31, 2016</w:t>
            </w:r>
          </w:p>
        </w:tc>
      </w:tr>
      <w:tr>
        <w:trPr>
          <w:trHeight w:val="176"/>
        </w:trPr>
        <w:tc>
          <w:tcPr>
            <w:tcW w:w="8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Low Estimate</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High Estimate</w:t>
            </w:r>
          </w:p>
        </w:tc>
      </w:tr>
      <w:tr>
        <w:trPr>
          <w:trHeight w:val="127"/>
        </w:trPr>
        <w:tc>
          <w:tcPr>
            <w:tcW w:w="8580" w:type="dxa"/>
            <w:vAlign w:val="bottom"/>
            <w:shd w:val="clear" w:color="auto" w:fill="CCEEFF"/>
          </w:tcPr>
          <w:p>
            <w:pPr>
              <w:ind w:left="40"/>
              <w:spacing w:after="0" w:line="127" w:lineRule="exact"/>
              <w:rPr>
                <w:sz w:val="20"/>
                <w:szCs w:val="20"/>
                <w:color w:val="auto"/>
              </w:rPr>
            </w:pPr>
            <w:r>
              <w:rPr>
                <w:rFonts w:ascii="Arial" w:cs="Arial" w:eastAsia="Arial" w:hAnsi="Arial"/>
                <w:sz w:val="14"/>
                <w:szCs w:val="14"/>
                <w:b w:val="1"/>
                <w:bCs w:val="1"/>
                <w:color w:val="auto"/>
              </w:rPr>
              <w:t>Reconciliation of Adjusted Income from Continuing Operations per Diluted Share to Income from Continuing Operations per</w:t>
            </w: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Diluted Share</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5"/>
        </w:trPr>
        <w:tc>
          <w:tcPr>
            <w:tcW w:w="8580" w:type="dxa"/>
            <w:vAlign w:val="bottom"/>
          </w:tcPr>
          <w:p>
            <w:pPr>
              <w:ind w:left="40"/>
              <w:spacing w:after="0"/>
              <w:rPr>
                <w:sz w:val="20"/>
                <w:szCs w:val="20"/>
                <w:color w:val="auto"/>
              </w:rPr>
            </w:pPr>
            <w:r>
              <w:rPr>
                <w:rFonts w:ascii="Arial" w:cs="Arial" w:eastAsia="Arial" w:hAnsi="Arial"/>
                <w:sz w:val="14"/>
                <w:szCs w:val="14"/>
                <w:color w:val="auto"/>
              </w:rPr>
              <w:t>Previously announced adjusted income from continuing operations per diluted share</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53"/>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1.60</w:t>
            </w:r>
          </w:p>
        </w:tc>
      </w:tr>
      <w:tr>
        <w:trPr>
          <w:trHeight w:val="196"/>
        </w:trPr>
        <w:tc>
          <w:tcPr>
            <w:tcW w:w="8580" w:type="dxa"/>
            <w:vAlign w:val="bottom"/>
            <w:shd w:val="clear" w:color="auto" w:fill="CCEEFF"/>
          </w:tcPr>
          <w:p>
            <w:pPr>
              <w:ind w:left="40"/>
              <w:spacing w:after="0" w:line="197" w:lineRule="exact"/>
              <w:rPr>
                <w:sz w:val="20"/>
                <w:szCs w:val="20"/>
                <w:color w:val="auto"/>
              </w:rPr>
            </w:pPr>
            <w:r>
              <w:rPr>
                <w:rFonts w:ascii="Arial" w:cs="Arial" w:eastAsia="Arial" w:hAnsi="Arial"/>
                <w:sz w:val="13"/>
                <w:szCs w:val="13"/>
                <w:color w:val="auto"/>
              </w:rPr>
              <w:t>Increase</w:t>
            </w:r>
            <w:r>
              <w:rPr>
                <w:rFonts w:ascii="Arial" w:cs="Arial" w:eastAsia="Arial" w:hAnsi="Arial"/>
                <w:sz w:val="22"/>
                <w:szCs w:val="22"/>
                <w:color w:val="auto"/>
                <w:vertAlign w:val="superscript"/>
              </w:rPr>
              <w:t>(a)</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0.05</w:t>
            </w:r>
          </w:p>
        </w:tc>
      </w:tr>
      <w:tr>
        <w:trPr>
          <w:trHeight w:val="176"/>
        </w:trPr>
        <w:tc>
          <w:tcPr>
            <w:tcW w:w="8580" w:type="dxa"/>
            <w:vAlign w:val="bottom"/>
          </w:tcPr>
          <w:p>
            <w:pPr>
              <w:ind w:left="40"/>
              <w:spacing w:after="0" w:line="176" w:lineRule="exact"/>
              <w:rPr>
                <w:sz w:val="20"/>
                <w:szCs w:val="20"/>
                <w:color w:val="auto"/>
              </w:rPr>
            </w:pPr>
            <w:r>
              <w:rPr>
                <w:rFonts w:ascii="Arial" w:cs="Arial" w:eastAsia="Arial" w:hAnsi="Arial"/>
                <w:sz w:val="12"/>
                <w:szCs w:val="12"/>
                <w:color w:val="auto"/>
              </w:rPr>
              <w:t>Revised adjusted income from continuing operations per diluted share</w:t>
            </w:r>
            <w:r>
              <w:rPr>
                <w:rFonts w:ascii="Arial" w:cs="Arial" w:eastAsia="Arial" w:hAnsi="Arial"/>
                <w:sz w:val="20"/>
                <w:szCs w:val="20"/>
                <w:color w:val="auto"/>
                <w:vertAlign w:val="superscript"/>
              </w:rPr>
              <w:t>(b)</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53"/>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1.65</w:t>
            </w:r>
          </w:p>
        </w:tc>
      </w:tr>
      <w:tr>
        <w:trPr>
          <w:trHeight w:val="196"/>
        </w:trPr>
        <w:tc>
          <w:tcPr>
            <w:tcW w:w="8580" w:type="dxa"/>
            <w:vAlign w:val="bottom"/>
            <w:shd w:val="clear" w:color="auto" w:fill="CCEEFF"/>
          </w:tcPr>
          <w:p>
            <w:pPr>
              <w:ind w:left="40"/>
              <w:spacing w:after="0" w:line="197" w:lineRule="exact"/>
              <w:rPr>
                <w:sz w:val="20"/>
                <w:szCs w:val="20"/>
                <w:color w:val="auto"/>
              </w:rPr>
            </w:pPr>
            <w:r>
              <w:rPr>
                <w:rFonts w:ascii="Arial" w:cs="Arial" w:eastAsia="Arial" w:hAnsi="Arial"/>
                <w:sz w:val="13"/>
                <w:szCs w:val="13"/>
                <w:color w:val="auto"/>
              </w:rPr>
              <w:t>Adjustments</w:t>
            </w:r>
            <w:r>
              <w:rPr>
                <w:rFonts w:ascii="Arial" w:cs="Arial" w:eastAsia="Arial" w:hAnsi="Arial"/>
                <w:sz w:val="22"/>
                <w:szCs w:val="22"/>
                <w:color w:val="auto"/>
                <w:vertAlign w:val="superscript"/>
              </w:rPr>
              <w:t>(c)</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r>
      <w:tr>
        <w:trPr>
          <w:trHeight w:val="176"/>
        </w:trPr>
        <w:tc>
          <w:tcPr>
            <w:tcW w:w="8580" w:type="dxa"/>
            <w:vAlign w:val="bottom"/>
          </w:tcPr>
          <w:p>
            <w:pPr>
              <w:ind w:left="40"/>
              <w:spacing w:after="0" w:line="176" w:lineRule="exact"/>
              <w:rPr>
                <w:sz w:val="20"/>
                <w:szCs w:val="20"/>
                <w:color w:val="auto"/>
              </w:rPr>
            </w:pPr>
            <w:r>
              <w:rPr>
                <w:rFonts w:ascii="Arial" w:cs="Arial" w:eastAsia="Arial" w:hAnsi="Arial"/>
                <w:sz w:val="12"/>
                <w:szCs w:val="12"/>
                <w:color w:val="auto"/>
              </w:rPr>
              <w:t>Income from continuing operations per diluted share</w:t>
            </w:r>
            <w:r>
              <w:rPr>
                <w:rFonts w:ascii="Arial" w:cs="Arial" w:eastAsia="Arial" w:hAnsi="Arial"/>
                <w:sz w:val="20"/>
                <w:szCs w:val="20"/>
                <w:color w:val="auto"/>
                <w:vertAlign w:val="superscript"/>
              </w:rPr>
              <w:t>(b)</w:t>
            </w: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1.17</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188" w:hanging="188"/>
        <w:spacing w:after="0"/>
        <w:tabs>
          <w:tab w:leader="none" w:pos="188" w:val="left"/>
        </w:tabs>
        <w:numPr>
          <w:ilvl w:val="0"/>
          <w:numId w:val="3"/>
        </w:numPr>
        <w:rPr>
          <w:rFonts w:ascii="Arial" w:cs="Arial" w:eastAsia="Arial" w:hAnsi="Arial"/>
          <w:sz w:val="23"/>
          <w:szCs w:val="23"/>
          <w:color w:val="auto"/>
          <w:vertAlign w:val="superscript"/>
        </w:rPr>
      </w:pPr>
      <w:r>
        <w:rPr>
          <w:rFonts w:ascii="Arial" w:cs="Arial" w:eastAsia="Arial" w:hAnsi="Arial"/>
          <w:sz w:val="13"/>
          <w:szCs w:val="13"/>
          <w:color w:val="auto"/>
        </w:rPr>
        <w:t>Represents anticipated benefit of timing related to savings associated with the 2020 Vision Initiative and other strategic investments that have not yet occurred.</w:t>
      </w:r>
    </w:p>
    <w:p>
      <w:pPr>
        <w:spacing w:after="0" w:line="139" w:lineRule="exact"/>
        <w:rPr>
          <w:rFonts w:ascii="Arial" w:cs="Arial" w:eastAsia="Arial" w:hAnsi="Arial"/>
          <w:sz w:val="23"/>
          <w:szCs w:val="23"/>
          <w:color w:val="auto"/>
          <w:vertAlign w:val="superscript"/>
        </w:rPr>
      </w:pPr>
    </w:p>
    <w:p>
      <w:pPr>
        <w:ind w:left="168" w:hanging="168"/>
        <w:spacing w:after="0"/>
        <w:tabs>
          <w:tab w:leader="none" w:pos="168"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This guidance excludes any potential benefits associated with certain other discrete tax items.</w:t>
      </w:r>
    </w:p>
    <w:p>
      <w:pPr>
        <w:spacing w:after="0" w:line="203" w:lineRule="exact"/>
        <w:rPr>
          <w:rFonts w:ascii="Arial" w:cs="Arial" w:eastAsia="Arial" w:hAnsi="Arial"/>
          <w:sz w:val="20"/>
          <w:szCs w:val="20"/>
          <w:color w:val="auto"/>
          <w:vertAlign w:val="superscript"/>
        </w:rPr>
      </w:pPr>
    </w:p>
    <w:p>
      <w:pPr>
        <w:ind w:left="8" w:right="80" w:hanging="8"/>
        <w:spacing w:after="0" w:line="184" w:lineRule="auto"/>
        <w:tabs>
          <w:tab w:leader="none" w:pos="181"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Adjustments include potential costs associated with the strategic review and realignment, legal settlements, adjustments to self-insurance reserves pertaining to prior year's claims and other unique items impacting comparability.</w:t>
      </w:r>
    </w:p>
    <w:p>
      <w:pPr>
        <w:spacing w:after="0" w:line="345"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2663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8"/>
          </w:cols>
          <w:pgMar w:left="232" w:top="959" w:right="219" w:bottom="1440" w:gutter="0" w:footer="0" w:header="0"/>
        </w:sectPr>
      </w:pPr>
    </w:p>
    <w:bookmarkStart w:id="17" w:name="page18"/>
    <w:bookmarkEnd w:id="17"/>
    <w:p>
      <w:pPr>
        <w:ind w:left="928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285750</wp:posOffset>
            </wp:positionV>
            <wp:extent cx="7320280" cy="5742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0" w:num="1">
            <w:col w:w="10240"/>
          </w:cols>
          <w:pgMar w:left="1440" w:top="324" w:right="21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7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6132195</wp:posOffset>
            </wp:positionV>
            <wp:extent cx="726630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2019-12-05T18:15:19Z</dcterms:created>
  <dcterms:modified xsi:type="dcterms:W3CDTF">2019-12-05T18:15:19Z</dcterms:modified>
</cp:coreProperties>
</file>