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ABM INDUSTRIES INCORPORATED</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000957100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September 1,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820" w:hanging="326"/>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820" w:hanging="326"/>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820" w:hanging="326"/>
        <w:spacing w:after="0"/>
        <w:tabs>
          <w:tab w:leader="none" w:pos="8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ind w:right="6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2860"/>
              <w:spacing w:after="0"/>
              <w:rPr>
                <w:sz w:val="20"/>
                <w:szCs w:val="20"/>
                <w:color w:val="auto"/>
              </w:rPr>
            </w:pPr>
            <w:r>
              <w:rPr>
                <w:rFonts w:ascii="Arial" w:cs="Arial" w:eastAsia="Arial" w:hAnsi="Arial"/>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Thomas H. Lee Advisors,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8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4,523,870(1)</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8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4,523,870(1)</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4,523,870(1)</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9"/>
              </w:rPr>
              <w:t>6.95% (1)</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56" w:lineRule="exact"/>
        <w:rPr>
          <w:sz w:val="20"/>
          <w:szCs w:val="20"/>
          <w:color w:val="auto"/>
        </w:rPr>
      </w:pPr>
    </w:p>
    <w:p>
      <w:pPr>
        <w:ind w:left="660" w:right="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all shares owned by Thomas H. Lee Equity Fund VII, L.P.; Thomas H. Lee Parallel Fund VII, L.P.; Thomas H. Lee Parallel (Cayman) Fund VII, L.P.; THL Executive Fund VII, L.P.; and THL Fund VII Coinvestment Partners, L.P.</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2860"/>
              <w:spacing w:after="0"/>
              <w:rPr>
                <w:sz w:val="20"/>
                <w:szCs w:val="20"/>
                <w:color w:val="auto"/>
              </w:rPr>
            </w:pPr>
            <w:r>
              <w:rPr>
                <w:rFonts w:ascii="Arial" w:cs="Arial" w:eastAsia="Arial" w:hAnsi="Arial"/>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Thomas H. Lee Equity Fund VII,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1,465,574</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1,465,574</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1,465,574</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2.25%</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2860"/>
              <w:spacing w:after="0"/>
              <w:rPr>
                <w:sz w:val="20"/>
                <w:szCs w:val="20"/>
                <w:color w:val="auto"/>
              </w:rPr>
            </w:pPr>
            <w:r>
              <w:rPr>
                <w:rFonts w:ascii="Arial" w:cs="Arial" w:eastAsia="Arial" w:hAnsi="Arial"/>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9800" w:type="dxa"/>
            <w:vAlign w:val="bottom"/>
            <w:tcBorders>
              <w:bottom w:val="single" w:sz="8" w:color="auto"/>
            </w:tcBorders>
            <w:gridSpan w:val="4"/>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Thomas H. Lee Parallel Fund VII,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1,156,397</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1,156,397</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1,156,397</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CUSIP NO. 000957100</w:t>
            </w:r>
          </w:p>
        </w:tc>
        <w:tc>
          <w:tcPr>
            <w:tcW w:w="500" w:type="dxa"/>
            <w:vAlign w:val="bottom"/>
          </w:tcPr>
          <w:p>
            <w:pPr>
              <w:spacing w:after="0"/>
              <w:rPr>
                <w:sz w:val="20"/>
                <w:szCs w:val="20"/>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Thomas H. Lee Parallel (Cayman) Fund VII,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60" w:type="dxa"/>
            <w:vAlign w:val="bottom"/>
            <w:shd w:val="clear" w:color="auto" w:fill="BFBFBF"/>
          </w:tcPr>
          <w:p>
            <w:pPr>
              <w:spacing w:after="0"/>
              <w:rPr>
                <w:sz w:val="24"/>
                <w:szCs w:val="24"/>
                <w:color w:val="auto"/>
              </w:rPr>
            </w:pPr>
          </w:p>
        </w:tc>
        <w:tc>
          <w:tcPr>
            <w:tcW w:w="50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60" w:type="dxa"/>
            <w:vAlign w:val="bottom"/>
            <w:tcBorders>
              <w:bottom w:val="single" w:sz="8" w:color="auto"/>
            </w:tcBorders>
            <w:shd w:val="clear" w:color="auto" w:fill="BFBFBF"/>
          </w:tcPr>
          <w:p>
            <w:pPr>
              <w:spacing w:after="0"/>
              <w:rPr>
                <w:sz w:val="23"/>
                <w:szCs w:val="23"/>
                <w:color w:val="auto"/>
              </w:rPr>
            </w:pPr>
          </w:p>
        </w:tc>
        <w:tc>
          <w:tcPr>
            <w:tcW w:w="50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7"/>
              </w:rPr>
              <w:t>Cayman Islands</w:t>
            </w: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6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1,549,934</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60" w:type="dxa"/>
            <w:vAlign w:val="bottom"/>
          </w:tcPr>
          <w:p>
            <w:pPr>
              <w:spacing w:after="0"/>
              <w:rPr>
                <w:sz w:val="14"/>
                <w:szCs w:val="14"/>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1,549,934</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1,549,934</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0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INSTRUCTIONS BEFORE FILLING OUT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CUSIP NO. 000957100</w:t>
            </w:r>
          </w:p>
        </w:tc>
        <w:tc>
          <w:tcPr>
            <w:tcW w:w="520" w:type="dxa"/>
            <w:vAlign w:val="bottom"/>
          </w:tcPr>
          <w:p>
            <w:pPr>
              <w:spacing w:after="0"/>
              <w:rPr>
                <w:sz w:val="20"/>
                <w:szCs w:val="20"/>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THL Executive Fund VII,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128,465</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128,465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w w:val="92"/>
              </w:rPr>
              <w:t>128,465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INSTRUCTIONS BEFORE FILLING OUT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CUSIP NO. 000957100</w:t>
            </w:r>
          </w:p>
        </w:tc>
        <w:tc>
          <w:tcPr>
            <w:tcW w:w="520" w:type="dxa"/>
            <w:vAlign w:val="bottom"/>
          </w:tcPr>
          <w:p>
            <w:pPr>
              <w:spacing w:after="0"/>
              <w:rPr>
                <w:sz w:val="20"/>
                <w:szCs w:val="20"/>
                <w:color w:val="auto"/>
              </w:rPr>
            </w:pPr>
          </w:p>
        </w:tc>
        <w:tc>
          <w:tcPr>
            <w:tcW w:w="8580" w:type="dxa"/>
            <w:vAlign w:val="bottom"/>
            <w:gridSpan w:val="2"/>
          </w:tcPr>
          <w:p>
            <w:pPr>
              <w:ind w:left="2880"/>
              <w:spacing w:after="0"/>
              <w:rPr>
                <w:sz w:val="20"/>
                <w:szCs w:val="20"/>
                <w:color w:val="auto"/>
              </w:rPr>
            </w:pPr>
            <w:r>
              <w:rPr>
                <w:rFonts w:ascii="Arial" w:cs="Arial" w:eastAsia="Arial" w:hAnsi="Arial"/>
                <w:sz w:val="18"/>
                <w:szCs w:val="18"/>
                <w:b w:val="1"/>
                <w:bCs w:val="1"/>
                <w:color w:val="auto"/>
              </w:rPr>
              <w:t>13G</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800" w:type="dxa"/>
            <w:vAlign w:val="bottom"/>
            <w:tcBorders>
              <w:bottom w:val="single" w:sz="8" w:color="auto"/>
            </w:tcBorders>
            <w:gridSpan w:val="4"/>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tcPr>
          <w:p>
            <w:pPr>
              <w:ind w:left="20"/>
              <w:spacing w:after="0"/>
              <w:rPr>
                <w:sz w:val="20"/>
                <w:szCs w:val="20"/>
                <w:color w:val="auto"/>
              </w:rPr>
            </w:pPr>
            <w:r>
              <w:rPr>
                <w:rFonts w:ascii="Arial" w:cs="Arial" w:eastAsia="Arial" w:hAnsi="Arial"/>
                <w:sz w:val="18"/>
                <w:szCs w:val="18"/>
                <w:color w:val="auto"/>
              </w:rPr>
              <w:t>THL Fund VII Coinvestment Partners,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80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48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848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848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223,500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8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8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8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8"/>
                <w:szCs w:val="18"/>
                <w:color w:val="auto"/>
              </w:rPr>
              <w:t>223,500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w w:val="92"/>
              </w:rPr>
              <w:t>223,500</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0.34%</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5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INSTRUCTIONS BEFORE FILLING OUT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CUSIP NO. 000957100</w:t>
            </w:r>
          </w:p>
        </w:tc>
        <w:tc>
          <w:tcPr>
            <w:tcW w:w="2020" w:type="dxa"/>
            <w:vAlign w:val="bottom"/>
          </w:tcPr>
          <w:p>
            <w:pPr>
              <w:ind w:left="1700"/>
              <w:spacing w:after="0"/>
              <w:rPr>
                <w:sz w:val="20"/>
                <w:szCs w:val="20"/>
                <w:color w:val="auto"/>
              </w:rPr>
            </w:pPr>
            <w:r>
              <w:rPr>
                <w:rFonts w:ascii="Arial" w:cs="Arial" w:eastAsia="Arial" w:hAnsi="Arial"/>
                <w:sz w:val="18"/>
                <w:szCs w:val="18"/>
                <w:b w:val="1"/>
                <w:bCs w:val="1"/>
                <w:color w:val="auto"/>
                <w:w w:val="88"/>
              </w:rPr>
              <w:t>13G</w:t>
            </w:r>
          </w:p>
        </w:tc>
      </w:tr>
      <w:tr>
        <w:trPr>
          <w:trHeight w:val="459"/>
        </w:trPr>
        <w:tc>
          <w:tcPr>
            <w:tcW w:w="3900" w:type="dxa"/>
            <w:vAlign w:val="bottom"/>
          </w:tcPr>
          <w:p>
            <w:pPr>
              <w:spacing w:after="0"/>
              <w:rPr>
                <w:sz w:val="20"/>
                <w:szCs w:val="20"/>
                <w:color w:val="auto"/>
              </w:rPr>
            </w:pPr>
            <w:r>
              <w:rPr>
                <w:rFonts w:ascii="Arial" w:cs="Arial" w:eastAsia="Arial" w:hAnsi="Arial"/>
                <w:sz w:val="18"/>
                <w:szCs w:val="18"/>
                <w:b w:val="1"/>
                <w:bCs w:val="1"/>
                <w:color w:val="auto"/>
              </w:rPr>
              <w:t>Item 1 (a).  Name of Issuer:</w:t>
            </w:r>
          </w:p>
        </w:tc>
        <w:tc>
          <w:tcPr>
            <w:tcW w:w="2020" w:type="dxa"/>
            <w:vAlign w:val="bottom"/>
          </w:tcPr>
          <w:p>
            <w:pPr>
              <w:spacing w:after="0"/>
              <w:rPr>
                <w:sz w:val="24"/>
                <w:szCs w:val="24"/>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ABM Industries Incorporated</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 (b).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Liberty Plaza, 7th Floor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10006</w:t>
      </w: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jc w:val="both"/>
        <w:ind w:left="980"/>
        <w:spacing w:after="0" w:line="297" w:lineRule="auto"/>
        <w:rPr>
          <w:sz w:val="20"/>
          <w:szCs w:val="20"/>
          <w:color w:val="auto"/>
        </w:rPr>
      </w:pPr>
      <w:r>
        <w:rPr>
          <w:rFonts w:ascii="Arial" w:cs="Arial" w:eastAsia="Arial" w:hAnsi="Arial"/>
          <w:sz w:val="16"/>
          <w:szCs w:val="16"/>
          <w:color w:val="auto"/>
        </w:rPr>
        <w:t>This statement is being filed on behalf of the following (collectively, the “Reporting Persons): (1) Thomas H. Lee Advisors, LLC, a Delaware limited liability company (“Advisors”); (2) Thomas H. Lee Equity Fund VII, L.P., a Delaware limited partnership (“THL Equity VII”); (3) Thomas H. Lee Parallel Fund VII, L.P., a Delaware limited partnership (“THL Parallel Fund VII”); (4) Thomas H. Lee Parallel (Cayman) Fund VII, L.P., a Cayman Islands exempted limited partnership (“THL Cayman Fund VII”); (5) THL Executive Fund VII, L.P., a Delaware limited partnership (“THL Executive”); and (6) THL Fund VII Coinvestment Partners, L.P., a Delaware limited partnership (“THL VII Coinvestment”).</w:t>
      </w:r>
    </w:p>
    <w:p>
      <w:pPr>
        <w:spacing w:after="0" w:line="185"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Advisors is the general partner of Thomas H. Lee Partners, L.P., which in turn is the general partner of THL VII Coinvestment. In addition Thomas H. Lee Partners, L.P. is the managing member of THL Equity Advisors VII, LLC, which in turn is the general partner of THL Equity VII, THL Parallel Fund VII, THL Cayman Fund VII and THL Executive.</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For each of the Reporting Persons: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Thomas H. Lee Partners, L.P.</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100 Federal Street, 35th Floor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Boston, MA 02110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CUSIP NO. 000957100</w:t>
            </w:r>
          </w:p>
        </w:tc>
        <w:tc>
          <w:tcPr>
            <w:tcW w:w="2160" w:type="dxa"/>
            <w:vAlign w:val="bottom"/>
          </w:tcPr>
          <w:p>
            <w:pPr>
              <w:ind w:left="1840"/>
              <w:spacing w:after="0"/>
              <w:rPr>
                <w:sz w:val="20"/>
                <w:szCs w:val="20"/>
                <w:color w:val="auto"/>
              </w:rPr>
            </w:pPr>
            <w:r>
              <w:rPr>
                <w:rFonts w:ascii="Arial" w:cs="Arial" w:eastAsia="Arial" w:hAnsi="Arial"/>
                <w:sz w:val="18"/>
                <w:szCs w:val="18"/>
                <w:b w:val="1"/>
                <w:bCs w:val="1"/>
                <w:color w:val="auto"/>
                <w:w w:val="88"/>
              </w:rPr>
              <w:t>13G</w:t>
            </w:r>
          </w:p>
        </w:tc>
      </w:tr>
      <w:tr>
        <w:trPr>
          <w:trHeight w:val="459"/>
        </w:trPr>
        <w:tc>
          <w:tcPr>
            <w:tcW w:w="3760" w:type="dxa"/>
            <w:vAlign w:val="bottom"/>
          </w:tcPr>
          <w:p>
            <w:pPr>
              <w:spacing w:after="0"/>
              <w:rPr>
                <w:sz w:val="20"/>
                <w:szCs w:val="20"/>
                <w:color w:val="auto"/>
              </w:rPr>
            </w:pPr>
            <w:r>
              <w:rPr>
                <w:rFonts w:ascii="Arial" w:cs="Arial" w:eastAsia="Arial" w:hAnsi="Arial"/>
                <w:sz w:val="18"/>
                <w:szCs w:val="18"/>
                <w:b w:val="1"/>
                <w:bCs w:val="1"/>
                <w:color w:val="auto"/>
              </w:rPr>
              <w:t>Item 2 (c).  Citizenship:</w:t>
            </w:r>
          </w:p>
        </w:tc>
        <w:tc>
          <w:tcPr>
            <w:tcW w:w="2160" w:type="dxa"/>
            <w:vAlign w:val="bottom"/>
          </w:tcPr>
          <w:p>
            <w:pPr>
              <w:spacing w:after="0"/>
              <w:rPr>
                <w:sz w:val="24"/>
                <w:szCs w:val="24"/>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Thomas H. Lee Advisors, LLC – Delaware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Thomas H. Lee Equity Fund VII, L.P. – Delaware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Thomas H. Lee Parallel Fund VII, L.P. – Delaware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Thomas H. Lee Parallel (Cayman) Fund VII, L.P. – Cayman Islands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THL Executive Fund VII, L.P. – Delaware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THL Fund VII Coinvestment Partners, L.P. – Delaware</w:t>
      </w:r>
    </w:p>
    <w:p>
      <w:pPr>
        <w:spacing w:after="0" w:line="234" w:lineRule="exact"/>
        <w:rPr>
          <w:sz w:val="20"/>
          <w:szCs w:val="20"/>
          <w:color w:val="auto"/>
        </w:rPr>
      </w:pPr>
    </w:p>
    <w:p>
      <w:pPr>
        <w:jc w:val="center"/>
        <w:ind w:right="8320"/>
        <w:spacing w:after="0"/>
        <w:tabs>
          <w:tab w:leader="none" w:pos="14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000957100</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color w:val="auto"/>
        </w:rPr>
        <w:t>Not Applicable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Amount Beneficially Owned</w:t>
      </w:r>
    </w:p>
    <w:p>
      <w:pPr>
        <w:spacing w:after="0" w:line="256" w:lineRule="exact"/>
        <w:rPr>
          <w:sz w:val="20"/>
          <w:szCs w:val="20"/>
          <w:color w:val="auto"/>
        </w:rPr>
      </w:pPr>
    </w:p>
    <w:p>
      <w:pPr>
        <w:ind w:left="980"/>
        <w:spacing w:after="0" w:line="302" w:lineRule="auto"/>
        <w:rPr>
          <w:sz w:val="20"/>
          <w:szCs w:val="20"/>
          <w:color w:val="auto"/>
        </w:rPr>
      </w:pPr>
      <w:r>
        <w:rPr>
          <w:rFonts w:ascii="Arial" w:cs="Arial" w:eastAsia="Arial" w:hAnsi="Arial"/>
          <w:sz w:val="16"/>
          <w:szCs w:val="16"/>
          <w:color w:val="auto"/>
        </w:rPr>
        <w:t>This Schedule 13G is being filed on behalf of the Reporting Persons. The Reporting Persons may be deemed to beneficially own in the aggregate 4,523,870 shares of the Issuer’s Common Stock, representing, in the aggregate, 6.95% of the Issuer’s Common Stock. The calculation of the foregoing percentage is based on 65,135,908 shares of Common Stock outstanding as of September 1, 2017 (the “Outstanding Shares”), as reported in the Issuer’s Quarterly Report on Form 10-Q filed with the Securities and Exchange Commission on September 7, 2017.</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shares were owned by the Reporting Persons on September 1, 2017 and as of the date of this filing: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Advisors owned 4,523,870 shares of the Issuer, representing approximately 6.95% of the Outstanding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THL Equity VII owned 1,465,574 shares of the Issuer, representing approximately 2.25% of the Outstanding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THL Parallel Fund VII owned 1,156,397 shares of the Issuer, representing approximately 1.78% of the Outstanding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THL Cayman Fund VII owned 1,549,934 shares of the Issuer, representing approximately 2.38% of the Outstanding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THL Executive owned 128,465 shares of the Issuer, representing approximately 0.20% of the Outstanding Shares.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THL VII Coinvestment owned 223,500 shares of the Issuer, representing approximately 0.34% of the Outstanding Shares.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CUSIP NO. 000957100</w:t>
            </w:r>
          </w:p>
        </w:tc>
        <w:tc>
          <w:tcPr>
            <w:tcW w:w="2220" w:type="dxa"/>
            <w:vAlign w:val="bottom"/>
          </w:tcPr>
          <w:p>
            <w:pPr>
              <w:ind w:left="1900"/>
              <w:spacing w:after="0"/>
              <w:rPr>
                <w:sz w:val="20"/>
                <w:szCs w:val="20"/>
                <w:color w:val="auto"/>
              </w:rPr>
            </w:pPr>
            <w:r>
              <w:rPr>
                <w:rFonts w:ascii="Arial" w:cs="Arial" w:eastAsia="Arial" w:hAnsi="Arial"/>
                <w:sz w:val="18"/>
                <w:szCs w:val="18"/>
                <w:b w:val="1"/>
                <w:bCs w:val="1"/>
                <w:color w:val="auto"/>
                <w:w w:val="88"/>
              </w:rPr>
              <w:t>13G</w:t>
            </w:r>
          </w:p>
        </w:tc>
      </w:tr>
    </w:tbl>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virtue of the relationship among the Reporting Persons described herein, the Reporting Persons may be deemed to share beneficial ownership with respect to the shares reported herein. Each of the Reporting Persons expressly disclaims the existence of such beneficial ownership and this report shall not be deemed an admission that any of the Reporting Persons is the beneficial owner of the securities for the purpose of Section 16 or any other purposes, except to the extent of its pecuniary interest therein.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4a hereof.</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 has:</w:t>
      </w:r>
    </w:p>
    <w:p>
      <w:pPr>
        <w:spacing w:after="0" w:line="256" w:lineRule="exact"/>
        <w:rPr>
          <w:sz w:val="20"/>
          <w:szCs w:val="20"/>
          <w:color w:val="auto"/>
        </w:rPr>
      </w:pPr>
    </w:p>
    <w:p>
      <w:pPr>
        <w:ind w:left="1620" w:right="6640" w:hanging="640"/>
        <w:spacing w:after="0" w:line="308"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power to vote or to direct the vote: See Row 5 of each cover page.</w:t>
      </w:r>
    </w:p>
    <w:p>
      <w:pPr>
        <w:spacing w:after="0" w:line="173" w:lineRule="exact"/>
        <w:rPr>
          <w:rFonts w:ascii="Arial" w:cs="Arial" w:eastAsia="Arial" w:hAnsi="Arial"/>
          <w:sz w:val="17"/>
          <w:szCs w:val="17"/>
          <w:color w:val="auto"/>
        </w:rPr>
      </w:pPr>
    </w:p>
    <w:p>
      <w:pPr>
        <w:ind w:left="1620" w:right="6460" w:hanging="640"/>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Row 6 of each cover page.</w:t>
      </w:r>
    </w:p>
    <w:p>
      <w:pPr>
        <w:spacing w:after="0" w:line="197" w:lineRule="exact"/>
        <w:rPr>
          <w:rFonts w:ascii="Arial" w:cs="Arial" w:eastAsia="Arial" w:hAnsi="Arial"/>
          <w:sz w:val="18"/>
          <w:szCs w:val="18"/>
          <w:color w:val="auto"/>
        </w:rPr>
      </w:pPr>
    </w:p>
    <w:p>
      <w:pPr>
        <w:ind w:left="1620" w:right="5720" w:hanging="640"/>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7 of each cover page.</w:t>
      </w:r>
    </w:p>
    <w:p>
      <w:pPr>
        <w:spacing w:after="0" w:line="197" w:lineRule="exact"/>
        <w:rPr>
          <w:rFonts w:ascii="Arial" w:cs="Arial" w:eastAsia="Arial" w:hAnsi="Arial"/>
          <w:sz w:val="18"/>
          <w:szCs w:val="18"/>
          <w:color w:val="auto"/>
        </w:rPr>
      </w:pPr>
    </w:p>
    <w:p>
      <w:pPr>
        <w:ind w:left="1620" w:right="5540" w:hanging="640"/>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Row 8 of each cover page.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Page 10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121" w:right="5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CUSIP NO. 000957100</w:t>
            </w:r>
          </w:p>
        </w:tc>
        <w:tc>
          <w:tcPr>
            <w:tcW w:w="1460" w:type="dxa"/>
            <w:vAlign w:val="bottom"/>
          </w:tcPr>
          <w:p>
            <w:pPr>
              <w:ind w:left="1140"/>
              <w:spacing w:after="0"/>
              <w:rPr>
                <w:sz w:val="20"/>
                <w:szCs w:val="20"/>
                <w:color w:val="auto"/>
              </w:rPr>
            </w:pPr>
            <w:r>
              <w:rPr>
                <w:rFonts w:ascii="Arial" w:cs="Arial" w:eastAsia="Arial" w:hAnsi="Arial"/>
                <w:sz w:val="18"/>
                <w:szCs w:val="18"/>
                <w:b w:val="1"/>
                <w:bCs w:val="1"/>
                <w:color w:val="auto"/>
                <w:w w:val="88"/>
              </w:rPr>
              <w:t>13G</w:t>
            </w:r>
          </w:p>
        </w:tc>
      </w:tr>
      <w:tr>
        <w:trPr>
          <w:trHeight w:val="459"/>
        </w:trPr>
        <w:tc>
          <w:tcPr>
            <w:tcW w:w="7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3700" w:type="dxa"/>
            <w:vAlign w:val="bottom"/>
          </w:tcPr>
          <w:p>
            <w:pPr>
              <w:ind w:left="220"/>
              <w:spacing w:after="0"/>
              <w:rPr>
                <w:sz w:val="20"/>
                <w:szCs w:val="20"/>
                <w:color w:val="auto"/>
              </w:rPr>
            </w:pPr>
            <w:r>
              <w:rPr>
                <w:rFonts w:ascii="Arial" w:cs="Arial" w:eastAsia="Arial" w:hAnsi="Arial"/>
                <w:sz w:val="18"/>
                <w:szCs w:val="18"/>
                <w:b w:val="1"/>
                <w:bCs w:val="1"/>
                <w:color w:val="auto"/>
              </w:rPr>
              <w:t>Notice of Dissolution of Group</w:t>
            </w:r>
          </w:p>
        </w:tc>
        <w:tc>
          <w:tcPr>
            <w:tcW w:w="1460" w:type="dxa"/>
            <w:vAlign w:val="bottom"/>
          </w:tcPr>
          <w:p>
            <w:pPr>
              <w:spacing w:after="0"/>
              <w:rPr>
                <w:sz w:val="24"/>
                <w:szCs w:val="24"/>
                <w:color w:val="auto"/>
              </w:rPr>
            </w:pPr>
          </w:p>
        </w:tc>
      </w:tr>
      <w:tr>
        <w:trPr>
          <w:trHeight w:val="459"/>
        </w:trPr>
        <w:tc>
          <w:tcPr>
            <w:tcW w:w="760" w:type="dxa"/>
            <w:vAlign w:val="bottom"/>
          </w:tcPr>
          <w:p>
            <w:pPr>
              <w:spacing w:after="0"/>
              <w:rPr>
                <w:sz w:val="24"/>
                <w:szCs w:val="24"/>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Not Applicable.</w:t>
            </w:r>
          </w:p>
        </w:tc>
        <w:tc>
          <w:tcPr>
            <w:tcW w:w="146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  Certification</w:t>
      </w:r>
    </w:p>
    <w:p>
      <w:pPr>
        <w:spacing w:after="0" w:line="256" w:lineRule="exact"/>
        <w:rPr>
          <w:sz w:val="20"/>
          <w:szCs w:val="20"/>
          <w:color w:val="auto"/>
        </w:rPr>
      </w:pPr>
    </w:p>
    <w:p>
      <w:pPr>
        <w:jc w:val="both"/>
        <w:ind w:left="9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11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September 20, 2017</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H. LEE ADVISORS, LLC</w:t>
      </w:r>
    </w:p>
    <w:p>
      <w:pPr>
        <w:spacing w:after="0" w:line="200" w:lineRule="exact"/>
        <w:rPr>
          <w:sz w:val="20"/>
          <w:szCs w:val="20"/>
          <w:color w:val="auto"/>
        </w:rPr>
      </w:pPr>
    </w:p>
    <w:p>
      <w:pPr>
        <w:sectPr>
          <w:pgSz w:w="11900" w:h="16838" w:orient="portrait"/>
          <w:cols w:equalWidth="0" w:num="3">
            <w:col w:w="480" w:space="100"/>
            <w:col w:w="4420" w:space="720"/>
            <w:col w:w="5700"/>
          </w:cols>
          <w:pgMar w:left="240" w:top="121" w:right="239" w:bottom="1440" w:gutter="0" w:footer="0" w:header="0"/>
          <w:type w:val="continuous"/>
        </w:sectPr>
      </w:pPr>
    </w:p>
    <w:p>
      <w:pPr>
        <w:spacing w:after="0" w:line="2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THL Holdco, LLC, its managing member</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0359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5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Charles P. Holden</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12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correct.</w:t>
            </w:r>
          </w:p>
        </w:tc>
        <w:tc>
          <w:tcPr>
            <w:tcW w:w="24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45"/>
        </w:trPr>
        <w:tc>
          <w:tcPr>
            <w:tcW w:w="3660" w:type="dxa"/>
            <w:vAlign w:val="bottom"/>
          </w:tcPr>
          <w:p>
            <w:pPr>
              <w:spacing w:after="0"/>
              <w:rPr>
                <w:sz w:val="20"/>
                <w:szCs w:val="20"/>
                <w:color w:val="auto"/>
              </w:rPr>
            </w:pPr>
            <w:r>
              <w:rPr>
                <w:rFonts w:ascii="Arial" w:cs="Arial" w:eastAsia="Arial" w:hAnsi="Arial"/>
                <w:sz w:val="18"/>
                <w:szCs w:val="18"/>
                <w:color w:val="auto"/>
              </w:rPr>
              <w:t>Dated: September 20, 2017</w:t>
            </w:r>
          </w:p>
        </w:tc>
        <w:tc>
          <w:tcPr>
            <w:tcW w:w="7200" w:type="dxa"/>
            <w:vAlign w:val="bottom"/>
            <w:gridSpan w:val="2"/>
          </w:tcPr>
          <w:p>
            <w:pPr>
              <w:ind w:left="2060"/>
              <w:spacing w:after="0"/>
              <w:rPr>
                <w:sz w:val="20"/>
                <w:szCs w:val="20"/>
                <w:color w:val="auto"/>
              </w:rPr>
            </w:pPr>
            <w:r>
              <w:rPr>
                <w:rFonts w:ascii="Arial" w:cs="Arial" w:eastAsia="Arial" w:hAnsi="Arial"/>
                <w:sz w:val="18"/>
                <w:szCs w:val="18"/>
                <w:b w:val="1"/>
                <w:bCs w:val="1"/>
                <w:color w:val="auto"/>
              </w:rPr>
              <w:t>THOMAS H. LEE EQUITY FUND VII, L.P.</w:t>
            </w:r>
          </w:p>
        </w:tc>
        <w:tc>
          <w:tcPr>
            <w:tcW w:w="560" w:type="dxa"/>
            <w:vAlign w:val="bottom"/>
          </w:tcPr>
          <w:p>
            <w:pPr>
              <w:spacing w:after="0"/>
              <w:rPr>
                <w:sz w:val="24"/>
                <w:szCs w:val="24"/>
                <w:color w:val="auto"/>
              </w:rPr>
            </w:pPr>
          </w:p>
        </w:tc>
      </w:tr>
      <w:tr>
        <w:trPr>
          <w:trHeight w:val="418"/>
        </w:trPr>
        <w:tc>
          <w:tcPr>
            <w:tcW w:w="3660" w:type="dxa"/>
            <w:vAlign w:val="bottom"/>
          </w:tcPr>
          <w:p>
            <w:pPr>
              <w:spacing w:after="0"/>
              <w:rPr>
                <w:sz w:val="24"/>
                <w:szCs w:val="24"/>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THL Equity Advisors VII, LLC,</w:t>
            </w:r>
          </w:p>
        </w:tc>
        <w:tc>
          <w:tcPr>
            <w:tcW w:w="56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7200" w:type="dxa"/>
            <w:vAlign w:val="bottom"/>
            <w:gridSpan w:val="2"/>
          </w:tcPr>
          <w:p>
            <w:pPr>
              <w:ind w:left="2400"/>
              <w:spacing w:after="0"/>
              <w:rPr>
                <w:sz w:val="20"/>
                <w:szCs w:val="20"/>
                <w:color w:val="auto"/>
              </w:rPr>
            </w:pPr>
            <w:r>
              <w:rPr>
                <w:rFonts w:ascii="Arial" w:cs="Arial" w:eastAsia="Arial" w:hAnsi="Arial"/>
                <w:sz w:val="18"/>
                <w:szCs w:val="18"/>
                <w:color w:val="auto"/>
              </w:rPr>
              <w:t>its general partner</w:t>
            </w:r>
          </w:p>
        </w:tc>
        <w:tc>
          <w:tcPr>
            <w:tcW w:w="5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Thomas H. Lee Partners, L.P., its sole member</w:t>
            </w:r>
          </w:p>
        </w:tc>
        <w:tc>
          <w:tcPr>
            <w:tcW w:w="5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Thomas H. Lee Advisors, LLC, its general partner</w:t>
            </w:r>
          </w:p>
        </w:tc>
        <w:tc>
          <w:tcPr>
            <w:tcW w:w="56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THL Holdco, LLC, its managing member</w:t>
            </w:r>
          </w:p>
        </w:tc>
        <w:tc>
          <w:tcPr>
            <w:tcW w:w="560" w:type="dxa"/>
            <w:vAlign w:val="bottom"/>
          </w:tcPr>
          <w:p>
            <w:pPr>
              <w:spacing w:after="0"/>
              <w:rPr>
                <w:sz w:val="20"/>
                <w:szCs w:val="20"/>
                <w:color w:val="auto"/>
              </w:rPr>
            </w:pPr>
          </w:p>
        </w:tc>
      </w:tr>
      <w:tr>
        <w:trPr>
          <w:trHeight w:val="480"/>
        </w:trPr>
        <w:tc>
          <w:tcPr>
            <w:tcW w:w="3660" w:type="dxa"/>
            <w:vAlign w:val="bottom"/>
          </w:tcPr>
          <w:p>
            <w:pPr>
              <w:spacing w:after="0"/>
              <w:rPr>
                <w:sz w:val="24"/>
                <w:szCs w:val="24"/>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/s/Charles P. Holden</w:t>
            </w:r>
          </w:p>
        </w:tc>
        <w:tc>
          <w:tcPr>
            <w:tcW w:w="560" w:type="dxa"/>
            <w:vAlign w:val="bottom"/>
          </w:tcPr>
          <w:p>
            <w:pPr>
              <w:spacing w:after="0"/>
              <w:rPr>
                <w:sz w:val="24"/>
                <w:szCs w:val="24"/>
                <w:color w:val="auto"/>
              </w:rPr>
            </w:pPr>
          </w:p>
        </w:tc>
      </w:tr>
      <w:tr>
        <w:trPr>
          <w:trHeight w:val="202"/>
        </w:trPr>
        <w:tc>
          <w:tcPr>
            <w:tcW w:w="3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Charles P. Holden</w:t>
            </w:r>
          </w:p>
        </w:tc>
        <w:tc>
          <w:tcPr>
            <w:tcW w:w="56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560" w:type="dxa"/>
            <w:vAlign w:val="bottom"/>
          </w:tcPr>
          <w:p>
            <w:pPr>
              <w:spacing w:after="0"/>
              <w:rPr>
                <w:sz w:val="20"/>
                <w:szCs w:val="20"/>
                <w:color w:val="auto"/>
              </w:rPr>
            </w:pPr>
          </w:p>
        </w:tc>
      </w:tr>
      <w:tr>
        <w:trPr>
          <w:trHeight w:val="582"/>
        </w:trPr>
        <w:tc>
          <w:tcPr>
            <w:tcW w:w="3660" w:type="dxa"/>
            <w:vAlign w:val="bottom"/>
          </w:tcPr>
          <w:p>
            <w:pPr>
              <w:spacing w:after="0"/>
              <w:rPr>
                <w:sz w:val="24"/>
                <w:szCs w:val="24"/>
                <w:color w:val="auto"/>
              </w:rPr>
            </w:pPr>
          </w:p>
        </w:tc>
        <w:tc>
          <w:tcPr>
            <w:tcW w:w="7200" w:type="dxa"/>
            <w:vAlign w:val="bottom"/>
            <w:gridSpan w:val="2"/>
          </w:tcPr>
          <w:p>
            <w:pPr>
              <w:ind w:left="1660"/>
              <w:spacing w:after="0"/>
              <w:rPr>
                <w:sz w:val="20"/>
                <w:szCs w:val="20"/>
                <w:color w:val="auto"/>
              </w:rPr>
            </w:pPr>
            <w:r>
              <w:rPr>
                <w:rFonts w:ascii="Arial" w:cs="Arial" w:eastAsia="Arial" w:hAnsi="Arial"/>
                <w:sz w:val="14"/>
                <w:szCs w:val="14"/>
                <w:color w:val="auto"/>
              </w:rPr>
              <w:t>Page 13 of 19</w:t>
            </w:r>
          </w:p>
        </w:tc>
        <w:tc>
          <w:tcPr>
            <w:tcW w:w="560" w:type="dxa"/>
            <w:vAlign w:val="bottom"/>
          </w:tcPr>
          <w:p>
            <w:pPr>
              <w:spacing w:after="0"/>
              <w:rPr>
                <w:sz w:val="24"/>
                <w:szCs w:val="24"/>
                <w:color w:val="auto"/>
              </w:rPr>
            </w:pPr>
          </w:p>
        </w:tc>
      </w:tr>
      <w:tr>
        <w:trPr>
          <w:trHeight w:val="46"/>
        </w:trPr>
        <w:tc>
          <w:tcPr>
            <w:tcW w:w="36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correct.</w:t>
            </w:r>
          </w:p>
        </w:tc>
        <w:tc>
          <w:tcPr>
            <w:tcW w:w="24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45"/>
        </w:trPr>
        <w:tc>
          <w:tcPr>
            <w:tcW w:w="3660" w:type="dxa"/>
            <w:vAlign w:val="bottom"/>
          </w:tcPr>
          <w:p>
            <w:pPr>
              <w:spacing w:after="0"/>
              <w:rPr>
                <w:sz w:val="20"/>
                <w:szCs w:val="20"/>
                <w:color w:val="auto"/>
              </w:rPr>
            </w:pPr>
            <w:r>
              <w:rPr>
                <w:rFonts w:ascii="Arial" w:cs="Arial" w:eastAsia="Arial" w:hAnsi="Arial"/>
                <w:sz w:val="18"/>
                <w:szCs w:val="18"/>
                <w:color w:val="auto"/>
              </w:rPr>
              <w:t>Dated: September 20, 2017</w:t>
            </w:r>
          </w:p>
        </w:tc>
        <w:tc>
          <w:tcPr>
            <w:tcW w:w="7200" w:type="dxa"/>
            <w:vAlign w:val="bottom"/>
            <w:gridSpan w:val="2"/>
          </w:tcPr>
          <w:p>
            <w:pPr>
              <w:ind w:left="2060"/>
              <w:spacing w:after="0"/>
              <w:rPr>
                <w:sz w:val="20"/>
                <w:szCs w:val="20"/>
                <w:color w:val="auto"/>
              </w:rPr>
            </w:pPr>
            <w:r>
              <w:rPr>
                <w:rFonts w:ascii="Arial" w:cs="Arial" w:eastAsia="Arial" w:hAnsi="Arial"/>
                <w:sz w:val="18"/>
                <w:szCs w:val="18"/>
                <w:b w:val="1"/>
                <w:bCs w:val="1"/>
                <w:color w:val="auto"/>
              </w:rPr>
              <w:t>THOMAS H. LEE PARALLEL FUND VII, L.P.</w:t>
            </w:r>
          </w:p>
        </w:tc>
        <w:tc>
          <w:tcPr>
            <w:tcW w:w="560" w:type="dxa"/>
            <w:vAlign w:val="bottom"/>
          </w:tcPr>
          <w:p>
            <w:pPr>
              <w:spacing w:after="0"/>
              <w:rPr>
                <w:sz w:val="24"/>
                <w:szCs w:val="24"/>
                <w:color w:val="auto"/>
              </w:rPr>
            </w:pPr>
          </w:p>
        </w:tc>
      </w:tr>
      <w:tr>
        <w:trPr>
          <w:trHeight w:val="418"/>
        </w:trPr>
        <w:tc>
          <w:tcPr>
            <w:tcW w:w="3660" w:type="dxa"/>
            <w:vAlign w:val="bottom"/>
          </w:tcPr>
          <w:p>
            <w:pPr>
              <w:spacing w:after="0"/>
              <w:rPr>
                <w:sz w:val="24"/>
                <w:szCs w:val="24"/>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THL Equity Advisors VII, LLC,</w:t>
            </w:r>
          </w:p>
        </w:tc>
        <w:tc>
          <w:tcPr>
            <w:tcW w:w="56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7200" w:type="dxa"/>
            <w:vAlign w:val="bottom"/>
            <w:gridSpan w:val="2"/>
          </w:tcPr>
          <w:p>
            <w:pPr>
              <w:ind w:left="2400"/>
              <w:spacing w:after="0"/>
              <w:rPr>
                <w:sz w:val="20"/>
                <w:szCs w:val="20"/>
                <w:color w:val="auto"/>
              </w:rPr>
            </w:pPr>
            <w:r>
              <w:rPr>
                <w:rFonts w:ascii="Arial" w:cs="Arial" w:eastAsia="Arial" w:hAnsi="Arial"/>
                <w:sz w:val="18"/>
                <w:szCs w:val="18"/>
                <w:color w:val="auto"/>
              </w:rPr>
              <w:t>its general partner</w:t>
            </w:r>
          </w:p>
        </w:tc>
        <w:tc>
          <w:tcPr>
            <w:tcW w:w="5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Thomas H. Lee Partners, L.P., its sole member</w:t>
            </w:r>
          </w:p>
        </w:tc>
        <w:tc>
          <w:tcPr>
            <w:tcW w:w="56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Thomas H. Lee Advisors, LLC, its general partner</w:t>
            </w:r>
          </w:p>
        </w:tc>
        <w:tc>
          <w:tcPr>
            <w:tcW w:w="56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THL Holdco, LLC, its managing member</w:t>
            </w:r>
          </w:p>
        </w:tc>
        <w:tc>
          <w:tcPr>
            <w:tcW w:w="560" w:type="dxa"/>
            <w:vAlign w:val="bottom"/>
          </w:tcPr>
          <w:p>
            <w:pPr>
              <w:spacing w:after="0"/>
              <w:rPr>
                <w:sz w:val="20"/>
                <w:szCs w:val="20"/>
                <w:color w:val="auto"/>
              </w:rPr>
            </w:pPr>
          </w:p>
        </w:tc>
      </w:tr>
      <w:tr>
        <w:trPr>
          <w:trHeight w:val="480"/>
        </w:trPr>
        <w:tc>
          <w:tcPr>
            <w:tcW w:w="3660" w:type="dxa"/>
            <w:vAlign w:val="bottom"/>
          </w:tcPr>
          <w:p>
            <w:pPr>
              <w:spacing w:after="0"/>
              <w:rPr>
                <w:sz w:val="24"/>
                <w:szCs w:val="24"/>
                <w:color w:val="auto"/>
              </w:rPr>
            </w:pPr>
          </w:p>
        </w:tc>
        <w:tc>
          <w:tcPr>
            <w:tcW w:w="7200" w:type="dxa"/>
            <w:vAlign w:val="bottom"/>
            <w:gridSpan w:val="2"/>
          </w:tcPr>
          <w:p>
            <w:pPr>
              <w:ind w:left="2060"/>
              <w:spacing w:after="0"/>
              <w:rPr>
                <w:sz w:val="20"/>
                <w:szCs w:val="20"/>
                <w:color w:val="auto"/>
              </w:rPr>
            </w:pPr>
            <w:r>
              <w:rPr>
                <w:rFonts w:ascii="Arial" w:cs="Arial" w:eastAsia="Arial" w:hAnsi="Arial"/>
                <w:sz w:val="18"/>
                <w:szCs w:val="18"/>
                <w:color w:val="auto"/>
              </w:rPr>
              <w:t>By: /s/Charles P. Holden</w:t>
            </w:r>
          </w:p>
        </w:tc>
        <w:tc>
          <w:tcPr>
            <w:tcW w:w="560" w:type="dxa"/>
            <w:vAlign w:val="bottom"/>
          </w:tcPr>
          <w:p>
            <w:pPr>
              <w:spacing w:after="0"/>
              <w:rPr>
                <w:sz w:val="24"/>
                <w:szCs w:val="24"/>
                <w:color w:val="auto"/>
              </w:rPr>
            </w:pPr>
          </w:p>
        </w:tc>
      </w:tr>
      <w:tr>
        <w:trPr>
          <w:trHeight w:val="202"/>
        </w:trPr>
        <w:tc>
          <w:tcPr>
            <w:tcW w:w="36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Charles P. Holden</w:t>
            </w:r>
          </w:p>
        </w:tc>
        <w:tc>
          <w:tcPr>
            <w:tcW w:w="56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560" w:type="dxa"/>
            <w:vAlign w:val="bottom"/>
          </w:tcPr>
          <w:p>
            <w:pPr>
              <w:spacing w:after="0"/>
              <w:rPr>
                <w:sz w:val="20"/>
                <w:szCs w:val="20"/>
                <w:color w:val="auto"/>
              </w:rPr>
            </w:pPr>
          </w:p>
        </w:tc>
      </w:tr>
      <w:tr>
        <w:trPr>
          <w:trHeight w:val="582"/>
        </w:trPr>
        <w:tc>
          <w:tcPr>
            <w:tcW w:w="3660" w:type="dxa"/>
            <w:vAlign w:val="bottom"/>
          </w:tcPr>
          <w:p>
            <w:pPr>
              <w:spacing w:after="0"/>
              <w:rPr>
                <w:sz w:val="24"/>
                <w:szCs w:val="24"/>
                <w:color w:val="auto"/>
              </w:rPr>
            </w:pPr>
          </w:p>
        </w:tc>
        <w:tc>
          <w:tcPr>
            <w:tcW w:w="7200" w:type="dxa"/>
            <w:vAlign w:val="bottom"/>
            <w:gridSpan w:val="2"/>
          </w:tcPr>
          <w:p>
            <w:pPr>
              <w:ind w:left="1660"/>
              <w:spacing w:after="0"/>
              <w:rPr>
                <w:sz w:val="20"/>
                <w:szCs w:val="20"/>
                <w:color w:val="auto"/>
              </w:rPr>
            </w:pPr>
            <w:r>
              <w:rPr>
                <w:rFonts w:ascii="Arial" w:cs="Arial" w:eastAsia="Arial" w:hAnsi="Arial"/>
                <w:sz w:val="14"/>
                <w:szCs w:val="14"/>
                <w:color w:val="auto"/>
              </w:rPr>
              <w:t>Page 14 of 19</w:t>
            </w:r>
          </w:p>
        </w:tc>
        <w:tc>
          <w:tcPr>
            <w:tcW w:w="560" w:type="dxa"/>
            <w:vAlign w:val="bottom"/>
          </w:tcPr>
          <w:p>
            <w:pPr>
              <w:spacing w:after="0"/>
              <w:rPr>
                <w:sz w:val="24"/>
                <w:szCs w:val="24"/>
                <w:color w:val="auto"/>
              </w:rPr>
            </w:pPr>
          </w:p>
        </w:tc>
      </w:tr>
      <w:tr>
        <w:trPr>
          <w:trHeight w:val="46"/>
        </w:trPr>
        <w:tc>
          <w:tcPr>
            <w:tcW w:w="366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correct.</w:t>
            </w:r>
          </w:p>
        </w:tc>
        <w:tc>
          <w:tcPr>
            <w:tcW w:w="24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445"/>
        </w:trPr>
        <w:tc>
          <w:tcPr>
            <w:tcW w:w="3880" w:type="dxa"/>
            <w:vAlign w:val="bottom"/>
          </w:tcPr>
          <w:p>
            <w:pPr>
              <w:spacing w:after="0"/>
              <w:rPr>
                <w:sz w:val="20"/>
                <w:szCs w:val="20"/>
                <w:color w:val="auto"/>
              </w:rPr>
            </w:pPr>
            <w:r>
              <w:rPr>
                <w:rFonts w:ascii="Arial" w:cs="Arial" w:eastAsia="Arial" w:hAnsi="Arial"/>
                <w:sz w:val="18"/>
                <w:szCs w:val="18"/>
                <w:color w:val="auto"/>
              </w:rPr>
              <w:t>Dated: September 20, 2017</w:t>
            </w:r>
          </w:p>
        </w:tc>
        <w:tc>
          <w:tcPr>
            <w:tcW w:w="6980" w:type="dxa"/>
            <w:vAlign w:val="bottom"/>
            <w:gridSpan w:val="2"/>
          </w:tcPr>
          <w:p>
            <w:pPr>
              <w:ind w:left="1840"/>
              <w:spacing w:after="0"/>
              <w:rPr>
                <w:sz w:val="20"/>
                <w:szCs w:val="20"/>
                <w:color w:val="auto"/>
              </w:rPr>
            </w:pPr>
            <w:r>
              <w:rPr>
                <w:rFonts w:ascii="Arial" w:cs="Arial" w:eastAsia="Arial" w:hAnsi="Arial"/>
                <w:sz w:val="18"/>
                <w:szCs w:val="18"/>
                <w:b w:val="1"/>
                <w:bCs w:val="1"/>
                <w:color w:val="auto"/>
              </w:rPr>
              <w:t>THOMAS H. LEE PARALLEL (CAYMAN) FUND VII L.P.</w:t>
            </w:r>
          </w:p>
        </w:tc>
      </w:tr>
      <w:tr>
        <w:trPr>
          <w:trHeight w:val="418"/>
        </w:trPr>
        <w:tc>
          <w:tcPr>
            <w:tcW w:w="388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THL Equity Advisors VII, LLC, its general partner</w:t>
            </w:r>
          </w:p>
        </w:tc>
      </w:tr>
      <w:tr>
        <w:trPr>
          <w:trHeight w:val="216"/>
        </w:trPr>
        <w:tc>
          <w:tcPr>
            <w:tcW w:w="3880" w:type="dxa"/>
            <w:vAlign w:val="bottom"/>
          </w:tcPr>
          <w:p>
            <w:pPr>
              <w:spacing w:after="0"/>
              <w:rPr>
                <w:sz w:val="18"/>
                <w:szCs w:val="18"/>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Thomas H. Lee Partners, L.P., its sole member</w:t>
            </w:r>
          </w:p>
        </w:tc>
      </w:tr>
      <w:tr>
        <w:trPr>
          <w:trHeight w:val="216"/>
        </w:trPr>
        <w:tc>
          <w:tcPr>
            <w:tcW w:w="3880" w:type="dxa"/>
            <w:vAlign w:val="bottom"/>
          </w:tcPr>
          <w:p>
            <w:pPr>
              <w:spacing w:after="0"/>
              <w:rPr>
                <w:sz w:val="18"/>
                <w:szCs w:val="18"/>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Thomas H. Lee Advisors, LLC, its general partner</w:t>
            </w:r>
          </w:p>
        </w:tc>
      </w:tr>
      <w:tr>
        <w:trPr>
          <w:trHeight w:val="230"/>
        </w:trPr>
        <w:tc>
          <w:tcPr>
            <w:tcW w:w="388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THL Holdco, LLC, its managing member</w:t>
            </w:r>
          </w:p>
        </w:tc>
      </w:tr>
      <w:tr>
        <w:trPr>
          <w:trHeight w:val="480"/>
        </w:trPr>
        <w:tc>
          <w:tcPr>
            <w:tcW w:w="388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/s/Charles P. Holden</w:t>
            </w:r>
          </w:p>
        </w:tc>
      </w:tr>
      <w:tr>
        <w:trPr>
          <w:trHeight w:val="202"/>
        </w:trPr>
        <w:tc>
          <w:tcPr>
            <w:tcW w:w="3880" w:type="dxa"/>
            <w:vAlign w:val="bottom"/>
          </w:tcPr>
          <w:p>
            <w:pPr>
              <w:spacing w:after="0"/>
              <w:rPr>
                <w:sz w:val="17"/>
                <w:szCs w:val="17"/>
                <w:color w:val="auto"/>
              </w:rPr>
            </w:pPr>
          </w:p>
        </w:tc>
        <w:tc>
          <w:tcPr>
            <w:tcW w:w="2400" w:type="dxa"/>
            <w:vAlign w:val="bottom"/>
          </w:tcPr>
          <w:p>
            <w:pPr>
              <w:ind w:left="1840"/>
              <w:spacing w:after="0" w:line="201" w:lineRule="exact"/>
              <w:rPr>
                <w:sz w:val="20"/>
                <w:szCs w:val="20"/>
                <w:color w:val="auto"/>
              </w:rPr>
            </w:pPr>
            <w:r>
              <w:rPr>
                <w:rFonts w:ascii="Arial" w:cs="Arial" w:eastAsia="Arial" w:hAnsi="Arial"/>
                <w:sz w:val="18"/>
                <w:szCs w:val="18"/>
                <w:color w:val="auto"/>
              </w:rPr>
              <w:t>Name:</w:t>
            </w: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Charles P. Holden</w:t>
            </w:r>
          </w:p>
        </w:tc>
      </w:tr>
      <w:tr>
        <w:trPr>
          <w:trHeight w:val="230"/>
        </w:trPr>
        <w:tc>
          <w:tcPr>
            <w:tcW w:w="388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15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color w:val="auto"/>
              </w:rPr>
              <w:t>Dated: September 20, 2017</w:t>
            </w:r>
          </w:p>
        </w:tc>
        <w:tc>
          <w:tcPr>
            <w:tcW w:w="6980" w:type="dxa"/>
            <w:vAlign w:val="bottom"/>
            <w:gridSpan w:val="2"/>
          </w:tcPr>
          <w:p>
            <w:pPr>
              <w:ind w:left="1840"/>
              <w:spacing w:after="0"/>
              <w:rPr>
                <w:sz w:val="20"/>
                <w:szCs w:val="20"/>
                <w:color w:val="auto"/>
              </w:rPr>
            </w:pPr>
            <w:r>
              <w:rPr>
                <w:rFonts w:ascii="Arial" w:cs="Arial" w:eastAsia="Arial" w:hAnsi="Arial"/>
                <w:sz w:val="18"/>
                <w:szCs w:val="18"/>
                <w:b w:val="1"/>
                <w:bCs w:val="1"/>
                <w:color w:val="auto"/>
              </w:rPr>
              <w:t>THL EXECUTIVE FUND VII, L.P.</w:t>
            </w:r>
          </w:p>
        </w:tc>
      </w:tr>
      <w:tr>
        <w:trPr>
          <w:trHeight w:val="418"/>
        </w:trPr>
        <w:tc>
          <w:tcPr>
            <w:tcW w:w="388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THL Equity Advisors VII, LLC, its general partner</w:t>
            </w:r>
          </w:p>
        </w:tc>
      </w:tr>
      <w:tr>
        <w:trPr>
          <w:trHeight w:val="216"/>
        </w:trPr>
        <w:tc>
          <w:tcPr>
            <w:tcW w:w="3880" w:type="dxa"/>
            <w:vAlign w:val="bottom"/>
          </w:tcPr>
          <w:p>
            <w:pPr>
              <w:spacing w:after="0"/>
              <w:rPr>
                <w:sz w:val="18"/>
                <w:szCs w:val="18"/>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Thomas H. Lee Partners, L.P., its sole member</w:t>
            </w:r>
          </w:p>
        </w:tc>
      </w:tr>
      <w:tr>
        <w:trPr>
          <w:trHeight w:val="216"/>
        </w:trPr>
        <w:tc>
          <w:tcPr>
            <w:tcW w:w="3880" w:type="dxa"/>
            <w:vAlign w:val="bottom"/>
          </w:tcPr>
          <w:p>
            <w:pPr>
              <w:spacing w:after="0"/>
              <w:rPr>
                <w:sz w:val="18"/>
                <w:szCs w:val="18"/>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Thomas H. Lee Advisors, LLC, its general partner</w:t>
            </w:r>
          </w:p>
        </w:tc>
      </w:tr>
      <w:tr>
        <w:trPr>
          <w:trHeight w:val="230"/>
        </w:trPr>
        <w:tc>
          <w:tcPr>
            <w:tcW w:w="388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THL Holdco, LLC, its managing member</w:t>
            </w:r>
          </w:p>
        </w:tc>
      </w:tr>
      <w:tr>
        <w:trPr>
          <w:trHeight w:val="480"/>
        </w:trPr>
        <w:tc>
          <w:tcPr>
            <w:tcW w:w="388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/s/Charles P. Holden</w:t>
            </w:r>
          </w:p>
        </w:tc>
      </w:tr>
      <w:tr>
        <w:trPr>
          <w:trHeight w:val="202"/>
        </w:trPr>
        <w:tc>
          <w:tcPr>
            <w:tcW w:w="3880" w:type="dxa"/>
            <w:vAlign w:val="bottom"/>
          </w:tcPr>
          <w:p>
            <w:pPr>
              <w:spacing w:after="0"/>
              <w:rPr>
                <w:sz w:val="17"/>
                <w:szCs w:val="17"/>
                <w:color w:val="auto"/>
              </w:rPr>
            </w:pPr>
          </w:p>
        </w:tc>
        <w:tc>
          <w:tcPr>
            <w:tcW w:w="2400" w:type="dxa"/>
            <w:vAlign w:val="bottom"/>
          </w:tcPr>
          <w:p>
            <w:pPr>
              <w:ind w:left="1840"/>
              <w:spacing w:after="0" w:line="201" w:lineRule="exact"/>
              <w:rPr>
                <w:sz w:val="20"/>
                <w:szCs w:val="20"/>
                <w:color w:val="auto"/>
              </w:rPr>
            </w:pPr>
            <w:r>
              <w:rPr>
                <w:rFonts w:ascii="Arial" w:cs="Arial" w:eastAsia="Arial" w:hAnsi="Arial"/>
                <w:sz w:val="18"/>
                <w:szCs w:val="18"/>
                <w:color w:val="auto"/>
              </w:rPr>
              <w:t>Name:</w:t>
            </w: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Charles P. Holden</w:t>
            </w:r>
          </w:p>
        </w:tc>
      </w:tr>
      <w:tr>
        <w:trPr>
          <w:trHeight w:val="230"/>
        </w:trPr>
        <w:tc>
          <w:tcPr>
            <w:tcW w:w="3880" w:type="dxa"/>
            <w:vAlign w:val="bottom"/>
          </w:tcPr>
          <w:p>
            <w:pPr>
              <w:spacing w:after="0"/>
              <w:rPr>
                <w:sz w:val="20"/>
                <w:szCs w:val="20"/>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Title:</w:t>
            </w:r>
          </w:p>
        </w:tc>
        <w:tc>
          <w:tcPr>
            <w:tcW w:w="45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16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September 20, 2017</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THL FUND VII COINVESTMENT PARTNERS, L.P.</w:t>
      </w:r>
    </w:p>
    <w:p>
      <w:pPr>
        <w:spacing w:after="0" w:line="200" w:lineRule="exact"/>
        <w:rPr>
          <w:sz w:val="20"/>
          <w:szCs w:val="20"/>
          <w:color w:val="auto"/>
        </w:rPr>
      </w:pPr>
    </w:p>
    <w:p>
      <w:pPr>
        <w:sectPr>
          <w:pgSz w:w="11900" w:h="16838" w:orient="portrait"/>
          <w:cols w:equalWidth="0" w:num="3">
            <w:col w:w="480" w:space="100"/>
            <w:col w:w="4420" w:space="720"/>
            <w:col w:w="5700"/>
          </w:cols>
          <w:pgMar w:left="240" w:top="121" w:right="239" w:bottom="1440" w:gutter="0" w:footer="0" w:header="0"/>
          <w:type w:val="continuous"/>
        </w:sectPr>
      </w:pPr>
    </w:p>
    <w:p>
      <w:pPr>
        <w:spacing w:after="0" w:line="2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Thomas H. Lee Partners, L.P., its general partner</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Thomas H. Lee Advisors, LLC, its general partner</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THL Holdco, LLC, its managing member</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0359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935"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p>
      <w:pPr>
        <w:spacing w:after="0" w:line="50"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Charles P. Holden</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Title:  Managing Director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Page 17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ind w:right="-39"/>
        <w:spacing w:after="0"/>
        <w:rPr>
          <w:sz w:val="20"/>
          <w:szCs w:val="20"/>
          <w:color w:val="auto"/>
        </w:rPr>
      </w:pPr>
      <w:r>
        <w:rPr>
          <w:rFonts w:ascii="Arial" w:cs="Arial" w:eastAsia="Arial" w:hAnsi="Arial"/>
          <w:sz w:val="18"/>
          <w:szCs w:val="18"/>
          <w:u w:val="single" w:color="auto"/>
          <w:color w:val="auto"/>
        </w:rPr>
        <w:t>Exhibit A</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 REGARDING THE JOINT FILING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211455</wp:posOffset>
            </wp:positionV>
            <wp:extent cx="866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52" w:lineRule="exact"/>
        <w:rPr>
          <w:sz w:val="20"/>
          <w:szCs w:val="20"/>
          <w:color w:val="auto"/>
        </w:rPr>
      </w:pPr>
    </w:p>
    <w:p>
      <w:pPr>
        <w:ind w:right="80" w:firstLine="656"/>
        <w:spacing w:after="0" w:line="277" w:lineRule="auto"/>
        <w:tabs>
          <w:tab w:leader="none" w:pos="908"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197" w:lineRule="exact"/>
        <w:rPr>
          <w:rFonts w:ascii="Arial" w:cs="Arial" w:eastAsia="Arial" w:hAnsi="Arial"/>
          <w:sz w:val="18"/>
          <w:szCs w:val="18"/>
          <w:color w:val="auto"/>
        </w:rPr>
      </w:pPr>
    </w:p>
    <w:p>
      <w:pPr>
        <w:ind w:firstLine="656"/>
        <w:spacing w:after="0" w:line="286" w:lineRule="auto"/>
        <w:tabs>
          <w:tab w:leader="none" w:pos="958"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20,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THOMAS H. LEE ADVISORS, LLC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THL Holdco, LLC, its managing member</w:t>
      </w:r>
    </w:p>
    <w:p>
      <w:pPr>
        <w:spacing w:after="0" w:line="25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/s/Charles P. Holden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28987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THOMAS H. LEE EQUITY FUND VII,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THL Equity Advisors VII, LLC, its general partner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H. Lee Partners, L.P., its sole member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H. Lee Advisors, LLC, its general partner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THL Holdco, LLC, its managing member</w:t>
      </w:r>
    </w:p>
    <w:p>
      <w:pPr>
        <w:spacing w:after="0" w:line="23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/s/Charles P. Holden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28987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THOMAS H. LEE PARALLEL FUND VII,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THL Equity Advisors VII, LLC, its general partner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H. Lee Partners, L.P., its sole member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H. Lee Advisors, LLC, its general partner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THL Holdco, LLC, its managing member</w:t>
      </w:r>
    </w:p>
    <w:p>
      <w:pPr>
        <w:spacing w:after="0" w:line="23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/s/Charles P. Holden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28987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THOMAS H. LEE PARALLEL (CAYMAN) FUND VII,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THL Equity Advisors VI, LLC, its general partner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H. Lee Partners, L.P., its sole member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Thomas H. Lee Advisors, LLC, its general partner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THL Holdco, LLC, its managing member</w:t>
      </w:r>
    </w:p>
    <w:p>
      <w:pPr>
        <w:spacing w:after="0" w:line="238"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/s/Charles P. Holden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Page 18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THL EXECUTIVE FUND VII,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THL Equity Advisors VI, LLC, its general partner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Thomas H. Lee Partners, L.P., its sole member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Thomas H. Lee Advisors, LLC, its general partner</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THL Holdco, LLC, its managing member</w:t>
      </w:r>
    </w:p>
    <w:p>
      <w:pPr>
        <w:spacing w:after="0" w:line="23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/s/Charles P. Holden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-130175</wp:posOffset>
            </wp:positionV>
            <wp:extent cx="28987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THL FUND VII COINVESTMENT PARTNERS,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Thomas H. Lee Partners, L.P., its general partner</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Thomas H. Lee Advisors, LLC, its general partner</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THL Holdco, LLC, its managing member</w:t>
      </w:r>
    </w:p>
    <w:p>
      <w:pPr>
        <w:spacing w:after="0" w:line="23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/s/Charles P. Holden</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Charles P.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-130175</wp:posOffset>
            </wp:positionV>
            <wp:extent cx="28987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Page 19 of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86995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2019-12-17T06:51:37Z</dcterms:created>
  <dcterms:modified xsi:type="dcterms:W3CDTF">2019-12-17T06:51:37Z</dcterms:modified>
</cp:coreProperties>
</file>