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JACOBSEN RENE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ABM INDUSTRIES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ABM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5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138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80" w:type="dxa"/>
            <w:vAlign w:val="bottom"/>
          </w:tcPr>
          <w:p>
            <w:pPr>
              <w:ind w:left="12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03/25/2024</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EVP &amp; 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03/25/2024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5,563</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43.5851</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111,677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of shares reported on this Form 4 was effected pursuant to a Rule 10b5-1 trading plan entered into by the reporting person on July 14, 2023.</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$43.45 to $43.89, inclusive. The reporting person undertakes to provide ABM Industries Incorporated, any security holder of ABM Industries Incorporated, or the staff of the Securities and Exchange Commission, upon request, full information regarding the number of shares sold at each separate price within the ranges set forth in footnote 2 of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03/26/2024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69091"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2024-03-26T17:04:39Z</dcterms:created>
  <dcterms:modified xsi:type="dcterms:W3CDTF">2024-03-26T17:04:39Z</dcterms:modified>
</cp:coreProperties>
</file>