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BANE DANIEL T</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551 FIFTH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03/02/2010</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03/02/2010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0000FF"/>
                <w:w w:val="79"/>
              </w:rPr>
              <w:t>4,060</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10,406</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8"/>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gridSpan w:val="4"/>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Annual grant of restricted stock units (RSUs) to non-employee directors granted under the 2006 Equity Incentive Plan, representing a contingent right to receive shares of common stock. RSUs vest one-third on the date of the first Annual Meeting following grant date, and one-third each on the date of the subsequent second and third Annual Meetings following the grant date. Dividend equivalent rights will accrue.</w:t>
      </w: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7,818 RSUs and 945 vested RSUs, the receipt of which has been deferred, and DERs relating to the unvested and vested RSUs, adjusted to reflect the cumulative effect of fractional shares.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03/04/2010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41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2019-12-17T04:33:33Z</dcterms:created>
  <dcterms:modified xsi:type="dcterms:W3CDTF">2019-12-17T04:33:33Z</dcterms:modified>
</cp:coreProperties>
</file>