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Ruiz Melanie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Information Office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6,247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20,526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2,426</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22,071</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Issuer common stock acquired pursuant to vesting of performance shares that were granted to the reporting person in January 2023 and have vested based upon the satisfaction of performance criteria specified for the award at the time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acquired pursuant to dividend reinvestment in transactions exempt from Section 16 pursuant to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1193" TargetMode="External"/><Relationship Id="rId5" Type="http://schemas.openxmlformats.org/officeDocument/2006/relationships/hyperlink" Target="http://www.sec.gov/cgi-bin/browse-edgar?action=getcompany&amp;CIK=0000771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3801</Characters>
  <CharactersWithSpaces>4428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