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10 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060" w:hanging="420"/>
        <w:spacing w:after="0"/>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w:t>
      </w:r>
    </w:p>
    <w:p>
      <w:pPr>
        <w:sectPr>
          <w:pgSz w:w="11900" w:h="16838" w:orient="portrait"/>
          <w:cols w:equalWidth="0" w:num="1">
            <w:col w:w="10219"/>
          </w:cols>
          <w:pgMar w:left="240" w:top="649" w:right="1440" w:bottom="1440" w:gutter="0" w:footer="0" w:header="0"/>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EXCHANGE ACT OF 1934</w:t>
      </w:r>
    </w:p>
    <w:p>
      <w:pPr>
        <w:spacing w:after="0" w:line="200" w:lineRule="exact"/>
        <w:rPr>
          <w:sz w:val="24"/>
          <w:szCs w:val="24"/>
          <w:color w:val="auto"/>
        </w:rPr>
      </w:pPr>
    </w:p>
    <w:p>
      <w:pPr>
        <w:sectPr>
          <w:pgSz w:w="11900" w:h="16838" w:orient="portrait"/>
          <w:cols w:equalWidth="0" w:num="2">
            <w:col w:w="2560" w:space="720"/>
            <w:col w:w="6939"/>
          </w:cols>
          <w:pgMar w:left="240" w:top="649" w:right="1440" w:bottom="1440" w:gutter="0" w:footer="0" w:header="0"/>
          <w:type w:val="continuous"/>
        </w:sectPr>
      </w:pPr>
    </w:p>
    <w:p>
      <w:pPr>
        <w:spacing w:after="0" w:line="2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JANUARY 31, 1998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ectPr>
          <w:pgSz w:w="11900" w:h="16838" w:orient="portrait"/>
          <w:cols w:equalWidth="0" w:num="2">
            <w:col w:w="5280" w:space="520"/>
            <w:col w:w="4419"/>
          </w:cols>
          <w:pgMar w:left="240" w:top="649" w:right="1440" w:bottom="1440" w:gutter="0" w:footer="0" w:header="0"/>
          <w:type w:val="continuous"/>
        </w:sectPr>
      </w:pPr>
    </w:p>
    <w:p>
      <w:pPr>
        <w:jc w:val="center"/>
        <w:ind w:right="1359"/>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099" w:firstLine="527"/>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 EXCHANGE ACT OF 1934</w:t>
      </w:r>
    </w:p>
    <w:p>
      <w:pPr>
        <w:sectPr>
          <w:pgSz w:w="11900" w:h="16838" w:orient="portrait"/>
          <w:cols w:equalWidth="0" w:num="1">
            <w:col w:w="10219"/>
          </w:cols>
          <w:pgMar w:left="240" w:top="649" w:right="1440" w:bottom="1440" w:gutter="0" w:footer="0" w:header="0"/>
          <w:type w:val="continuous"/>
        </w:sectPr>
      </w:pPr>
    </w:p>
    <w:p>
      <w:pPr>
        <w:spacing w:after="0" w:line="208"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5820" w:space="720"/>
            <w:col w:w="3679"/>
          </w:cols>
          <w:pgMar w:left="240" w:top="64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6440" w:space="420"/>
            <w:col w:w="3359"/>
          </w:cols>
          <w:pgMar w:left="240" w:top="649" w:right="1440" w:bottom="1440" w:gutter="0" w:footer="0" w:header="0"/>
          <w:type w:val="continuous"/>
        </w:sectPr>
      </w:pPr>
    </w:p>
    <w:p>
      <w:pPr>
        <w:spacing w:after="0" w:line="2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1-8929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480" w:space="420"/>
            <w:col w:w="4319"/>
          </w:cols>
          <w:pgMar w:left="240" w:top="649" w:right="1440" w:bottom="1440" w:gutter="0" w:footer="0" w:header="0"/>
          <w:type w:val="continuous"/>
        </w:sectPr>
      </w:pPr>
    </w:p>
    <w:p>
      <w:pPr>
        <w:spacing w:after="0" w:line="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1280" w:type="dxa"/>
        <w:tblCellMar>
          <w:top w:w="0" w:type="dxa"/>
          <w:left w:w="0" w:type="dxa"/>
          <w:bottom w:w="0" w:type="dxa"/>
          <w:right w:w="0" w:type="dxa"/>
        </w:tblCellMar>
      </w:tblPr>
      <w:tr>
        <w:trPr>
          <w:trHeight w:val="204"/>
        </w:trPr>
        <w:tc>
          <w:tcPr>
            <w:tcW w:w="32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94-1369354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120" w:right="1779" w:hanging="104"/>
        <w:spacing w:after="0"/>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(IRS Employer incorporation or organization) Identification No.)</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50 FREMONT STREET, 26TH FLOOR, SAN FRANCISCO, CALIFORNIA 94105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principal executive offices)</w:t>
            </w:r>
          </w:p>
        </w:tc>
        <w:tc>
          <w:tcPr>
            <w:tcW w:w="740" w:type="dxa"/>
            <w:vAlign w:val="bottom"/>
          </w:tcPr>
          <w:p>
            <w:pPr>
              <w:spacing w:after="0"/>
              <w:rPr>
                <w:sz w:val="17"/>
                <w:szCs w:val="17"/>
                <w:color w:val="auto"/>
              </w:rPr>
            </w:pPr>
          </w:p>
        </w:tc>
        <w:tc>
          <w:tcPr>
            <w:tcW w:w="2900" w:type="dxa"/>
            <w:vAlign w:val="bottom"/>
          </w:tcPr>
          <w:p>
            <w:pPr>
              <w:ind w:left="1320"/>
              <w:spacing w:after="0"/>
              <w:rPr>
                <w:sz w:val="20"/>
                <w:szCs w:val="20"/>
                <w:color w:val="auto"/>
              </w:rPr>
            </w:pPr>
            <w:r>
              <w:rPr>
                <w:rFonts w:ascii="Courier New" w:cs="Courier New" w:eastAsia="Courier New" w:hAnsi="Courier New"/>
                <w:sz w:val="18"/>
                <w:szCs w:val="18"/>
                <w:color w:val="auto"/>
              </w:rPr>
              <w:t>(Zip Code)</w:t>
            </w:r>
          </w:p>
        </w:tc>
      </w:tr>
      <w:tr>
        <w:trPr>
          <w:trHeight w:val="405"/>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w w:val="98"/>
              </w:rPr>
              <w:t>Registrant's telephone number,</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including area</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code:</w:t>
            </w:r>
          </w:p>
        </w:tc>
        <w:tc>
          <w:tcPr>
            <w:tcW w:w="29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(415) 597-4500</w:t>
            </w:r>
          </w:p>
        </w:tc>
      </w:tr>
      <w:tr>
        <w:trPr>
          <w:trHeight w:val="203"/>
        </w:trPr>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Indicate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by</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w w:val="98"/>
              </w:rPr>
              <w:t>check mark whether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registrant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(1)has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filed all reports required</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by Section 13 or 15(d)</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of the Securities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Exchange Act of 1934 during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preceding 12 months (or such shorter period that the registrant was required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file such reports), and (2)has been subject to such filing requirements for</w:t>
      </w:r>
    </w:p>
    <w:p>
      <w:pPr>
        <w:spacing w:after="0"/>
        <w:tabs>
          <w:tab w:leader="none" w:pos="1980" w:val="left"/>
          <w:tab w:leader="none" w:pos="2520" w:val="left"/>
          <w:tab w:leader="none" w:pos="2940" w:val="left"/>
        </w:tabs>
        <w:rPr>
          <w:sz w:val="20"/>
          <w:szCs w:val="20"/>
          <w:color w:val="auto"/>
        </w:rPr>
      </w:pPr>
      <w:r>
        <w:rPr>
          <w:rFonts w:ascii="Courier New" w:cs="Courier New" w:eastAsia="Courier New" w:hAnsi="Courier New"/>
          <w:sz w:val="18"/>
          <w:szCs w:val="18"/>
          <w:color w:val="auto"/>
        </w:rPr>
        <w:t>the past 90 days.</w:t>
        <w:tab/>
        <w:t>Yes</w:t>
        <w:tab/>
        <w:t>X</w:t>
      </w:r>
      <w:r>
        <w:rPr>
          <w:sz w:val="20"/>
          <w:szCs w:val="20"/>
          <w:color w:val="auto"/>
        </w:rPr>
        <w:tab/>
      </w:r>
      <w:r>
        <w:rPr>
          <w:rFonts w:ascii="Courier New" w:cs="Courier New" w:eastAsia="Courier New" w:hAnsi="Courier New"/>
          <w:sz w:val="16"/>
          <w:szCs w:val="16"/>
          <w:color w:val="auto"/>
        </w:rPr>
        <w:t>No</w:t>
      </w:r>
    </w:p>
    <w:p>
      <w:pPr>
        <w:ind w:left="2440"/>
        <w:spacing w:after="0"/>
        <w:tabs>
          <w:tab w:leader="none" w:pos="3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4"/>
          <w:szCs w:val="24"/>
          <w:color w:val="auto"/>
        </w:rPr>
      </w:pPr>
    </w:p>
    <w:p>
      <w:pPr>
        <w:ind w:right="4939"/>
        <w:spacing w:after="0" w:line="235" w:lineRule="auto"/>
        <w:rPr>
          <w:sz w:val="20"/>
          <w:szCs w:val="20"/>
          <w:color w:val="auto"/>
        </w:rPr>
      </w:pPr>
      <w:r>
        <w:rPr>
          <w:rFonts w:ascii="Courier New" w:cs="Courier New" w:eastAsia="Courier New" w:hAnsi="Courier New"/>
          <w:sz w:val="18"/>
          <w:szCs w:val="18"/>
          <w:color w:val="auto"/>
        </w:rPr>
        <w:t>Number of shares of Common Stock outstanding as of January 31, 1998: 20,783,373</w:t>
      </w:r>
    </w:p>
    <w:p>
      <w:pPr>
        <w:sectPr>
          <w:pgSz w:w="11900" w:h="16838" w:orient="portrait"/>
          <w:cols w:equalWidth="0" w:num="1">
            <w:col w:w="10219"/>
          </w:cols>
          <w:pgMar w:left="240" w:top="649" w:right="1440" w:bottom="1440" w:gutter="0" w:footer="0" w:header="0"/>
          <w:type w:val="continuous"/>
        </w:sectPr>
      </w:pPr>
    </w:p>
    <w:bookmarkStart w:id="1" w:name="page2"/>
    <w:bookmarkEnd w:id="1"/>
    <w:p>
      <w:pPr>
        <w:jc w:val="center"/>
        <w:ind w:right="1459"/>
        <w:spacing w:after="0"/>
        <w:rPr>
          <w:sz w:val="20"/>
          <w:szCs w:val="20"/>
          <w:color w:val="auto"/>
        </w:rPr>
      </w:pPr>
      <w:r>
        <w:rPr>
          <w:rFonts w:ascii="Courier New" w:cs="Courier New" w:eastAsia="Courier New" w:hAnsi="Courier New"/>
          <w:sz w:val="18"/>
          <w:szCs w:val="18"/>
          <w:color w:val="auto"/>
        </w:rPr>
        <w:t>ABM INDUSTRIES INCORPORATED</w:t>
      </w:r>
    </w:p>
    <w:p>
      <w:pPr>
        <w:jc w:val="center"/>
        <w:ind w:right="1459"/>
        <w:spacing w:after="0" w:line="238" w:lineRule="auto"/>
        <w:rPr>
          <w:sz w:val="20"/>
          <w:szCs w:val="20"/>
          <w:color w:val="auto"/>
        </w:rPr>
      </w:pPr>
      <w:r>
        <w:rPr>
          <w:rFonts w:ascii="Courier New" w:cs="Courier New" w:eastAsia="Courier New" w:hAnsi="Courier New"/>
          <w:sz w:val="18"/>
          <w:szCs w:val="18"/>
          <w:color w:val="auto"/>
        </w:rPr>
        <w:t>FORM 10-Q</w:t>
      </w:r>
    </w:p>
    <w:p>
      <w:pPr>
        <w:spacing w:after="0" w:line="5"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6"/>
          <w:szCs w:val="16"/>
          <w:color w:val="auto"/>
        </w:rPr>
        <w:t>FOR THE THREE MONTHS ENDED JANUARY 31, 1998</w:t>
      </w:r>
    </w:p>
    <w:p>
      <w:pPr>
        <w:spacing w:after="0" w:line="16"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TABLE OF CONTENTS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ectPr>
          <w:pgSz w:w="11900" w:h="16838" w:orient="portrait"/>
          <w:cols w:equalWidth="0" w:num="2">
            <w:col w:w="7180" w:space="720"/>
            <w:col w:w="2319"/>
          </w:cols>
          <w:pgMar w:left="240" w:top="717" w:right="1440" w:bottom="1440" w:gutter="0" w:footer="0" w:header="0"/>
          <w:type w:val="continuous"/>
        </w:sectPr>
      </w:pPr>
    </w:p>
    <w:p>
      <w:pPr>
        <w:spacing w:after="0" w:line="7" w:lineRule="exact"/>
        <w:rPr>
          <w:sz w:val="20"/>
          <w:szCs w:val="20"/>
          <w:color w:val="auto"/>
        </w:rPr>
      </w:pPr>
    </w:p>
    <w:p>
      <w:pPr>
        <w:spacing w:after="0" w:line="558" w:lineRule="auto"/>
        <w:rPr>
          <w:sz w:val="20"/>
          <w:szCs w:val="20"/>
          <w:color w:val="auto"/>
        </w:rPr>
      </w:pPr>
      <w:r>
        <w:rPr>
          <w:rFonts w:ascii="Courier New" w:cs="Courier New" w:eastAsia="Courier New" w:hAnsi="Courier New"/>
          <w:sz w:val="16"/>
          <w:szCs w:val="16"/>
          <w:color w:val="auto"/>
        </w:rPr>
        <w:t>Item 1 Item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Consolidated Financial Statements. . . . . . . . . . . . . . . . . 2</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Notes to the Consolidated Financial Statements. . . . . . . . . . 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Condition and Results of Operations . . . . . . . . . . . . . . . 8</w:t>
      </w:r>
    </w:p>
    <w:p>
      <w:pPr>
        <w:spacing w:after="0" w:line="223" w:lineRule="exact"/>
        <w:rPr>
          <w:sz w:val="20"/>
          <w:szCs w:val="20"/>
          <w:color w:val="auto"/>
        </w:rPr>
      </w:pPr>
    </w:p>
    <w:p>
      <w:pPr>
        <w:sectPr>
          <w:pgSz w:w="11900" w:h="16838" w:orient="portrait"/>
          <w:cols w:equalWidth="0" w:num="2">
            <w:col w:w="640" w:space="420"/>
            <w:col w:w="9159"/>
          </w:cols>
          <w:pgMar w:left="240" w:top="717" w:right="1440" w:bottom="1440" w:gutter="0" w:footer="0" w:header="0"/>
          <w:type w:val="continuous"/>
        </w:sectPr>
      </w:pPr>
    </w:p>
    <w:p>
      <w:pPr>
        <w:spacing w:after="0" w:line="558" w:lineRule="auto"/>
        <w:rPr>
          <w:sz w:val="20"/>
          <w:szCs w:val="20"/>
          <w:color w:val="auto"/>
        </w:rPr>
      </w:pPr>
      <w:r>
        <w:rPr>
          <w:rFonts w:ascii="Courier New" w:cs="Courier New" w:eastAsia="Courier New" w:hAnsi="Courier New"/>
          <w:sz w:val="16"/>
          <w:szCs w:val="16"/>
          <w:color w:val="auto"/>
        </w:rPr>
        <w:t>PART II Item 6</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and Reports on Form 8-K . . . . . . . . . . . . . . . . .14</w:t>
      </w:r>
    </w:p>
    <w:p>
      <w:pPr>
        <w:spacing w:after="0" w:line="456" w:lineRule="exact"/>
        <w:rPr>
          <w:sz w:val="20"/>
          <w:szCs w:val="20"/>
          <w:color w:val="auto"/>
        </w:rPr>
      </w:pPr>
    </w:p>
    <w:p>
      <w:pPr>
        <w:sectPr>
          <w:pgSz w:w="11900" w:h="16838" w:orient="portrait"/>
          <w:cols w:equalWidth="0" w:num="2">
            <w:col w:w="740" w:space="320"/>
            <w:col w:w="9159"/>
          </w:cols>
          <w:pgMar w:left="240" w:top="717" w:right="1440" w:bottom="1440" w:gutter="0" w:footer="0" w:header="0"/>
          <w:type w:val="continuous"/>
        </w:sectPr>
      </w:pPr>
    </w:p>
    <w:p>
      <w:pPr>
        <w:spacing w:after="0" w:line="173"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717" w:right="1440" w:bottom="1440" w:gutter="0" w:footer="0" w:header="0"/>
          <w:type w:val="continuous"/>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PART 1.</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Consolidated Financial Statements</w:t>
      </w:r>
    </w:p>
    <w:p>
      <w:pPr>
        <w:spacing w:after="0" w:line="20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ABM INDUSTRIES INCORPORATED AND SUBSIDIARIES</w:t>
      </w:r>
    </w:p>
    <w:p>
      <w:pPr>
        <w:jc w:val="center"/>
        <w:ind w:right="145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459"/>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OCTOBER</w:t>
            </w: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JANUARY 31,</w:t>
            </w:r>
          </w:p>
        </w:tc>
      </w:tr>
      <w:tr>
        <w:trPr>
          <w:trHeight w:val="203"/>
        </w:trPr>
        <w:tc>
          <w:tcPr>
            <w:tcW w:w="3000" w:type="dxa"/>
            <w:vAlign w:val="bottom"/>
          </w:tcPr>
          <w:p>
            <w:pPr>
              <w:spacing w:after="0"/>
              <w:rPr>
                <w:sz w:val="17"/>
                <w:szCs w:val="17"/>
                <w:color w:val="auto"/>
              </w:rPr>
            </w:pP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5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(Unaudited)</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1,783</w:t>
            </w:r>
          </w:p>
        </w:tc>
        <w:tc>
          <w:tcPr>
            <w:tcW w:w="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1,756</w:t>
            </w:r>
          </w:p>
        </w:tc>
      </w:tr>
      <w:tr>
        <w:trPr>
          <w:trHeight w:val="203"/>
        </w:trPr>
        <w:tc>
          <w:tcPr>
            <w:tcW w:w="4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5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234,464</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248,071</w:t>
            </w:r>
          </w:p>
        </w:tc>
      </w:tr>
      <w:tr>
        <w:trPr>
          <w:trHeight w:val="203"/>
        </w:trPr>
        <w:tc>
          <w:tcPr>
            <w:tcW w:w="4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Inventories</w:t>
            </w:r>
          </w:p>
        </w:tc>
        <w:tc>
          <w:tcPr>
            <w:tcW w:w="5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21,197</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21,572</w:t>
            </w:r>
          </w:p>
        </w:tc>
      </w:tr>
      <w:tr>
        <w:trPr>
          <w:trHeight w:val="203"/>
        </w:trPr>
        <w:tc>
          <w:tcPr>
            <w:tcW w:w="4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10,968</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9,249</w:t>
            </w:r>
          </w:p>
        </w:tc>
      </w:tr>
      <w:tr>
        <w:trPr>
          <w:trHeight w:val="203"/>
        </w:trPr>
        <w:tc>
          <w:tcPr>
            <w:tcW w:w="4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5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26,005</w:t>
            </w:r>
          </w:p>
        </w:tc>
        <w:tc>
          <w:tcPr>
            <w:tcW w:w="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Total current assets</w:t>
            </w:r>
          </w:p>
        </w:tc>
        <w:tc>
          <w:tcPr>
            <w:tcW w:w="2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294,417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307,995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INVESTMENTS AND LONG-TERM RECEIVABLES</w:t>
            </w:r>
          </w:p>
        </w:tc>
        <w:tc>
          <w:tcPr>
            <w:tcW w:w="18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12,900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13,485</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4,684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4,808</w:t>
            </w:r>
          </w:p>
        </w:tc>
      </w:tr>
      <w:tr>
        <w:trPr>
          <w:trHeight w:val="203"/>
        </w:trPr>
        <w:tc>
          <w:tcPr>
            <w:tcW w:w="4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11,211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11,459</w:t>
            </w:r>
          </w:p>
        </w:tc>
      </w:tr>
      <w:tr>
        <w:trPr>
          <w:trHeight w:val="203"/>
        </w:trPr>
        <w:tc>
          <w:tcPr>
            <w:tcW w:w="4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Machinery and other equipment</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46,147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47,610</w:t>
            </w:r>
          </w:p>
        </w:tc>
      </w:tr>
      <w:tr>
        <w:trPr>
          <w:trHeight w:val="203"/>
        </w:trPr>
        <w:tc>
          <w:tcPr>
            <w:tcW w:w="4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10,476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10,778</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72,518</w:t>
      </w:r>
      <w:r>
        <w:rPr>
          <w:rFonts w:ascii="Courier New" w:cs="Courier New" w:eastAsia="Courier New" w:hAnsi="Courier New"/>
          <w:sz w:val="16"/>
          <w:szCs w:val="16"/>
          <w:color w:val="auto"/>
        </w:rPr>
        <w:t>74,655</w:t>
      </w:r>
    </w:p>
    <w:tbl>
      <w:tblPr>
        <w:tblLayout w:type="fixed"/>
        <w:tblInd w:w="120" w:type="dxa"/>
        <w:tblCellMar>
          <w:top w:w="0" w:type="dxa"/>
          <w:left w:w="0" w:type="dxa"/>
          <w:bottom w:w="0" w:type="dxa"/>
          <w:right w:w="0" w:type="dxa"/>
        </w:tblCellMar>
      </w:tblPr>
      <w:tr>
        <w:trPr>
          <w:trHeight w:val="203"/>
        </w:trPr>
        <w:tc>
          <w:tcPr>
            <w:tcW w:w="5260" w:type="dxa"/>
            <w:vAlign w:val="bottom"/>
          </w:tcPr>
          <w:p>
            <w:pPr>
              <w:spacing w:after="0"/>
              <w:rPr>
                <w:sz w:val="20"/>
                <w:szCs w:val="20"/>
                <w:color w:val="auto"/>
              </w:rPr>
            </w:pPr>
            <w:r>
              <w:rPr>
                <w:rFonts w:ascii="Courier New" w:cs="Courier New" w:eastAsia="Courier New" w:hAnsi="Courier New"/>
                <w:sz w:val="18"/>
                <w:szCs w:val="18"/>
                <w:color w:val="auto"/>
              </w:rPr>
              <w:t>Less accumulated depreciation and amortization</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45,934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48,282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6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21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26,584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26,373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 NET</w:t>
            </w:r>
          </w:p>
        </w:tc>
        <w:tc>
          <w:tcPr>
            <w:tcW w:w="2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100,313</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99,198</w:t>
            </w:r>
          </w:p>
        </w:tc>
      </w:tr>
      <w:tr>
        <w:trPr>
          <w:trHeight w:val="203"/>
        </w:trPr>
        <w:tc>
          <w:tcPr>
            <w:tcW w:w="1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25,426</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27,991</w:t>
            </w:r>
          </w:p>
        </w:tc>
      </w:tr>
      <w:tr>
        <w:trPr>
          <w:trHeight w:val="203"/>
        </w:trPr>
        <w:tc>
          <w:tcPr>
            <w:tcW w:w="120" w:type="dxa"/>
            <w:vAlign w:val="bottom"/>
          </w:tcPr>
          <w:p>
            <w:pPr>
              <w:spacing w:after="0"/>
              <w:rPr>
                <w:sz w:val="17"/>
                <w:szCs w:val="17"/>
                <w:color w:val="auto"/>
              </w:rPr>
            </w:pP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7,512</w:t>
            </w: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6,513</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1" w:lineRule="exact"/>
        <w:rPr>
          <w:sz w:val="20"/>
          <w:szCs w:val="20"/>
          <w:color w:val="auto"/>
        </w:rPr>
      </w:pPr>
    </w:p>
    <w:p>
      <w:pPr>
        <w:ind w:left="5380"/>
        <w:spacing w:after="0"/>
        <w:tabs>
          <w:tab w:leader="none" w:pos="5680" w:val="left"/>
          <w:tab w:leader="none" w:pos="6940" w:val="left"/>
          <w:tab w:leader="none" w:pos="7260" w:val="left"/>
        </w:tabs>
        <w:rPr>
          <w:sz w:val="20"/>
          <w:szCs w:val="20"/>
          <w:color w:val="auto"/>
        </w:rPr>
      </w:pPr>
      <w:r>
        <w:rPr>
          <w:rFonts w:ascii="Courier New" w:cs="Courier New" w:eastAsia="Courier New" w:hAnsi="Courier New"/>
          <w:sz w:val="18"/>
          <w:szCs w:val="18"/>
          <w:color w:val="auto"/>
        </w:rPr>
        <w:t>$</w:t>
        <w:tab/>
        <w:t>467,152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481,555</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359"/>
        <w:spacing w:after="0"/>
        <w:rPr>
          <w:sz w:val="20"/>
          <w:szCs w:val="20"/>
          <w:color w:val="auto"/>
        </w:rPr>
      </w:pPr>
      <w:r>
        <w:rPr>
          <w:rFonts w:ascii="Courier New" w:cs="Courier New" w:eastAsia="Courier New" w:hAnsi="Courier New"/>
          <w:sz w:val="18"/>
          <w:szCs w:val="18"/>
          <w:color w:val="auto"/>
        </w:rPr>
        <w:t>ABM INDUSTRIES INCORPORATED AND SUBSIDIARIES</w:t>
      </w:r>
    </w:p>
    <w:p>
      <w:pPr>
        <w:jc w:val="center"/>
        <w:ind w:right="145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1459"/>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OCTOBER</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JANUARY</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203"/>
        </w:trPr>
        <w:tc>
          <w:tcPr>
            <w:tcW w:w="45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1,393</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1,371</w:t>
            </w:r>
          </w:p>
        </w:tc>
      </w:tr>
      <w:tr>
        <w:trPr>
          <w:trHeight w:val="203"/>
        </w:trPr>
        <w:tc>
          <w:tcPr>
            <w:tcW w:w="4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Bank overdraft</w:t>
            </w:r>
          </w:p>
        </w:tc>
        <w:tc>
          <w:tcPr>
            <w:tcW w:w="9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12,975</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11,144</w:t>
            </w:r>
          </w:p>
        </w:tc>
      </w:tr>
      <w:tr>
        <w:trPr>
          <w:trHeight w:val="203"/>
        </w:trPr>
        <w:tc>
          <w:tcPr>
            <w:tcW w:w="4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9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34,555</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33,386</w:t>
            </w:r>
          </w:p>
        </w:tc>
      </w:tr>
      <w:tr>
        <w:trPr>
          <w:trHeight w:val="203"/>
        </w:trPr>
        <w:tc>
          <w:tcPr>
            <w:tcW w:w="4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9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4,265</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7,606</w:t>
            </w:r>
          </w:p>
        </w:tc>
      </w:tr>
      <w:tr>
        <w:trPr>
          <w:trHeight w:val="203"/>
        </w:trPr>
        <w:tc>
          <w:tcPr>
            <w:tcW w:w="4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Compensation</w:t>
            </w:r>
          </w:p>
        </w:tc>
        <w:tc>
          <w:tcPr>
            <w:tcW w:w="9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35,965</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32,645</w:t>
            </w:r>
          </w:p>
        </w:tc>
      </w:tr>
      <w:tr>
        <w:trPr>
          <w:trHeight w:val="203"/>
        </w:trPr>
        <w:tc>
          <w:tcPr>
            <w:tcW w:w="4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Taxes - other than income</w:t>
            </w:r>
          </w:p>
        </w:tc>
        <w:tc>
          <w:tcPr>
            <w:tcW w:w="9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12,609</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15,794</w:t>
            </w:r>
          </w:p>
        </w:tc>
      </w:tr>
      <w:tr>
        <w:trPr>
          <w:trHeight w:val="203"/>
        </w:trPr>
        <w:tc>
          <w:tcPr>
            <w:tcW w:w="4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Insurance claims</w:t>
            </w:r>
          </w:p>
        </w:tc>
        <w:tc>
          <w:tcPr>
            <w:tcW w:w="9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25,479</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25,029</w:t>
            </w:r>
          </w:p>
        </w:tc>
      </w:tr>
      <w:tr>
        <w:trPr>
          <w:trHeight w:val="203"/>
        </w:trPr>
        <w:tc>
          <w:tcPr>
            <w:tcW w:w="45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29,419</w:t>
            </w:r>
          </w:p>
        </w:tc>
        <w:tc>
          <w:tcPr>
            <w:tcW w:w="5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94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Total current liabilities</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156,660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162,097</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Long-Term</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Debt (less current portion)</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38,402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40,458</w:t>
            </w:r>
          </w:p>
        </w:tc>
      </w:tr>
      <w:tr>
        <w:trPr>
          <w:trHeight w:val="203"/>
        </w:trPr>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Retirement plans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13,413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14,681</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Insurance</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claims</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54,464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Total Liabilities</w:t>
            </w:r>
          </w:p>
        </w:tc>
        <w:tc>
          <w:tcPr>
            <w:tcW w:w="2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262,939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271,208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360" w:type="dxa"/>
            <w:vAlign w:val="bottom"/>
            <w:gridSpan w:val="2"/>
          </w:tcPr>
          <w:p>
            <w:pPr>
              <w:spacing w:after="0"/>
              <w:rPr>
                <w:sz w:val="20"/>
                <w:szCs w:val="20"/>
                <w:color w:val="auto"/>
              </w:rPr>
            </w:pPr>
            <w:r>
              <w:rPr>
                <w:rFonts w:ascii="Courier New" w:cs="Courier New" w:eastAsia="Courier New" w:hAnsi="Courier New"/>
                <w:sz w:val="18"/>
                <w:szCs w:val="18"/>
                <w:color w:val="auto"/>
              </w:rPr>
              <w:t>SERIES B 8% SENIOR REDEEMABLE CUMULATIVE</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w:t>
            </w:r>
          </w:p>
        </w:tc>
        <w:tc>
          <w:tcPr>
            <w:tcW w:w="2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Preferred stock, $0.01</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 value, 500,000</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 issued</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Common stock, $.01 par value, 28,000,000 shares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20,464,000 and 20,783,000 shares</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issued and outstanding at October 31, 1997</w:t>
            </w:r>
          </w:p>
        </w:tc>
        <w:tc>
          <w:tcPr>
            <w:tcW w:w="1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 January 31, 1998, respectively</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2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63,416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66,430</w:t>
            </w:r>
          </w:p>
        </w:tc>
      </w:tr>
      <w:tr>
        <w:trPr>
          <w:trHeight w:val="203"/>
        </w:trPr>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134,192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5680" w:val="left"/>
          <w:tab w:leader="none" w:pos="7260" w:val="left"/>
        </w:tabs>
        <w:rPr>
          <w:sz w:val="20"/>
          <w:szCs w:val="20"/>
          <w:color w:val="auto"/>
        </w:rPr>
      </w:pPr>
      <w:r>
        <w:rPr>
          <w:rFonts w:ascii="Courier New" w:cs="Courier New" w:eastAsia="Courier New" w:hAnsi="Courier New"/>
          <w:sz w:val="18"/>
          <w:szCs w:val="18"/>
          <w:color w:val="auto"/>
        </w:rPr>
        <w:t>Total stockholders' equity</w:t>
      </w:r>
      <w:r>
        <w:rPr>
          <w:sz w:val="20"/>
          <w:szCs w:val="20"/>
          <w:color w:val="auto"/>
        </w:rPr>
        <w:tab/>
      </w:r>
      <w:r>
        <w:rPr>
          <w:rFonts w:ascii="Courier New" w:cs="Courier New" w:eastAsia="Courier New" w:hAnsi="Courier New"/>
          <w:sz w:val="18"/>
          <w:szCs w:val="18"/>
          <w:color w:val="auto"/>
        </w:rPr>
        <w:t>197,813</w:t>
      </w:r>
      <w:r>
        <w:rPr>
          <w:sz w:val="20"/>
          <w:szCs w:val="20"/>
          <w:color w:val="auto"/>
        </w:rPr>
        <w:tab/>
      </w:r>
      <w:r>
        <w:rPr>
          <w:rFonts w:ascii="Courier New" w:cs="Courier New" w:eastAsia="Courier New" w:hAnsi="Courier New"/>
          <w:sz w:val="16"/>
          <w:szCs w:val="16"/>
          <w:color w:val="auto"/>
        </w:rPr>
        <w:t>203,947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380"/>
        <w:spacing w:after="0"/>
        <w:tabs>
          <w:tab w:leader="none" w:pos="5680" w:val="left"/>
          <w:tab w:leader="none" w:pos="6940" w:val="left"/>
          <w:tab w:leader="none" w:pos="7260" w:val="left"/>
        </w:tabs>
        <w:rPr>
          <w:sz w:val="20"/>
          <w:szCs w:val="20"/>
          <w:color w:val="auto"/>
        </w:rPr>
      </w:pPr>
      <w:r>
        <w:rPr>
          <w:rFonts w:ascii="Courier New" w:cs="Courier New" w:eastAsia="Courier New" w:hAnsi="Courier New"/>
          <w:sz w:val="18"/>
          <w:szCs w:val="18"/>
          <w:color w:val="auto"/>
        </w:rPr>
        <w:t>$</w:t>
        <w:tab/>
        <w:t>467,152</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481,555</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 w:name="page5"/>
    <w:bookmarkEnd w:id="4"/>
    <w:p>
      <w:pPr>
        <w:ind w:left="2120"/>
        <w:spacing w:after="0"/>
        <w:rPr>
          <w:sz w:val="20"/>
          <w:szCs w:val="20"/>
          <w:color w:val="auto"/>
        </w:rPr>
      </w:pPr>
      <w:r>
        <w:rPr>
          <w:rFonts w:ascii="Courier New" w:cs="Courier New" w:eastAsia="Courier New" w:hAnsi="Courier New"/>
          <w:sz w:val="18"/>
          <w:szCs w:val="18"/>
          <w:color w:val="auto"/>
        </w:rPr>
        <w:t>ABM INDUSTRIES INCORPORATED AND SUBSIDIARIES</w:t>
      </w:r>
    </w:p>
    <w:p>
      <w:pPr>
        <w:ind w:left="2000"/>
        <w:spacing w:after="0" w:line="238" w:lineRule="auto"/>
        <w:rPr>
          <w:sz w:val="20"/>
          <w:szCs w:val="20"/>
          <w:color w:val="auto"/>
        </w:rPr>
      </w:pPr>
      <w:r>
        <w:rPr>
          <w:rFonts w:ascii="Courier New" w:cs="Courier New" w:eastAsia="Courier New" w:hAnsi="Courier New"/>
          <w:sz w:val="18"/>
          <w:szCs w:val="18"/>
          <w:color w:val="auto"/>
        </w:rPr>
        <w:t>CONSOLIDATED STATEMENTS OF INCOME (UNAUDITED)</w:t>
      </w:r>
    </w:p>
    <w:p>
      <w:pPr>
        <w:spacing w:after="0" w:line="5" w:lineRule="exact"/>
        <w:rPr>
          <w:sz w:val="20"/>
          <w:szCs w:val="20"/>
          <w:color w:val="auto"/>
        </w:rPr>
      </w:pPr>
    </w:p>
    <w:p>
      <w:pPr>
        <w:ind w:left="2320" w:right="3039" w:hanging="631"/>
        <w:spacing w:after="0" w:line="235" w:lineRule="auto"/>
        <w:rPr>
          <w:sz w:val="20"/>
          <w:szCs w:val="20"/>
          <w:color w:val="auto"/>
        </w:rPr>
      </w:pPr>
      <w:r>
        <w:rPr>
          <w:rFonts w:ascii="Courier New" w:cs="Courier New" w:eastAsia="Courier New" w:hAnsi="Courier New"/>
          <w:sz w:val="18"/>
          <w:szCs w:val="18"/>
          <w:color w:val="auto"/>
        </w:rPr>
        <w:t>FOR THE THREE MONTHS ENDED JANUARY 31, 1997 AND 1998 (In thousands except per share amounts)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700"/>
        <w:spacing w:after="0"/>
        <w:tabs>
          <w:tab w:leader="none" w:pos="726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940" w:type="dxa"/>
            <w:vAlign w:val="bottom"/>
          </w:tcPr>
          <w:p>
            <w:pPr>
              <w:spacing w:after="0"/>
              <w:rPr>
                <w:sz w:val="20"/>
                <w:szCs w:val="20"/>
                <w:color w:val="auto"/>
              </w:rPr>
            </w:pPr>
            <w:r>
              <w:rPr>
                <w:rFonts w:ascii="Courier New" w:cs="Courier New" w:eastAsia="Courier New" w:hAnsi="Courier New"/>
                <w:sz w:val="18"/>
                <w:szCs w:val="18"/>
                <w:color w:val="auto"/>
              </w:rPr>
              <w:t>REVENUES AND OTHER INCOME</w:t>
            </w:r>
          </w:p>
        </w:tc>
        <w:tc>
          <w:tcPr>
            <w:tcW w:w="2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291,638</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358,747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Operating expenses and cost of goods sold</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252,751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312,494</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29,943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35,627</w:t>
            </w:r>
          </w:p>
        </w:tc>
      </w:tr>
      <w:tr>
        <w:trPr>
          <w:trHeight w:val="203"/>
        </w:trPr>
        <w:tc>
          <w:tcPr>
            <w:tcW w:w="5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Interest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Total expenses</w:t>
            </w:r>
          </w:p>
        </w:tc>
        <w:tc>
          <w:tcPr>
            <w:tcW w:w="2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283,293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348,944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5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1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BEFORE INCOME TAXES</w:t>
            </w:r>
          </w:p>
        </w:tc>
        <w:tc>
          <w:tcPr>
            <w:tcW w:w="158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8,345</w:t>
            </w:r>
          </w:p>
        </w:tc>
        <w:tc>
          <w:tcPr>
            <w:tcW w:w="5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9,803</w:t>
            </w:r>
          </w:p>
        </w:tc>
      </w:tr>
      <w:tr>
        <w:trPr>
          <w:trHeight w:val="405"/>
        </w:trPr>
        <w:tc>
          <w:tcPr>
            <w:tcW w:w="1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INCOME</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TAXES</w:t>
            </w:r>
          </w:p>
        </w:tc>
        <w:tc>
          <w:tcPr>
            <w:tcW w:w="158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3,505</w:t>
            </w:r>
          </w:p>
        </w:tc>
        <w:tc>
          <w:tcPr>
            <w:tcW w:w="580" w:type="dxa"/>
            <w:vAlign w:val="bottom"/>
          </w:tcPr>
          <w:p>
            <w:pPr>
              <w:spacing w:after="0"/>
              <w:rPr>
                <w:sz w:val="24"/>
                <w:szCs w:val="24"/>
                <w:color w:val="auto"/>
              </w:rPr>
            </w:pP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4,068</w:t>
            </w:r>
          </w:p>
        </w:tc>
      </w:tr>
      <w:tr>
        <w:trPr>
          <w:trHeight w:val="405"/>
        </w:trPr>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520" w:type="dxa"/>
            <w:vAlign w:val="bottom"/>
            <w:gridSpan w:val="6"/>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20" w:type="dxa"/>
            <w:vAlign w:val="bottom"/>
          </w:tcPr>
          <w:p>
            <w:pPr>
              <w:spacing w:after="0"/>
              <w:rPr>
                <w:sz w:val="17"/>
                <w:szCs w:val="17"/>
                <w:color w:val="auto"/>
              </w:rPr>
            </w:pP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4,840</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5,735</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520" w:type="dxa"/>
            <w:vAlign w:val="bottom"/>
          </w:tcPr>
          <w:p>
            <w:pPr>
              <w:spacing w:after="0"/>
              <w:rPr>
                <w:sz w:val="20"/>
                <w:szCs w:val="20"/>
                <w:color w:val="auto"/>
              </w:rPr>
            </w:pPr>
            <w:r>
              <w:rPr>
                <w:rFonts w:ascii="Courier New" w:cs="Courier New" w:eastAsia="Courier New" w:hAnsi="Courier New"/>
                <w:sz w:val="18"/>
                <w:szCs w:val="18"/>
                <w:color w:val="auto"/>
              </w:rPr>
              <w:t>NET INCOME PER COMMON SHARE</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0.24</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0.22</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AVERAGE NUMBER OF SHARES OUTSTANDING</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Basic</w:t>
            </w:r>
          </w:p>
        </w:tc>
        <w:tc>
          <w:tcPr>
            <w:tcW w:w="100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19,906</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20,641</w:t>
            </w:r>
          </w:p>
        </w:tc>
      </w:tr>
      <w:tr>
        <w:trPr>
          <w:trHeight w:val="203"/>
        </w:trPr>
        <w:tc>
          <w:tcPr>
            <w:tcW w:w="4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Diluted</w:t>
            </w:r>
          </w:p>
        </w:tc>
        <w:tc>
          <w:tcPr>
            <w:tcW w:w="100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21,416</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22,883</w:t>
            </w:r>
          </w:p>
        </w:tc>
      </w:tr>
      <w:tr>
        <w:trPr>
          <w:trHeight w:val="405"/>
        </w:trPr>
        <w:tc>
          <w:tcPr>
            <w:tcW w:w="4520" w:type="dxa"/>
            <w:vAlign w:val="bottom"/>
          </w:tcPr>
          <w:p>
            <w:pPr>
              <w:spacing w:after="0"/>
              <w:rPr>
                <w:sz w:val="20"/>
                <w:szCs w:val="20"/>
                <w:color w:val="auto"/>
              </w:rPr>
            </w:pPr>
            <w:r>
              <w:rPr>
                <w:rFonts w:ascii="Courier New" w:cs="Courier New" w:eastAsia="Courier New" w:hAnsi="Courier New"/>
                <w:sz w:val="18"/>
                <w:szCs w:val="18"/>
                <w:color w:val="auto"/>
              </w:rPr>
              <w:t>DIVIDENDS PER COMMON SHARE</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0.10</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5" w:name="page6"/>
    <w:bookmarkEnd w:id="5"/>
    <w:p>
      <w:pPr>
        <w:jc w:val="center"/>
        <w:ind w:left="480" w:right="1460"/>
        <w:spacing w:after="0" w:line="237" w:lineRule="auto"/>
        <w:rPr>
          <w:sz w:val="20"/>
          <w:szCs w:val="20"/>
          <w:color w:val="auto"/>
        </w:rPr>
      </w:pPr>
      <w:r>
        <w:rPr>
          <w:rFonts w:ascii="Courier New" w:cs="Courier New" w:eastAsia="Courier New" w:hAnsi="Courier New"/>
          <w:sz w:val="18"/>
          <w:szCs w:val="18"/>
          <w:color w:val="auto"/>
        </w:rPr>
        <w:t>ABM INDUSTRIES INCORPORATED AND SUBSIDIARIES CONSOLIDATED STATEMENTS OF CASH FLOWS (UNAUDITED) FOR THE THREE MONTHS ENDED JANUARY 31, 1997 AND 1998 (In thousands)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800"/>
        <w:spacing w:after="0"/>
        <w:tabs>
          <w:tab w:leader="none" w:pos="736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CASH FLOWS FROM</w:t>
            </w:r>
          </w:p>
        </w:tc>
        <w:tc>
          <w:tcPr>
            <w:tcW w:w="306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7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Cash received from customers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293,224</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343,043</w:t>
            </w:r>
          </w:p>
        </w:tc>
      </w:tr>
      <w:tr>
        <w:trPr>
          <w:trHeight w:val="203"/>
        </w:trPr>
        <w:tc>
          <w:tcPr>
            <w:tcW w:w="47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Other operating cash receipts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r>
      <w:tr>
        <w:trPr>
          <w:trHeight w:val="203"/>
        </w:trPr>
        <w:tc>
          <w:tcPr>
            <w:tcW w:w="47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Cash paid to</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suppliers and employees</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(278,180)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(337,954)</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Interest paid</w:t>
            </w:r>
          </w:p>
        </w:tc>
        <w:tc>
          <w:tcPr>
            <w:tcW w:w="3060" w:type="dxa"/>
            <w:vAlign w:val="bottom"/>
          </w:tcPr>
          <w:p>
            <w:pPr>
              <w:spacing w:after="0"/>
              <w:rPr>
                <w:sz w:val="17"/>
                <w:szCs w:val="17"/>
                <w:color w:val="auto"/>
              </w:rPr>
            </w:pP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w:t>
            </w:r>
          </w:p>
        </w:tc>
      </w:tr>
      <w:tr>
        <w:trPr>
          <w:trHeight w:val="203"/>
        </w:trPr>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Income taxes</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15,086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3,415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w w:val="96"/>
              </w:rPr>
              <w:t>CASH FLOWS FROM INVESTING</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ACTIVITIES:</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Additions to property,</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plant and equipment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(2,440)</w:t>
            </w:r>
          </w:p>
        </w:tc>
      </w:tr>
      <w:tr>
        <w:trPr>
          <w:trHeight w:val="203"/>
        </w:trPr>
        <w:tc>
          <w:tcPr>
            <w:tcW w:w="5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5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Decrease (increase) in investments and</w:t>
            </w: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long-term receivable</w:t>
            </w:r>
          </w:p>
        </w:tc>
        <w:tc>
          <w:tcPr>
            <w:tcW w:w="258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w:t>
            </w:r>
          </w:p>
        </w:tc>
      </w:tr>
      <w:tr>
        <w:trPr>
          <w:trHeight w:val="203"/>
        </w:trPr>
        <w:tc>
          <w:tcPr>
            <w:tcW w:w="52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Intangible assets acquired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cash used in investing activities</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(2,558)</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(4,044)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94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Common stock issued</w:t>
            </w:r>
          </w:p>
        </w:tc>
        <w:tc>
          <w:tcPr>
            <w:tcW w:w="25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3,016</w:t>
            </w:r>
          </w:p>
        </w:tc>
      </w:tr>
      <w:tr>
        <w:trPr>
          <w:trHeight w:val="203"/>
        </w:trPr>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Dividends paid</w:t>
            </w:r>
          </w:p>
        </w:tc>
        <w:tc>
          <w:tcPr>
            <w:tcW w:w="2520" w:type="dxa"/>
            <w:vAlign w:val="bottom"/>
          </w:tcPr>
          <w:p>
            <w:pPr>
              <w:spacing w:after="0"/>
              <w:rPr>
                <w:sz w:val="17"/>
                <w:szCs w:val="17"/>
                <w:color w:val="auto"/>
              </w:rPr>
            </w:pP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(2,126)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(2,617)</w:t>
            </w:r>
          </w:p>
        </w:tc>
      </w:tr>
      <w:tr>
        <w:trPr>
          <w:trHeight w:val="203"/>
        </w:trPr>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(decrease)</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in cash overdraft</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1,086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(1,831)</w:t>
            </w:r>
          </w:p>
        </w:tc>
      </w:tr>
      <w:tr>
        <w:trPr>
          <w:trHeight w:val="203"/>
        </w:trPr>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Increase (decrease)</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in notes payable</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2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Long-term borrowings</w:t>
            </w:r>
          </w:p>
        </w:tc>
        <w:tc>
          <w:tcPr>
            <w:tcW w:w="252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14,112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30,049</w:t>
            </w:r>
          </w:p>
        </w:tc>
      </w:tr>
      <w:tr>
        <w:trPr>
          <w:trHeight w:val="203"/>
        </w:trPr>
        <w:tc>
          <w:tcPr>
            <w:tcW w:w="49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Repayments of long-term borrowings</w:t>
            </w:r>
          </w:p>
        </w:tc>
        <w:tc>
          <w:tcPr>
            <w:tcW w:w="1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(22,813)</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(27,993)</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cash (used in) provided by financing</w:t>
      </w:r>
    </w:p>
    <w:tbl>
      <w:tblPr>
        <w:tblLayout w:type="fixed"/>
        <w:tblInd w:w="640" w:type="dxa"/>
        <w:tblCellMar>
          <w:top w:w="0" w:type="dxa"/>
          <w:left w:w="0" w:type="dxa"/>
          <w:bottom w:w="0" w:type="dxa"/>
          <w:right w:w="0" w:type="dxa"/>
        </w:tblCellMar>
      </w:tblPr>
      <w:tr>
        <w:trPr>
          <w:trHeight w:val="203"/>
        </w:trPr>
        <w:tc>
          <w:tcPr>
            <w:tcW w:w="3160" w:type="dxa"/>
            <w:vAlign w:val="bottom"/>
          </w:tcPr>
          <w:p>
            <w:pPr>
              <w:spacing w:after="0"/>
              <w:rPr>
                <w:sz w:val="20"/>
                <w:szCs w:val="20"/>
                <w:color w:val="auto"/>
              </w:rPr>
            </w:pPr>
            <w:r>
              <w:rPr>
                <w:rFonts w:ascii="Courier New" w:cs="Courier New" w:eastAsia="Courier New" w:hAnsi="Courier New"/>
                <w:sz w:val="18"/>
                <w:szCs w:val="18"/>
                <w:color w:val="auto"/>
              </w:rPr>
              <w:t>activities</w:t>
            </w:r>
          </w:p>
        </w:tc>
        <w:tc>
          <w:tcPr>
            <w:tcW w:w="3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(7,734)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602</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INCREASE (DECREASE) IN CASH AND CASH</w:t>
      </w:r>
    </w:p>
    <w:tbl>
      <w:tblPr>
        <w:tblLayout w:type="fixed"/>
        <w:tblInd w:w="120" w:type="dxa"/>
        <w:tblCellMar>
          <w:top w:w="0" w:type="dxa"/>
          <w:left w:w="0" w:type="dxa"/>
          <w:bottom w:w="0" w:type="dxa"/>
          <w:right w:w="0" w:type="dxa"/>
        </w:tblCellMar>
      </w:tblPr>
      <w:tr>
        <w:trPr>
          <w:trHeight w:val="203"/>
        </w:trPr>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EQUIVALENTS</w:t>
            </w:r>
          </w:p>
        </w:tc>
        <w:tc>
          <w:tcPr>
            <w:tcW w:w="3900" w:type="dxa"/>
            <w:vAlign w:val="bottom"/>
          </w:tcPr>
          <w:p>
            <w:pPr>
              <w:spacing w:after="0"/>
              <w:rPr>
                <w:sz w:val="17"/>
                <w:szCs w:val="17"/>
                <w:color w:val="auto"/>
              </w:rPr>
            </w:pP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4,794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CASH AND CASH</w:t>
            </w:r>
          </w:p>
        </w:tc>
        <w:tc>
          <w:tcPr>
            <w:tcW w:w="3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EQUIVALENTS BEGINNING OF PERIOD</w:t>
            </w:r>
          </w:p>
        </w:tc>
        <w:tc>
          <w:tcPr>
            <w:tcW w:w="16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1,567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460" w:val="left"/>
          <w:tab w:leader="none" w:pos="6000" w:val="left"/>
          <w:tab w:leader="none" w:pos="7040" w:val="left"/>
          <w:tab w:leader="none" w:pos="7580" w:val="left"/>
        </w:tabs>
        <w:rPr>
          <w:sz w:val="20"/>
          <w:szCs w:val="20"/>
          <w:color w:val="auto"/>
        </w:rPr>
      </w:pPr>
      <w:r>
        <w:rPr>
          <w:rFonts w:ascii="Courier New" w:cs="Courier New" w:eastAsia="Courier New" w:hAnsi="Courier New"/>
          <w:sz w:val="18"/>
          <w:szCs w:val="18"/>
          <w:color w:val="auto"/>
        </w:rPr>
        <w:t>CASH AND CASH EQUIVALENTS END OF PERIOD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6,361</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1,756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6" w:name="page7"/>
    <w:bookmarkEnd w:id="6"/>
    <w:p>
      <w:pPr>
        <w:jc w:val="center"/>
        <w:ind w:left="480" w:right="1460"/>
        <w:spacing w:after="0" w:line="237" w:lineRule="auto"/>
        <w:rPr>
          <w:sz w:val="20"/>
          <w:szCs w:val="20"/>
          <w:color w:val="auto"/>
        </w:rPr>
      </w:pPr>
      <w:r>
        <w:rPr>
          <w:rFonts w:ascii="Courier New" w:cs="Courier New" w:eastAsia="Courier New" w:hAnsi="Courier New"/>
          <w:sz w:val="18"/>
          <w:szCs w:val="18"/>
          <w:color w:val="auto"/>
        </w:rPr>
        <w:t>ABM INDUSTRIES INCORPORATED AND SUBSIDIARIES CONSOLIDATED STATEMENTS OF CASH FLOWS (UNAUDITED) FOR THE THREE MONTHS ENDED JANUARY 31, 1997 AND 1998 (In thousands)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120"/>
        <w:spacing w:after="0"/>
        <w:tabs>
          <w:tab w:leader="none" w:pos="768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RECONCILIATION</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OF NET INCOME TO NET CASH</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580" w:type="dxa"/>
            <w:vAlign w:val="bottom"/>
          </w:tcPr>
          <w:p>
            <w:pPr>
              <w:spacing w:after="0"/>
              <w:rPr>
                <w:sz w:val="24"/>
                <w:szCs w:val="24"/>
                <w:color w:val="auto"/>
              </w:rPr>
            </w:pP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4,840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5,735</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Adjustments:</w:t>
            </w:r>
          </w:p>
        </w:tc>
        <w:tc>
          <w:tcPr>
            <w:tcW w:w="3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3,783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4,793</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(846)</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Decrease (increase) in accounts receivable</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1,291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(14,344)</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Increase in prepaid expenses and other</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current assets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Decrease in other assets</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999</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4,057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3,341</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Increase in retirement plans accrual</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1,735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1,268</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Increase (decrease) in insurance claims</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liability</w:t>
            </w:r>
          </w:p>
        </w:tc>
        <w:tc>
          <w:tcPr>
            <w:tcW w:w="358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(942)</w:t>
            </w:r>
          </w:p>
        </w:tc>
      </w:tr>
      <w:tr>
        <w:trPr>
          <w:trHeight w:val="203"/>
        </w:trPr>
        <w:tc>
          <w:tcPr>
            <w:tcW w:w="5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Increase in accounts payable and</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1,728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Total Adjustments to net income</w:t>
      </w:r>
      <w:r>
        <w:rPr>
          <w:sz w:val="20"/>
          <w:szCs w:val="20"/>
          <w:color w:val="auto"/>
        </w:rPr>
        <w:tab/>
      </w:r>
      <w:r>
        <w:rPr>
          <w:rFonts w:ascii="Courier New" w:cs="Courier New" w:eastAsia="Courier New" w:hAnsi="Courier New"/>
          <w:sz w:val="18"/>
          <w:szCs w:val="18"/>
          <w:color w:val="auto"/>
        </w:rPr>
        <w:t>10,246</w:t>
      </w:r>
      <w:r>
        <w:rPr>
          <w:sz w:val="20"/>
          <w:szCs w:val="20"/>
          <w:color w:val="auto"/>
        </w:rPr>
        <w:tab/>
      </w:r>
      <w:r>
        <w:rPr>
          <w:rFonts w:ascii="Courier New" w:cs="Courier New" w:eastAsia="Courier New" w:hAnsi="Courier New"/>
          <w:sz w:val="16"/>
          <w:szCs w:val="16"/>
          <w:color w:val="auto"/>
        </w:rPr>
        <w:t>(2,320)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20"/>
        <w:spacing w:after="0"/>
        <w:tabs>
          <w:tab w:leader="none" w:pos="5580" w:val="left"/>
          <w:tab w:leader="none" w:pos="5880" w:val="left"/>
          <w:tab w:leader="none" w:pos="7160" w:val="left"/>
          <w:tab w:leader="none" w:pos="7580" w:val="left"/>
        </w:tabs>
        <w:rPr>
          <w:sz w:val="20"/>
          <w:szCs w:val="20"/>
          <w:color w:val="auto"/>
        </w:rPr>
      </w:pPr>
      <w:r>
        <w:rPr>
          <w:rFonts w:ascii="Courier New" w:cs="Courier New" w:eastAsia="Courier New" w:hAnsi="Courier New"/>
          <w:sz w:val="18"/>
          <w:szCs w:val="18"/>
          <w:color w:val="auto"/>
        </w:rPr>
        <w:t>Net Cash Provided by Operating Activities</w:t>
      </w:r>
      <w:r>
        <w:rPr>
          <w:sz w:val="20"/>
          <w:szCs w:val="20"/>
          <w:color w:val="auto"/>
        </w:rPr>
        <w:tab/>
      </w:r>
      <w:r>
        <w:rPr>
          <w:rFonts w:ascii="Courier New" w:cs="Courier New" w:eastAsia="Courier New" w:hAnsi="Courier New"/>
          <w:sz w:val="18"/>
          <w:szCs w:val="18"/>
          <w:color w:val="auto"/>
        </w:rPr>
        <w:t>$</w:t>
        <w:tab/>
        <w:t>15,086</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3,415</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 w:name="page8"/>
    <w:bookmarkEnd w:id="7"/>
    <w:p>
      <w:pPr>
        <w:ind w:left="296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4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opinion of management, the accompanying unaudited consolidated financial statements contain all material adjustments which are necessary to present fairly the Company's financial position as of January 31, 1998, and the results of operations and cash flows for the three months then ended. These adjustments are of a normal, recurring nature.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These consolidated financial statements should be read in conjunction with the consolidated financial statements and the notes thereto included in the Company's Form 10K filed for the fiscal year ended October 31, 1997 with the Securities and Exchange Commission.</w:t>
      </w:r>
    </w:p>
    <w:p>
      <w:pPr>
        <w:spacing w:after="0" w:line="202"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PER COMMON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reported its earnings in accordance with Statement of Financial Accounting Standards No. 128, Earnings per Share. Basic net income per common share, after the reduction for preferred stock dividends, is based on the weighted average number of shares actually outstanding during the period. Diluted net income per common share, after the reduction for preferred stock dividends, is based on the weighted average number of shares outstanding during the period, including common stock equivalents. Diluted net income per common share is consistent with the Company's former presentation of primary net income per common share. The calculation of these amounts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22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860" w:type="dxa"/>
            <w:vAlign w:val="bottom"/>
          </w:tcPr>
          <w:p>
            <w:pPr>
              <w:spacing w:after="0"/>
              <w:rPr>
                <w:sz w:val="17"/>
                <w:szCs w:val="17"/>
                <w:color w:val="auto"/>
              </w:rPr>
            </w:pPr>
          </w:p>
        </w:tc>
        <w:tc>
          <w:tcPr>
            <w:tcW w:w="2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January 31, 1997</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January 31, 1998</w:t>
            </w:r>
          </w:p>
        </w:tc>
      </w:tr>
      <w:tr>
        <w:trPr>
          <w:trHeight w:val="203"/>
        </w:trPr>
        <w:tc>
          <w:tcPr>
            <w:tcW w:w="3860" w:type="dxa"/>
            <w:vAlign w:val="bottom"/>
          </w:tcPr>
          <w:p>
            <w:pPr>
              <w:spacing w:after="0"/>
              <w:rPr>
                <w:sz w:val="17"/>
                <w:szCs w:val="17"/>
                <w:color w:val="auto"/>
              </w:rPr>
            </w:pPr>
          </w:p>
        </w:tc>
        <w:tc>
          <w:tcPr>
            <w:tcW w:w="22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4,840,000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5,735,000</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58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(128,000)</w:t>
            </w:r>
          </w:p>
        </w:tc>
        <w:tc>
          <w:tcPr>
            <w:tcW w:w="64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(128,000)</w:t>
            </w:r>
          </w:p>
        </w:tc>
      </w:tr>
      <w:tr>
        <w:trPr>
          <w:trHeight w:val="203"/>
        </w:trPr>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8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4,712,000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5,607,000</w:t>
            </w:r>
          </w:p>
        </w:tc>
      </w:tr>
      <w:tr>
        <w:trPr>
          <w:trHeight w:val="203"/>
        </w:trPr>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Common shares outstanding - basic</w:t>
            </w:r>
          </w:p>
        </w:tc>
        <w:tc>
          <w:tcPr>
            <w:tcW w:w="580" w:type="dxa"/>
            <w:vAlign w:val="bottom"/>
          </w:tcPr>
          <w:p>
            <w:pPr>
              <w:spacing w:after="0"/>
              <w:rPr>
                <w:sz w:val="24"/>
                <w:szCs w:val="24"/>
                <w:color w:val="auto"/>
              </w:rPr>
            </w:pP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19,906,000</w:t>
            </w:r>
          </w:p>
        </w:tc>
        <w:tc>
          <w:tcPr>
            <w:tcW w:w="64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20,641,000</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Effect of dilutive securities:</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options</w:t>
            </w: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1,162,000</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2,043,000</w:t>
            </w:r>
          </w:p>
        </w:tc>
      </w:tr>
      <w:tr>
        <w:trPr>
          <w:trHeight w:val="203"/>
        </w:trPr>
        <w:tc>
          <w:tcPr>
            <w:tcW w:w="3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348,000</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199,000</w:t>
            </w:r>
          </w:p>
        </w:tc>
      </w:tr>
      <w:tr>
        <w:trPr>
          <w:trHeight w:val="203"/>
        </w:trPr>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Common shares outstanding - diluted</w:t>
            </w:r>
          </w:p>
        </w:tc>
        <w:tc>
          <w:tcPr>
            <w:tcW w:w="580" w:type="dxa"/>
            <w:vAlign w:val="bottom"/>
          </w:tcPr>
          <w:p>
            <w:pPr>
              <w:spacing w:after="0"/>
              <w:rPr>
                <w:sz w:val="24"/>
                <w:szCs w:val="24"/>
                <w:color w:val="auto"/>
              </w:rPr>
            </w:pP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21,416,000</w:t>
            </w:r>
          </w:p>
        </w:tc>
        <w:tc>
          <w:tcPr>
            <w:tcW w:w="64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22,883,000</w:t>
            </w:r>
          </w:p>
        </w:tc>
      </w:tr>
      <w:tr>
        <w:trPr>
          <w:trHeight w:val="203"/>
        </w:trPr>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3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jc w:val="right"/>
              <w:ind w:right="1432"/>
              <w:spacing w:after="0"/>
              <w:rPr>
                <w:sz w:val="20"/>
                <w:szCs w:val="20"/>
                <w:color w:val="auto"/>
              </w:rPr>
            </w:pPr>
            <w:r>
              <w:rPr>
                <w:rFonts w:ascii="Courier New" w:cs="Courier New" w:eastAsia="Courier New" w:hAnsi="Courier New"/>
                <w:sz w:val="18"/>
                <w:szCs w:val="18"/>
                <w:color w:val="auto"/>
                <w:w w:val="73"/>
              </w:rPr>
              <w:t>7</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8" w:name="page9"/>
    <w:bookmarkEnd w:id="8"/>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The Company has an unsecured revolving credit agreement with a syndicate of U.S. banks. This agreement had a $125 million line of credit expiring July 1, 2002. Effective November 1, 1997, the agreement was amended to increase the amount available to $150 million. At the Company's option, the credit facility provides interest at the prime rate or IBOR+.35%.</w:t>
      </w:r>
    </w:p>
    <w:p>
      <w:pPr>
        <w:spacing w:after="0" w:line="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 of January 31, 1998, the total amount outstanding was approximately $106.6 million, which was comprised of loans in the amount of $36.0 million and standby letters of credit of $70.6 million. This agreement requires the Company to meet certain financial ratios and places some limitations on dividend payments and outside borrowing. The Company is prohibited from declaring or paying cash dividends exceeding 50% of its net income for any fiscal year. In February 1996, the Company entered into a loan agreement with a major U.S. bank which provides a seven-year term loan of $5 million. This loan bears interest at a fixed rate of 6.78 % with annual payments of principal in varying amounts, and interest due February 15, 1997 through February 15, 2003. The Company's effective interest rate for all long term debt for the quarter ended January 31, 1998 was 6.83%.</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 January 31, 1998, working capital was $145.9 million, as compared to $137.8 million at October 31,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is currently involved in four proceedings relating to environmental matters: one involving alleged potential soil and groundwater contamination at a Company facility in Florida; one involving alleged soil contamination at a former Company facility in Arizona; one involving alleged potential soil and groundwater contamination of a parking garage previously operated by the company;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identified the software it uses which is not year 2000 compliant and has begun its effort to coordinate the identification, evaluation, and implementation of changes to its computer systems and applications necessary to achieve a year 2000 date conversion. The total cost of compliance and its effect on the Company's financial condition and future results of operations have not been determined.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operating results of businesses acquired have been included in the accompanying consolidated financial statements from their respective dates of acquisition.</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of the Company. All information in the discussion and references to the years and quarters are based on the Company's fiscal year and first quarter which end on October 31 and January 31,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JANUARY 31, 1998 VS. THREE MONTHS ENDED JANUARY 31, 1997</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Revenues and other income (hereafter called revenues) for the first three months of 1998 were $358.7 million compared to $291.6 million in 1997, a 23% increase over the same quarter of the prior year. Much of this growth was attributable to acquisitions during 1997 as well as new business and price increases. For the quarter ended January 31, 1998, the increase in revenues relating to acquisitions made during 1997 was approximately $43.9 million on a total revenue increase of $67.1 million.</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 result, net income for the first quarter of 1998 was $5.7 million an increase of 18%, compared to the net income of $4.8 million for the first quarter of 1997. Diluted net income per common share rose 14% to 25 cents for the first quarter of 1998 compared to 22 cents for the same period in 1997. The increase in diluted net income per share was not proportional to the increase in net income due to the increased average number of common and common equivalent shares outstanding. As a percentage of revenues, operating expenses and cost of goods sold were 87.1% for the first quarter of 1998, compared to 86.7% in 1997. Consequently, as a percentage of revenues, the Company's gross profit (revenue minus operating expenses and cost of goods sold) of 12.9% in the first quarter of 1998 was lower than the gross profit of 13.3% for the first quarter of 1997. The gross profit percentage declined mostly due to higher labor and related costs. These costs could not be recovered through price increases because of stiff competition in the market place faced by most of the Company's Divisions.</w:t>
      </w:r>
    </w:p>
    <w:p>
      <w:pPr>
        <w:spacing w:after="0" w:line="3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Selling, general and administrative expenses for the first three months of 1998 were $35.6 million compared to $29.9 million for the corresponding three months of 1997. As a percentage of revenues, selling, general and administrative expenses decreased slightly, from 10.3% for the three months ended January 31, 1997, to 9.9% for the same period in 1998, primarily as a result of certain fixed and variable costs not increasing at the same rate as sales. The increase in the dollar amount, of selling, general and administrative expenses, $5.7 million, for the three months ended January 31, 1998, compared to the same period in 1997, is primarily due to expenses related to growth and to a somewhat lesser extent expenses associated with acquisitions.</w:t>
      </w:r>
    </w:p>
    <w:p>
      <w:pPr>
        <w:spacing w:after="0" w:line="200" w:lineRule="exact"/>
        <w:rPr>
          <w:sz w:val="20"/>
          <w:szCs w:val="20"/>
          <w:color w:val="auto"/>
        </w:rPr>
      </w:pPr>
    </w:p>
    <w:p>
      <w:pPr>
        <w:spacing w:after="0" w:line="38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1" w:name="page12"/>
    <w:bookmarkEnd w:id="11"/>
    <w:p>
      <w:pPr>
        <w:ind w:right="1779" w:firstLine="527"/>
        <w:spacing w:after="0" w:line="275" w:lineRule="auto"/>
        <w:rPr>
          <w:sz w:val="20"/>
          <w:szCs w:val="20"/>
          <w:color w:val="auto"/>
        </w:rPr>
      </w:pPr>
      <w:r>
        <w:rPr>
          <w:rFonts w:ascii="Courier New" w:cs="Courier New" w:eastAsia="Courier New" w:hAnsi="Courier New"/>
          <w:sz w:val="16"/>
          <w:szCs w:val="16"/>
          <w:color w:val="auto"/>
        </w:rPr>
        <w:t>Interest expense was $823,000 for the first three months of 1998 compared to $599,000 for the same period in 1997, an increase of $224,000. This increase was primarily due to higher weighted average borrowings during the first quarter of 1998 which were needed to fund acquisitions and working capital.</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pre-tax income for the first quarter of 1998 was $9,803,000 compared to $8,345,000, an increase of 17% over the same quarter of 1997. The growth in pre-tax income did not keep pace with revenue growth for the current quarter of 1998 due to lower gross profit.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estimated effective income tax rate for the first three months of 1998 was 41.5%, compared to 42.0% in the first three months of 1997. The lower tax rate was due for the most part to an increase in various federal and state tax credits.</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results of operations from the Company's three industry segments and its nine operating Divisions for the three months ended January 31, 1998, as compared to the three months ended January 31, 1997, are more fully described below:</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Janitorial Divisions segment, which includes the operating Divisions of American Building Maintenance (also known as ABM Janitorial Services) and Easterday Janitorial Supply, reported revenues for the first quarter of 1998 of $213.2 million, an increase of approximately $47.7 million, or 29% over the first quarter of 1997. This segment's operating profits (revenue minus expenses, excluding interest and corporate allocations) increased by 31% over the comparable quarter of 1997. This is the Company's largest segment and accounted for approximately 60% of the Company's total revenues for the current quarter. AMERICAN BUILDING MAINTENANCE'S revenues increased by 29% during the first quarter of 1998 as compared to the same quarter of 1997 as a result of several acquisitions made during the latter half of 1997, particularly in New York. Revenue grew in all regions except for Canada, Golden Gate, and Mid-Pacific. This Division's operating profits increased 31% when compared to the same period last year. The increase in operating profits is principally due to increased sales with reductions in insurance and administrative expenses relative to revenues. EASTERDAY JANITORIAL SUPPLY'S 1998 first quarter revenue increased by approximately 16% compared to the same quarter in 1997 generally due to strong sales in the Los Angeles and Houston markets. The increase of 15% in operating profits was achieved because of higher sales, but at a slightly lower gross profit percentage, mostly related to increased insurance.</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Revenues of the Public Service Divisions segment, which includes American Commercial Security Services (also known as "ACSS" and "ABM Security Services"), Ampco System Parking, and ABM Facility Services, for the first quarter of 1998 were approximately $61.8 million, a 6% increase</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2" w:name="page13"/>
    <w:bookmarkEnd w:id="12"/>
    <w:p>
      <w:pPr>
        <w:ind w:right="1779"/>
        <w:spacing w:after="0" w:line="238" w:lineRule="auto"/>
        <w:rPr>
          <w:sz w:val="20"/>
          <w:szCs w:val="20"/>
          <w:color w:val="auto"/>
        </w:rPr>
      </w:pPr>
      <w:r>
        <w:rPr>
          <w:rFonts w:ascii="Courier New" w:cs="Courier New" w:eastAsia="Courier New" w:hAnsi="Courier New"/>
          <w:sz w:val="18"/>
          <w:szCs w:val="18"/>
          <w:color w:val="auto"/>
        </w:rPr>
        <w:t>over the same quarter of 1997. Public Service Divisions accounted for approximately 17% of the Company's revenues. The operating profits of this segment increased 17% in the first quarter of 1998 as both Ampco System Parking and American Commercial Security Services reported increased profits when compared to the prior year quarter. AMERICAN COMMERCIAL SECURITY SERVICES reported a decrease in revenues of 3%, but its profits were up by 17% in the first quarter of 1998 compared to the same period of 1997. The revenue decline was largely due to loss of a several large customers in the San Francisco Bay area and in San Antonio, Texas. The increase in operating profit was primarily due to a reduction in insurance charges and management reorganization in California. AMPCO SYSTEM PARKING Division's revenues increased by 13%, while its profits increased 32% during the first quarter of 1998 compared to the first quarter of 1997. The increase in revenues was mostly due to growth in its national airport business, as well as the Northeast and Texas regions. The operating profit increase was due for the most part to higher profit margins as a result of containment of management and overhead costs, decreased legal and insurance costs and increased sales. This segment now includes the Company's new Division, ABM FACILITY SERVICES. The Company has responded to customer requests to provide services from two or more of its Divisions (the ABM Family of Services) under one management. Because this Division is new and depends primarily on management fees for its income, start up costs exceeded revenues during the current quarter. Revenue generated by this Division is generally reported by the respective Division providing services. Management does not expect this Division to be profitable during the current year, although management expects sales from other Divisions under the auspices of this Division to be profitable.</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Technical Divisions segment includes ABM Engineering Services (also known as Amtech Engineering Services), Amtech Elevator Services, Amtech Lighting Services and CommAir Mechanical Services. This segment reported revenues of $83.6 million, which represent approximately 23% of the Company's revenues for the first quarter of 1998. This represents an increase of approximately 23% over the same quarter of last year due to increases in revenues reported by all its Divisions. Operating profit of this segment increased 11% compared to the first quarter of 1997 due to increases in operating profits of its Elevator and Engineering Divisions, offset by decreases in its CommAir Mechanical and Lighting Divisions. ABM ENGINEERING SERVICES' revenues increased by 48% and its operating profits increased 11% for the first quarter of 1998 compared to the same period in 1997. The large revenue increase was due primarily to an acquisition in New York in August 1997. The smaller percentage increase in operating profits resulted from a combination of lower gross profit on fixed price contracts, increased insurance costs, and an increase in selling, general and administrative costs. Revenues for AMTECH ELEVATOR SERVICES were up by 14% for the first quarter of 1998 over the same quarter of 1997 largely due to an increased customer base in the maintenance and repair sector. The Division posted a dramatic 47% increase in operating profit for the first</w:t>
      </w: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3" w:name="page14"/>
    <w:bookmarkEnd w:id="13"/>
    <w:p>
      <w:pPr>
        <w:ind w:right="1779"/>
        <w:spacing w:after="0" w:line="238" w:lineRule="auto"/>
        <w:rPr>
          <w:sz w:val="20"/>
          <w:szCs w:val="20"/>
          <w:color w:val="auto"/>
        </w:rPr>
      </w:pPr>
      <w:r>
        <w:rPr>
          <w:rFonts w:ascii="Courier New" w:cs="Courier New" w:eastAsia="Courier New" w:hAnsi="Courier New"/>
          <w:sz w:val="18"/>
          <w:szCs w:val="18"/>
          <w:color w:val="auto"/>
        </w:rPr>
        <w:t>quarter compared to the corresponding quarter of 1997. This increase can be attributed primarily to a reduction of insurance costs and lower general and administrative expenses as a percent of sales. AMTECH LIGHTING SERVICES Division reported a 8% revenue increase due to increased sales in most regions. Operating profits decreased by 6% during the first quarter of 1998 compared to the same quarter of the prior year primarily due to increases in selling and administrative expenses. COMMAIR MECHANICAL SERVICES Division's revenues increased by 17% resulting primarily from an acquisition in Southern California during the second quarter of 1997. Operating profits for the first quarter of 1998 decreased by 6% from the prior year first quarter as a result of an increase in selling, general and administrative expenses proportionately greater than the increase in revenues.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STATEMENT</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w:t>
      </w:r>
    </w:p>
    <w:p>
      <w:pPr>
        <w:spacing w:after="0" w:line="1" w:lineRule="exact"/>
        <w:rPr>
          <w:sz w:val="20"/>
          <w:szCs w:val="20"/>
          <w:color w:val="auto"/>
        </w:rPr>
      </w:pPr>
    </w:p>
    <w:p>
      <w:pPr>
        <w:ind w:right="1779" w:firstLine="8"/>
        <w:spacing w:after="0" w:line="268"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widespread failure of commercial real estate occupancy to improve in the Company's major markets since it relates directly to the need for janitorial and other buildings services, (2) the loss or bankruptcy of one or more of the Company's major customers, which could adversely affect the Company's ability to collect deferred costs or its accounts receivable, (3) the untimely departure of one or more of the Company's key executives, which could affect retention of customers as well as the day to day management of operations, (4) any major labor disruptions that may cause loss of revenue or cost increases that non-union companies can use to their advantage in obtaining market share,</w:t>
      </w:r>
    </w:p>
    <w:p>
      <w:pPr>
        <w:spacing w:after="0" w:line="1" w:lineRule="exact"/>
        <w:rPr>
          <w:rFonts w:ascii="Courier New" w:cs="Courier New" w:eastAsia="Courier New" w:hAnsi="Courier New"/>
          <w:sz w:val="16"/>
          <w:szCs w:val="16"/>
          <w:color w:val="auto"/>
        </w:rPr>
      </w:pPr>
    </w:p>
    <w:p>
      <w:pPr>
        <w:ind w:right="1779" w:firstLine="8"/>
        <w:spacing w:after="0" w:line="268" w:lineRule="auto"/>
        <w:tabs>
          <w:tab w:leader="none" w:pos="42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shortfall in achieving any acquisition plan to acquire either businesses in new markets or expand customer base in existing ones, (6) any legislation or other government action that severely impacts one or more of the Company's lines of business, such as price controls that could prevent cost recovery and fuel restrictions that might increase the cost to deliver services,</w:t>
      </w:r>
    </w:p>
    <w:p>
      <w:pPr>
        <w:ind w:right="199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reduction or revocation of the Company's lines of credit which would increase interest expense or the cost of capital, (8) the cancellation or non-renewal of the Company's primary insurance policies, as many customers retain services based on the provider's ability to provide adequate insurance including performance bonds and proof of adequate insurance, (9) any catastrophic uninsured or underinsured claims against the Company, which also might include insurance companies financially incapable of paying claims, (10) the inability to recruit and</w:t>
      </w: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4" w:name="page15"/>
    <w:bookmarkEnd w:id="14"/>
    <w:p>
      <w:pPr>
        <w:ind w:right="2099"/>
        <w:spacing w:after="0" w:line="237" w:lineRule="auto"/>
        <w:rPr>
          <w:sz w:val="20"/>
          <w:szCs w:val="20"/>
          <w:color w:val="auto"/>
        </w:rPr>
      </w:pPr>
      <w:r>
        <w:rPr>
          <w:rFonts w:ascii="Courier New" w:cs="Courier New" w:eastAsia="Courier New" w:hAnsi="Courier New"/>
          <w:sz w:val="18"/>
          <w:szCs w:val="18"/>
          <w:color w:val="auto"/>
        </w:rPr>
        <w:t>hire entry level personnel due to labor shortages, and (11) other material factors that are disclosed from time-to-time in the Company's public filings with the United States Securities and Exchange Commission, such as reports on Forms 8-K, 10-K and 10-Q.</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27.1 - Financial Data Schedule.</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 reports on Form 8-K were filed during the quarter ended January 31, 1998.</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5" w:name="page16"/>
    <w:bookmarkEnd w:id="15"/>
    <w:p>
      <w:pPr>
        <w:ind w:left="402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ABM Industries Incorporated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16, 1998</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 David H. Hebble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Vice President, Principal</w:t>
      </w:r>
    </w:p>
    <w:p>
      <w:pPr>
        <w:ind w:left="94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2">
            <w:col w:w="1920" w:space="720"/>
            <w:col w:w="7579"/>
          </w:cols>
          <w:pgMar w:left="240" w:top="717" w:right="1440" w:bottom="1440" w:gutter="0" w:footer="0" w:header="0"/>
          <w:type w:val="continuous"/>
        </w:sectPr>
      </w:pP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717" w:right="1440" w:bottom="1440" w:gutter="0" w:footer="0" w:header="0"/>
          <w:type w:val="continuous"/>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OCT-31-1998</w:t>
      </w:r>
    </w:p>
    <w:p>
      <w:pPr>
        <w:ind w:left="3160"/>
        <w:spacing w:after="0"/>
        <w:rPr>
          <w:sz w:val="20"/>
          <w:szCs w:val="20"/>
          <w:color w:val="auto"/>
        </w:rPr>
      </w:pPr>
      <w:r>
        <w:rPr>
          <w:rFonts w:ascii="Courier New" w:cs="Courier New" w:eastAsia="Courier New" w:hAnsi="Courier New"/>
          <w:sz w:val="18"/>
          <w:szCs w:val="18"/>
          <w:color w:val="auto"/>
        </w:rPr>
        <w:t>JAN-31-1998</w:t>
      </w:r>
    </w:p>
    <w:p>
      <w:pPr>
        <w:ind w:left="4420"/>
        <w:spacing w:after="0" w:line="237" w:lineRule="auto"/>
        <w:rPr>
          <w:sz w:val="20"/>
          <w:szCs w:val="20"/>
          <w:color w:val="auto"/>
        </w:rPr>
      </w:pPr>
      <w:r>
        <w:rPr>
          <w:rFonts w:ascii="Courier New" w:cs="Courier New" w:eastAsia="Courier New" w:hAnsi="Courier New"/>
          <w:sz w:val="18"/>
          <w:szCs w:val="18"/>
          <w:color w:val="auto"/>
        </w:rPr>
        <w:t>1,756</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460"/>
        <w:spacing w:after="0"/>
        <w:rPr>
          <w:sz w:val="20"/>
          <w:szCs w:val="20"/>
          <w:color w:val="auto"/>
        </w:rPr>
      </w:pPr>
      <w:r>
        <w:rPr>
          <w:rFonts w:ascii="Courier New" w:cs="Courier New" w:eastAsia="Courier New" w:hAnsi="Courier New"/>
          <w:sz w:val="18"/>
          <w:szCs w:val="18"/>
          <w:color w:val="auto"/>
        </w:rPr>
        <w:t>248,071</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21,572</w:t>
      </w:r>
    </w:p>
    <w:p>
      <w:pPr>
        <w:ind w:left="3160"/>
        <w:spacing w:after="0" w:line="237" w:lineRule="auto"/>
        <w:rPr>
          <w:sz w:val="20"/>
          <w:szCs w:val="20"/>
          <w:color w:val="auto"/>
        </w:rPr>
      </w:pPr>
      <w:r>
        <w:rPr>
          <w:rFonts w:ascii="Courier New" w:cs="Courier New" w:eastAsia="Courier New" w:hAnsi="Courier New"/>
          <w:sz w:val="18"/>
          <w:szCs w:val="18"/>
          <w:color w:val="auto"/>
        </w:rPr>
        <w:t>307,995</w:t>
      </w:r>
    </w:p>
    <w:p>
      <w:pPr>
        <w:ind w:left="4320"/>
        <w:spacing w:after="0"/>
        <w:rPr>
          <w:sz w:val="20"/>
          <w:szCs w:val="20"/>
          <w:color w:val="auto"/>
        </w:rPr>
      </w:pPr>
      <w:r>
        <w:rPr>
          <w:rFonts w:ascii="Courier New" w:cs="Courier New" w:eastAsia="Courier New" w:hAnsi="Courier New"/>
          <w:sz w:val="18"/>
          <w:szCs w:val="18"/>
          <w:color w:val="auto"/>
        </w:rPr>
        <w:t>74,655</w:t>
      </w:r>
    </w:p>
    <w:p>
      <w:pPr>
        <w:ind w:left="3460"/>
        <w:spacing w:after="0" w:line="237" w:lineRule="auto"/>
        <w:rPr>
          <w:sz w:val="20"/>
          <w:szCs w:val="20"/>
          <w:color w:val="auto"/>
        </w:rPr>
      </w:pPr>
      <w:r>
        <w:rPr>
          <w:rFonts w:ascii="Courier New" w:cs="Courier New" w:eastAsia="Courier New" w:hAnsi="Courier New"/>
          <w:sz w:val="18"/>
          <w:szCs w:val="18"/>
          <w:color w:val="auto"/>
        </w:rPr>
        <w:t>48,282</w:t>
      </w:r>
    </w:p>
    <w:p>
      <w:pPr>
        <w:ind w:left="3360"/>
        <w:spacing w:after="0" w:line="238" w:lineRule="auto"/>
        <w:rPr>
          <w:sz w:val="20"/>
          <w:szCs w:val="20"/>
          <w:color w:val="auto"/>
        </w:rPr>
      </w:pPr>
      <w:r>
        <w:rPr>
          <w:rFonts w:ascii="Courier New" w:cs="Courier New" w:eastAsia="Courier New" w:hAnsi="Courier New"/>
          <w:sz w:val="18"/>
          <w:szCs w:val="18"/>
          <w:color w:val="auto"/>
        </w:rPr>
        <w:t>481,555</w:t>
      </w:r>
    </w:p>
    <w:p>
      <w:pPr>
        <w:ind w:left="2620"/>
        <w:spacing w:after="0"/>
        <w:rPr>
          <w:sz w:val="20"/>
          <w:szCs w:val="20"/>
          <w:color w:val="auto"/>
        </w:rPr>
      </w:pPr>
      <w:r>
        <w:rPr>
          <w:rFonts w:ascii="Courier New" w:cs="Courier New" w:eastAsia="Courier New" w:hAnsi="Courier New"/>
          <w:sz w:val="18"/>
          <w:szCs w:val="18"/>
          <w:color w:val="auto"/>
        </w:rPr>
        <w:t>162,097</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6,400</w:t>
      </w:r>
    </w:p>
    <w:p>
      <w:pPr>
        <w:ind w:left="4420"/>
        <w:spacing w:after="0"/>
        <w:rPr>
          <w:sz w:val="20"/>
          <w:szCs w:val="20"/>
          <w:color w:val="auto"/>
        </w:rPr>
      </w:pPr>
      <w:r>
        <w:rPr>
          <w:rFonts w:ascii="Courier New" w:cs="Courier New" w:eastAsia="Courier New" w:hAnsi="Courier New"/>
          <w:sz w:val="18"/>
          <w:szCs w:val="18"/>
          <w:color w:val="auto"/>
        </w:rPr>
        <w:t>207</w:t>
      </w:r>
    </w:p>
    <w:p>
      <w:pPr>
        <w:ind w:left="3780"/>
        <w:spacing w:after="0" w:line="237" w:lineRule="auto"/>
        <w:rPr>
          <w:sz w:val="20"/>
          <w:szCs w:val="20"/>
          <w:color w:val="auto"/>
        </w:rPr>
      </w:pPr>
      <w:r>
        <w:rPr>
          <w:rFonts w:ascii="Courier New" w:cs="Courier New" w:eastAsia="Courier New" w:hAnsi="Courier New"/>
          <w:sz w:val="18"/>
          <w:szCs w:val="18"/>
          <w:color w:val="auto"/>
        </w:rPr>
        <w:t>203,740</w:t>
      </w:r>
    </w:p>
    <w:p>
      <w:pPr>
        <w:ind w:left="1880"/>
        <w:spacing w:after="0" w:line="238" w:lineRule="auto"/>
        <w:rPr>
          <w:sz w:val="20"/>
          <w:szCs w:val="20"/>
          <w:color w:val="auto"/>
        </w:rPr>
      </w:pPr>
      <w:r>
        <w:rPr>
          <w:rFonts w:ascii="Courier New" w:cs="Courier New" w:eastAsia="Courier New" w:hAnsi="Courier New"/>
          <w:sz w:val="18"/>
          <w:szCs w:val="18"/>
          <w:color w:val="auto"/>
        </w:rPr>
        <w:t>481,555</w:t>
      </w:r>
    </w:p>
    <w:p>
      <w:pPr>
        <w:ind w:left="4100"/>
        <w:spacing w:after="0"/>
        <w:rPr>
          <w:sz w:val="20"/>
          <w:szCs w:val="20"/>
          <w:color w:val="auto"/>
        </w:rPr>
      </w:pPr>
      <w:r>
        <w:rPr>
          <w:rFonts w:ascii="Courier New" w:cs="Courier New" w:eastAsia="Courier New" w:hAnsi="Courier New"/>
          <w:sz w:val="18"/>
          <w:szCs w:val="18"/>
          <w:color w:val="auto"/>
        </w:rPr>
        <w:t>358,747</w:t>
      </w:r>
    </w:p>
    <w:p>
      <w:pPr>
        <w:ind w:left="3160"/>
        <w:spacing w:after="0" w:line="237" w:lineRule="auto"/>
        <w:rPr>
          <w:sz w:val="20"/>
          <w:szCs w:val="20"/>
          <w:color w:val="auto"/>
        </w:rPr>
      </w:pPr>
      <w:r>
        <w:rPr>
          <w:rFonts w:ascii="Courier New" w:cs="Courier New" w:eastAsia="Courier New" w:hAnsi="Courier New"/>
          <w:sz w:val="18"/>
          <w:szCs w:val="18"/>
          <w:color w:val="auto"/>
        </w:rPr>
        <w:t>358,747</w:t>
      </w:r>
    </w:p>
    <w:p>
      <w:pPr>
        <w:jc w:val="right"/>
        <w:ind w:right="5059"/>
        <w:spacing w:after="0"/>
        <w:rPr>
          <w:sz w:val="20"/>
          <w:szCs w:val="20"/>
          <w:color w:val="auto"/>
        </w:rPr>
      </w:pPr>
      <w:r>
        <w:rPr>
          <w:rFonts w:ascii="Courier New" w:cs="Courier New" w:eastAsia="Courier New" w:hAnsi="Courier New"/>
          <w:sz w:val="18"/>
          <w:szCs w:val="18"/>
          <w:color w:val="auto"/>
        </w:rPr>
        <w:t>312,494</w:t>
      </w:r>
    </w:p>
    <w:p>
      <w:pPr>
        <w:jc w:val="center"/>
        <w:ind w:right="2439"/>
        <w:spacing w:after="0" w:line="237" w:lineRule="auto"/>
        <w:rPr>
          <w:sz w:val="20"/>
          <w:szCs w:val="20"/>
          <w:color w:val="auto"/>
        </w:rPr>
      </w:pPr>
      <w:r>
        <w:rPr>
          <w:rFonts w:ascii="Courier New" w:cs="Courier New" w:eastAsia="Courier New" w:hAnsi="Courier New"/>
          <w:sz w:val="18"/>
          <w:szCs w:val="18"/>
          <w:color w:val="auto"/>
        </w:rPr>
        <w:t>312,494</w:t>
      </w:r>
    </w:p>
    <w:p>
      <w:pPr>
        <w:jc w:val="center"/>
        <w:ind w:right="2439"/>
        <w:spacing w:after="0"/>
        <w:rPr>
          <w:sz w:val="20"/>
          <w:szCs w:val="20"/>
          <w:color w:val="auto"/>
        </w:rPr>
      </w:pPr>
      <w:r>
        <w:rPr>
          <w:rFonts w:ascii="Courier New" w:cs="Courier New" w:eastAsia="Courier New" w:hAnsi="Courier New"/>
          <w:sz w:val="18"/>
          <w:szCs w:val="18"/>
          <w:color w:val="auto"/>
        </w:rPr>
        <w:t>0</w:t>
      </w:r>
    </w:p>
    <w:p>
      <w:pPr>
        <w:jc w:val="center"/>
        <w:ind w:right="2439"/>
        <w:spacing w:after="0" w:line="237"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823</w:t>
      </w:r>
    </w:p>
    <w:p>
      <w:pPr>
        <w:ind w:left="3460"/>
        <w:spacing w:after="0" w:line="237" w:lineRule="auto"/>
        <w:rPr>
          <w:sz w:val="20"/>
          <w:szCs w:val="20"/>
          <w:color w:val="auto"/>
        </w:rPr>
      </w:pPr>
      <w:r>
        <w:rPr>
          <w:rFonts w:ascii="Courier New" w:cs="Courier New" w:eastAsia="Courier New" w:hAnsi="Courier New"/>
          <w:sz w:val="18"/>
          <w:szCs w:val="18"/>
          <w:color w:val="auto"/>
        </w:rPr>
        <w:t>9,803</w:t>
      </w:r>
    </w:p>
    <w:p>
      <w:pPr>
        <w:ind w:left="3780"/>
        <w:spacing w:after="0" w:line="238" w:lineRule="auto"/>
        <w:rPr>
          <w:sz w:val="20"/>
          <w:szCs w:val="20"/>
          <w:color w:val="auto"/>
        </w:rPr>
      </w:pPr>
      <w:r>
        <w:rPr>
          <w:rFonts w:ascii="Courier New" w:cs="Courier New" w:eastAsia="Courier New" w:hAnsi="Courier New"/>
          <w:sz w:val="18"/>
          <w:szCs w:val="18"/>
          <w:color w:val="auto"/>
        </w:rPr>
        <w:t>4,068</w:t>
      </w:r>
    </w:p>
    <w:p>
      <w:pPr>
        <w:ind w:left="3040"/>
        <w:spacing w:after="0"/>
        <w:rPr>
          <w:sz w:val="20"/>
          <w:szCs w:val="20"/>
          <w:color w:val="auto"/>
        </w:rPr>
      </w:pPr>
      <w:r>
        <w:rPr>
          <w:rFonts w:ascii="Courier New" w:cs="Courier New" w:eastAsia="Courier New" w:hAnsi="Courier New"/>
          <w:sz w:val="18"/>
          <w:szCs w:val="18"/>
          <w:color w:val="auto"/>
        </w:rPr>
        <w:t>5,735</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5,735</w:t>
      </w:r>
    </w:p>
    <w:p>
      <w:pPr>
        <w:ind w:left="3780"/>
        <w:spacing w:after="0" w:line="237" w:lineRule="auto"/>
        <w:rPr>
          <w:sz w:val="20"/>
          <w:szCs w:val="20"/>
          <w:color w:val="auto"/>
        </w:rPr>
      </w:pPr>
      <w:r>
        <w:rPr>
          <w:rFonts w:ascii="Courier New" w:cs="Courier New" w:eastAsia="Courier New" w:hAnsi="Courier New"/>
          <w:sz w:val="18"/>
          <w:szCs w:val="18"/>
          <w:color w:val="auto"/>
        </w:rPr>
        <w:t>0.27</w:t>
      </w:r>
    </w:p>
    <w:p>
      <w:pPr>
        <w:ind w:left="3780"/>
        <w:spacing w:after="0" w:line="238" w:lineRule="auto"/>
        <w:rPr>
          <w:sz w:val="20"/>
          <w:szCs w:val="20"/>
          <w:color w:val="auto"/>
        </w:rPr>
      </w:pPr>
      <w:r>
        <w:rPr>
          <w:rFonts w:ascii="Courier New" w:cs="Courier New" w:eastAsia="Courier New" w:hAnsi="Courier New"/>
          <w:sz w:val="18"/>
          <w:szCs w:val="18"/>
          <w:color w:val="auto"/>
        </w:rPr>
        <w:t>0.25</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7"/>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2019-12-13T15:38:13Z</dcterms:created>
  <dcterms:modified xsi:type="dcterms:W3CDTF">2019-12-13T15:38:13Z</dcterms:modified>
</cp:coreProperties>
</file>