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1615440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1529715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right="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2015</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right="4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440" w:right="23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-109220</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187" w:lineRule="exact"/>
        <w:rPr>
          <w:sz w:val="24"/>
          <w:szCs w:val="24"/>
          <w:color w:val="auto"/>
        </w:rPr>
      </w:pPr>
    </w:p>
    <w:p>
      <w:pPr>
        <w:sectPr>
          <w:pgSz w:w="11900" w:h="16838" w:orient="portrait"/>
          <w:cols w:equalWidth="0" w:num="2">
            <w:col w:w="8680" w:space="720"/>
            <w:col w:w="2020"/>
          </w:cols>
          <w:pgMar w:left="240" w:top="1440"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40"/>
          </w:cols>
          <w:pgMar w:left="240" w:top="1440" w:right="239" w:bottom="1440" w:gutter="0" w:footer="0" w:header="0"/>
          <w:type w:val="continuous"/>
        </w:sectPr>
      </w:pPr>
    </w:p>
    <w:p>
      <w:pPr>
        <w:spacing w:after="0" w:line="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420"/>
          </w:cols>
          <w:pgMar w:left="240" w:top="1440" w:right="239" w:bottom="1440" w:gutter="0" w:footer="0" w:header="0"/>
          <w:type w:val="continuous"/>
        </w:sectPr>
      </w:pP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(212) 297-0200</w:t>
      </w:r>
    </w:p>
    <w:p>
      <w:pPr>
        <w:spacing w:after="0" w:line="23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3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b w:val="1"/>
                <w:bCs w:val="1"/>
                <w:color w:val="auto"/>
                <w:w w:val="99"/>
              </w:rPr>
              <w:t>Title of each class</w:t>
            </w: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340" w:type="dxa"/>
            <w:vAlign w:val="bottom"/>
          </w:tcPr>
          <w:p>
            <w:pPr>
              <w:jc w:val="center"/>
              <w:ind w:left="1310"/>
              <w:spacing w:after="0"/>
              <w:rPr>
                <w:sz w:val="20"/>
                <w:szCs w:val="20"/>
                <w:color w:val="auto"/>
              </w:rPr>
            </w:pPr>
            <w:r>
              <w:rPr>
                <w:rFonts w:ascii="Arial" w:cs="Arial" w:eastAsia="Arial" w:hAnsi="Arial"/>
                <w:sz w:val="18"/>
                <w:szCs w:val="18"/>
                <w:color w:val="auto"/>
              </w:rPr>
              <w:t>Common Stock, $0.01 par value</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392"/>
        </w:trPr>
        <w:tc>
          <w:tcPr>
            <w:tcW w:w="4340" w:type="dxa"/>
            <w:vAlign w:val="bottom"/>
          </w:tcPr>
          <w:p>
            <w:pPr>
              <w:spacing w:after="0"/>
              <w:rPr>
                <w:sz w:val="24"/>
                <w:szCs w:val="24"/>
                <w:color w:val="auto"/>
              </w:rPr>
            </w:pPr>
          </w:p>
        </w:tc>
        <w:tc>
          <w:tcPr>
            <w:tcW w:w="7080" w:type="dxa"/>
            <w:vAlign w:val="bottom"/>
            <w:gridSpan w:val="3"/>
          </w:tcPr>
          <w:p>
            <w:pPr>
              <w:jc w:val="right"/>
              <w:ind w:right="4450"/>
              <w:spacing w:after="0"/>
              <w:rPr>
                <w:sz w:val="20"/>
                <w:szCs w:val="20"/>
                <w:color w:val="auto"/>
              </w:rPr>
            </w:pPr>
            <w:r>
              <w:rPr>
                <w:rFonts w:ascii="Arial" w:cs="Arial" w:eastAsia="Arial" w:hAnsi="Arial"/>
                <w:sz w:val="18"/>
                <w:szCs w:val="18"/>
                <w:color w:val="auto"/>
                <w:w w:val="96"/>
              </w:rPr>
              <w:t>__________________________</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4" w:lineRule="exact"/>
        <w:rPr>
          <w:sz w:val="20"/>
          <w:szCs w:val="20"/>
          <w:color w:val="auto"/>
        </w:rPr>
      </w:pPr>
    </w:p>
    <w:p>
      <w:pPr>
        <w:sectPr>
          <w:pgSz w:w="11900" w:h="16838" w:orient="portrait"/>
          <w:cols w:equalWidth="0" w:num="5">
            <w:col w:w="9300" w:space="200"/>
            <w:col w:w="300" w:space="100"/>
            <w:col w:w="160" w:space="200"/>
            <w:col w:w="220" w:space="100"/>
            <w:col w:w="840"/>
          </w:cols>
          <w:pgMar w:left="240" w:top="1440"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20" w:space="180"/>
            <w:col w:w="300" w:space="100"/>
            <w:col w:w="100" w:space="200"/>
            <w:col w:w="220" w:space="100"/>
            <w:col w:w="800"/>
          </w:cols>
          <w:pgMar w:left="240" w:top="1440" w:right="239" w:bottom="1440" w:gutter="0" w:footer="0" w:header="0"/>
          <w:type w:val="continuous"/>
        </w:sectPr>
      </w:pPr>
    </w:p>
    <w:p>
      <w:pPr>
        <w:spacing w:after="0" w:line="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0"/>
          <w:szCs w:val="20"/>
          <w:color w:val="auto"/>
        </w:rPr>
      </w:pPr>
    </w:p>
    <w:p>
      <w:pPr>
        <w:sectPr>
          <w:pgSz w:w="11900" w:h="16838" w:orient="portrait"/>
          <w:cols w:equalWidth="0" w:num="4">
            <w:col w:w="1820" w:space="720"/>
            <w:col w:w="4720" w:space="720"/>
            <w:col w:w="2340" w:space="720"/>
            <w:col w:w="380"/>
          </w:cols>
          <w:pgMar w:left="240" w:top="1440" w:right="23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 (Do not check if a smaller reporting company)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w:t>
      </w:r>
    </w:p>
    <w:p>
      <w:pPr>
        <w:spacing w:after="0" w:line="68" w:lineRule="exact"/>
        <w:rPr>
          <w:sz w:val="20"/>
          <w:szCs w:val="20"/>
          <w:color w:val="auto"/>
        </w:rPr>
      </w:pPr>
    </w:p>
    <w:p>
      <w:pPr>
        <w:sectPr>
          <w:pgSz w:w="11900" w:h="16838" w:orient="portrait"/>
          <w:cols w:equalWidth="0" w:num="4">
            <w:col w:w="1820" w:space="720"/>
            <w:col w:w="4720" w:space="720"/>
            <w:col w:w="2340" w:space="720"/>
            <w:col w:w="380"/>
          </w:cols>
          <w:pgMar w:left="240" w:top="1440"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8160" w:space="180"/>
            <w:col w:w="300" w:space="100"/>
            <w:col w:w="100" w:space="200"/>
            <w:col w:w="220" w:space="100"/>
            <w:col w:w="2060"/>
          </w:cols>
          <w:pgMar w:left="240" w:top="1440" w:right="239" w:bottom="1440" w:gutter="0" w:footer="0" w:header="0"/>
          <w:type w:val="continuous"/>
        </w:sectPr>
      </w:pP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common stock on April 30, 2015 as reported on the New York Stock Exchange on that date: $1,781,044,870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the registrant’s common stock outstanding as of December 9, 2015: 56,071,902</w:t>
      </w:r>
    </w:p>
    <w:p>
      <w:pPr>
        <w:spacing w:after="0" w:line="1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Parts of the registrant’s Definitive Proxy Statement relating to the registrant’s 2016 Annual Meeting of Shareholders, to be held on March 9, 2016,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10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1110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1100" w:type="dxa"/>
            <w:vAlign w:val="bottom"/>
          </w:tcPr>
          <w:p>
            <w:pPr>
              <w:spacing w:after="0"/>
              <w:rPr>
                <w:sz w:val="20"/>
                <w:szCs w:val="20"/>
                <w:color w:val="auto"/>
              </w:rPr>
            </w:pPr>
            <w:r>
              <w:rPr>
                <w:rFonts w:ascii="Arial" w:cs="Arial" w:eastAsia="Arial" w:hAnsi="Arial"/>
                <w:sz w:val="14"/>
                <w:szCs w:val="14"/>
                <w:b w:val="1"/>
                <w:bCs w:val="1"/>
                <w:color w:val="auto"/>
              </w:rPr>
              <w:t>FORWARD-LOOKING STATEMENTS</w:t>
            </w:r>
          </w:p>
        </w:tc>
        <w:tc>
          <w:tcPr>
            <w:tcW w:w="1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2</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 Business.</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1A. Risk Factors.</w:t>
            </w:r>
          </w:p>
        </w:tc>
        <w:tc>
          <w:tcPr>
            <w:tcW w:w="1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1B. Unresolved Staff Comments.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15</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2. Properties.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16</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3. Legal Proceedings.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9">
              <w:r>
                <w:rPr>
                  <w:rFonts w:ascii="Arial" w:cs="Arial" w:eastAsia="Arial" w:hAnsi="Arial"/>
                  <w:sz w:val="15"/>
                  <w:szCs w:val="15"/>
                  <w:color w:val="0000FF"/>
                  <w:w w:val="95"/>
                </w:rPr>
                <w:t>17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4. Mine Safety Disclosures.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2">
              <w:r>
                <w:rPr>
                  <w:rFonts w:ascii="Arial" w:cs="Arial" w:eastAsia="Arial" w:hAnsi="Arial"/>
                  <w:sz w:val="15"/>
                  <w:szCs w:val="15"/>
                  <w:color w:val="0000FF"/>
                  <w:w w:val="95"/>
                </w:rPr>
                <w:t>19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6. Selected Financial Data.</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3">
              <w:r>
                <w:rPr>
                  <w:rFonts w:ascii="Arial" w:cs="Arial" w:eastAsia="Arial" w:hAnsi="Arial"/>
                  <w:sz w:val="15"/>
                  <w:szCs w:val="15"/>
                  <w:color w:val="0000FF"/>
                  <w:w w:val="95"/>
                </w:rPr>
                <w:t>21</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5">
              <w:r>
                <w:rPr>
                  <w:rFonts w:ascii="Arial" w:cs="Arial" w:eastAsia="Arial" w:hAnsi="Arial"/>
                  <w:sz w:val="15"/>
                  <w:szCs w:val="15"/>
                  <w:color w:val="0000FF"/>
                  <w:w w:val="95"/>
                </w:rPr>
                <w:t>23</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5">
              <w:r>
                <w:rPr>
                  <w:rFonts w:ascii="Arial" w:cs="Arial" w:eastAsia="Arial" w:hAnsi="Arial"/>
                  <w:sz w:val="15"/>
                  <w:szCs w:val="15"/>
                  <w:color w:val="0000FF"/>
                  <w:w w:val="95"/>
                </w:rPr>
                <w:t>52</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8. Financial Statements and Supplementary Data.</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6">
              <w:r>
                <w:rPr>
                  <w:rFonts w:ascii="Arial" w:cs="Arial" w:eastAsia="Arial" w:hAnsi="Arial"/>
                  <w:sz w:val="15"/>
                  <w:szCs w:val="15"/>
                  <w:color w:val="0000FF"/>
                  <w:w w:val="95"/>
                </w:rPr>
                <w:t>54</w:t>
              </w:r>
            </w:hyperlink>
          </w:p>
        </w:tc>
      </w:tr>
      <w:tr>
        <w:trPr>
          <w:trHeight w:val="196"/>
        </w:trPr>
        <w:tc>
          <w:tcPr>
            <w:tcW w:w="11100" w:type="dxa"/>
            <w:vAlign w:val="bottom"/>
          </w:tcPr>
          <w:p>
            <w:pPr>
              <w:ind w:left="480"/>
              <w:spacing w:after="0"/>
              <w:rPr>
                <w:sz w:val="20"/>
                <w:szCs w:val="20"/>
                <w:color w:val="auto"/>
              </w:rPr>
            </w:pPr>
            <w:r>
              <w:rPr>
                <w:rFonts w:ascii="Arial" w:cs="Arial" w:eastAsia="Arial" w:hAnsi="Arial"/>
                <w:sz w:val="14"/>
                <w:szCs w:val="14"/>
                <w:color w:val="auto"/>
              </w:rPr>
              <w:t>Consolidated Balance Sheets at October 31, 2015 and 2014</w:t>
            </w: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7">
              <w:r>
                <w:rPr>
                  <w:rFonts w:ascii="Arial" w:cs="Arial" w:eastAsia="Arial" w:hAnsi="Arial"/>
                  <w:sz w:val="15"/>
                  <w:szCs w:val="15"/>
                  <w:color w:val="0000EE"/>
                  <w:w w:val="95"/>
                </w:rPr>
                <w:t>55</w:t>
              </w:r>
            </w:hyperlink>
          </w:p>
        </w:tc>
      </w:tr>
      <w:tr>
        <w:trPr>
          <w:trHeight w:val="196"/>
        </w:trPr>
        <w:tc>
          <w:tcPr>
            <w:tcW w:w="11100" w:type="dxa"/>
            <w:vAlign w:val="bottom"/>
          </w:tcPr>
          <w:p>
            <w:pPr>
              <w:ind w:left="480"/>
              <w:spacing w:after="0"/>
              <w:rPr>
                <w:sz w:val="20"/>
                <w:szCs w:val="20"/>
                <w:color w:val="auto"/>
              </w:rPr>
            </w:pPr>
            <w:r>
              <w:rPr>
                <w:rFonts w:ascii="Arial" w:cs="Arial" w:eastAsia="Arial" w:hAnsi="Arial"/>
                <w:sz w:val="14"/>
                <w:szCs w:val="14"/>
                <w:color w:val="auto"/>
              </w:rPr>
              <w:t>Consolidated Statements of Comprehensive Income for the Years Ended October 31, 2015, 2014, and 2013</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8">
              <w:r>
                <w:rPr>
                  <w:rFonts w:ascii="Arial" w:cs="Arial" w:eastAsia="Arial" w:hAnsi="Arial"/>
                  <w:sz w:val="15"/>
                  <w:szCs w:val="15"/>
                  <w:color w:val="0000FF"/>
                  <w:w w:val="95"/>
                </w:rPr>
                <w:t>56</w:t>
              </w:r>
            </w:hyperlink>
          </w:p>
        </w:tc>
      </w:tr>
      <w:tr>
        <w:trPr>
          <w:trHeight w:val="196"/>
        </w:trPr>
        <w:tc>
          <w:tcPr>
            <w:tcW w:w="11100" w:type="dxa"/>
            <w:vAlign w:val="bottom"/>
          </w:tcPr>
          <w:p>
            <w:pPr>
              <w:ind w:left="480"/>
              <w:spacing w:after="0"/>
              <w:rPr>
                <w:sz w:val="20"/>
                <w:szCs w:val="20"/>
                <w:color w:val="auto"/>
              </w:rPr>
            </w:pPr>
            <w:r>
              <w:rPr>
                <w:rFonts w:ascii="Arial" w:cs="Arial" w:eastAsia="Arial" w:hAnsi="Arial"/>
                <w:sz w:val="14"/>
                <w:szCs w:val="14"/>
                <w:color w:val="auto"/>
              </w:rPr>
              <w:t>Consolidated Statements of Stockholders’ Equity for the Years Ended October 31, 2015, 2014, and 2013</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9">
              <w:r>
                <w:rPr>
                  <w:rFonts w:ascii="Arial" w:cs="Arial" w:eastAsia="Arial" w:hAnsi="Arial"/>
                  <w:sz w:val="15"/>
                  <w:szCs w:val="15"/>
                  <w:color w:val="0000FF"/>
                  <w:w w:val="95"/>
                </w:rPr>
                <w:t>57</w:t>
              </w:r>
            </w:hyperlink>
          </w:p>
        </w:tc>
      </w:tr>
      <w:tr>
        <w:trPr>
          <w:trHeight w:val="196"/>
        </w:trPr>
        <w:tc>
          <w:tcPr>
            <w:tcW w:w="11100" w:type="dxa"/>
            <w:vAlign w:val="bottom"/>
          </w:tcPr>
          <w:p>
            <w:pPr>
              <w:ind w:left="480"/>
              <w:spacing w:after="0"/>
              <w:rPr>
                <w:sz w:val="20"/>
                <w:szCs w:val="20"/>
                <w:color w:val="auto"/>
              </w:rPr>
            </w:pPr>
            <w:r>
              <w:rPr>
                <w:rFonts w:ascii="Arial" w:cs="Arial" w:eastAsia="Arial" w:hAnsi="Arial"/>
                <w:sz w:val="14"/>
                <w:szCs w:val="14"/>
                <w:color w:val="auto"/>
              </w:rPr>
              <w:t>Consolidated Statements of Cash Flows for the Years Ended October 31, 2015, 2014, and 2013</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60">
              <w:r>
                <w:rPr>
                  <w:rFonts w:ascii="Arial" w:cs="Arial" w:eastAsia="Arial" w:hAnsi="Arial"/>
                  <w:sz w:val="15"/>
                  <w:szCs w:val="15"/>
                  <w:color w:val="0000FF"/>
                  <w:w w:val="95"/>
                </w:rPr>
                <w:t>58</w:t>
              </w:r>
            </w:hyperlink>
          </w:p>
        </w:tc>
      </w:tr>
      <w:tr>
        <w:trPr>
          <w:trHeight w:val="196"/>
        </w:trPr>
        <w:tc>
          <w:tcPr>
            <w:tcW w:w="11100" w:type="dxa"/>
            <w:vAlign w:val="bottom"/>
          </w:tcPr>
          <w:p>
            <w:pPr>
              <w:ind w:left="480"/>
              <w:spacing w:after="0"/>
              <w:rPr>
                <w:sz w:val="20"/>
                <w:szCs w:val="20"/>
                <w:color w:val="auto"/>
              </w:rPr>
            </w:pPr>
            <w:r>
              <w:rPr>
                <w:rFonts w:ascii="Arial" w:cs="Arial" w:eastAsia="Arial" w:hAnsi="Arial"/>
                <w:sz w:val="14"/>
                <w:szCs w:val="14"/>
                <w:color w:val="auto"/>
              </w:rPr>
              <w:t>Notes to Consolidated Financial Statements</w:t>
            </w: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62">
              <w:r>
                <w:rPr>
                  <w:rFonts w:ascii="Arial" w:cs="Arial" w:eastAsia="Arial" w:hAnsi="Arial"/>
                  <w:sz w:val="15"/>
                  <w:szCs w:val="15"/>
                  <w:color w:val="0000EE"/>
                  <w:w w:val="95"/>
                </w:rPr>
                <w:t>60</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9">
              <w:r>
                <w:rPr>
                  <w:rFonts w:ascii="Arial" w:cs="Arial" w:eastAsia="Arial" w:hAnsi="Arial"/>
                  <w:sz w:val="15"/>
                  <w:szCs w:val="15"/>
                  <w:color w:val="0000FF"/>
                  <w:w w:val="95"/>
                </w:rPr>
                <w:t>97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9A. Controls and Procedures.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9B. Other Information.</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97</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0">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10. Directors, Executive Officers and Corporate Governance.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11. Executive Compensation.</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1">
              <w:r>
                <w:rPr>
                  <w:rFonts w:ascii="Arial" w:cs="Arial" w:eastAsia="Arial" w:hAnsi="Arial"/>
                  <w:sz w:val="15"/>
                  <w:szCs w:val="15"/>
                  <w:color w:val="0000FF"/>
                  <w:w w:val="95"/>
                </w:rPr>
                <w:t>98</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14. Principal Accounting Fees and Services.</w:t>
            </w:r>
          </w:p>
        </w:tc>
        <w:tc>
          <w:tcPr>
            <w:tcW w:w="8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99</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260" w:type="dxa"/>
            <w:vAlign w:val="bottom"/>
            <w:tcBorders>
              <w:bottom w:val="single" w:sz="8" w:color="0000FF"/>
            </w:tcBorders>
            <w:gridSpan w:val="3"/>
          </w:tcPr>
          <w:p>
            <w:pPr>
              <w:jc w:val="right"/>
              <w:spacing w:after="0"/>
              <w:rPr>
                <w:rFonts w:ascii="Arial" w:cs="Arial" w:eastAsia="Arial" w:hAnsi="Arial"/>
                <w:sz w:val="15"/>
                <w:szCs w:val="15"/>
                <w:color w:val="0000FF"/>
                <w:w w:val="95"/>
              </w:rPr>
            </w:pPr>
            <w:hyperlink w:anchor="page102">
              <w:r>
                <w:rPr>
                  <w:rFonts w:ascii="Arial" w:cs="Arial" w:eastAsia="Arial" w:hAnsi="Arial"/>
                  <w:sz w:val="15"/>
                  <w:szCs w:val="15"/>
                  <w:color w:val="0000FF"/>
                  <w:w w:val="95"/>
                </w:rPr>
                <w:t>100</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color w:val="auto"/>
              </w:rPr>
              <w:t>Item 15. Exhibits, Financial Statement Schedules.</w:t>
            </w:r>
          </w:p>
        </w:tc>
        <w:tc>
          <w:tcPr>
            <w:tcW w:w="260" w:type="dxa"/>
            <w:vAlign w:val="bottom"/>
            <w:tcBorders>
              <w:bottom w:val="single" w:sz="8" w:color="0000FF"/>
            </w:tcBorders>
            <w:gridSpan w:val="3"/>
          </w:tcPr>
          <w:p>
            <w:pPr>
              <w:jc w:val="right"/>
              <w:spacing w:after="0"/>
              <w:rPr>
                <w:rFonts w:ascii="Arial" w:cs="Arial" w:eastAsia="Arial" w:hAnsi="Arial"/>
                <w:sz w:val="15"/>
                <w:szCs w:val="15"/>
                <w:color w:val="0000FF"/>
                <w:w w:val="95"/>
              </w:rPr>
            </w:pPr>
            <w:hyperlink w:anchor="page103">
              <w:r>
                <w:rPr>
                  <w:rFonts w:ascii="Arial" w:cs="Arial" w:eastAsia="Arial" w:hAnsi="Arial"/>
                  <w:sz w:val="15"/>
                  <w:szCs w:val="15"/>
                  <w:color w:val="0000FF"/>
                  <w:w w:val="95"/>
                </w:rPr>
                <w:t>100</w:t>
              </w:r>
            </w:hyperlink>
          </w:p>
        </w:tc>
      </w:tr>
      <w:tr>
        <w:trPr>
          <w:trHeight w:val="196"/>
        </w:trPr>
        <w:tc>
          <w:tcPr>
            <w:tcW w:w="1110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260" w:type="dxa"/>
            <w:vAlign w:val="bottom"/>
            <w:tcBorders>
              <w:bottom w:val="single" w:sz="8" w:color="0000FF"/>
            </w:tcBorders>
            <w:gridSpan w:val="3"/>
          </w:tcPr>
          <w:p>
            <w:pPr>
              <w:jc w:val="right"/>
              <w:spacing w:after="0"/>
              <w:rPr>
                <w:rFonts w:ascii="Arial" w:cs="Arial" w:eastAsia="Arial" w:hAnsi="Arial"/>
                <w:sz w:val="15"/>
                <w:szCs w:val="15"/>
                <w:color w:val="0000FF"/>
                <w:w w:val="95"/>
              </w:rPr>
            </w:pPr>
            <w:hyperlink w:anchor="page103">
              <w:r>
                <w:rPr>
                  <w:rFonts w:ascii="Arial" w:cs="Arial" w:eastAsia="Arial" w:hAnsi="Arial"/>
                  <w:sz w:val="15"/>
                  <w:szCs w:val="15"/>
                  <w:color w:val="0000FF"/>
                  <w:w w:val="95"/>
                </w:rPr>
                <w:t>101</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Form 10-K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In particular, such statements are included in Item 7., “Management’s Discussion and Analysis of Financial Condition and Results of Operations.” These statements generally can be identified by the use of forward-looking words or phrases, such as “believe,” “expect,” “expectation,” “anticipate,” “may,” “could,” “intend,” “belief,” “estimate,” “plan,” “target,” “predict,” “likely,” “should,” “forecast,” “outlook,”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Forward-looking statements in this Form 10-K include, but are not limited to, statements regarding: the implementation of our 2020 Vision strategic transformation initiative; our future operating and financial performance; our plans to return capital to stockholders, whether through stock repurchases, cash dividends, or otherwise; the ability of our risk management and safety programs to affect our insurance reserves for casualty programs; the cost savings we have projected to achieve by the realignment of our business operations to better support specific industries and deliver improved client solutions; and the timing of any of the foregoing. We cannot assure you that any of our expectations, estimates, or projections will be achieved. Numerous factors could cause our actual results and events to differ materially from those expressed or implied by forward-looking statements. Accordingly, undue reliance should not be placed on these forward-looking statements. In Item 1A., “Risk Factors,” we have listed specific risks and uncertainties that you should carefully read and consider.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end-to-end, integrated facility solutions that enable our clients to deliver exceptional facility experiences. Unless otherwise noted, all references to years are to our fiscal year, which ends on October 31.</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ABM’s comprehensive capabilities include commercial cleaning, electrical, energy solutions, facilities engineering, HVAC, landscaping, parking, and services in support of airport operations. We provide custom facility solutions in urban, suburban, and rural areas to properties of all sizes—from schools and commercial buildings to airports, hospitals, and manufacturing plants. Our principal operations are in the United States, and in 2015, our U.S. operations generated approximately 96% of our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roots go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Our common stock is listed on the New York Stock Exchange under the ticker symbol ABM.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Commencing in the spring of 2015, ABM undertook a comprehensive strategic review, with the assistance of the Boston Consulting Group, to develop a long-term strategic plan for our business. In September of this year, we announced the 2020 Vision strategic transformation initiative (the “2020 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designed to, and which we expect will, drive long-term profitable growth and enhance shareholder value. Pursuant to our 2020 Vision, we will reorganize the delivery of our services through an industry-based go-to-market strategy that will initially focus on five verticals: Aviation, Business and Industry, Education, Healthcare, and High Tech. We believe this will position us to deliver value-added solutions, establish clear competitive differentiation, and enable deep client penetration.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execute on our 2020 Vision, we will take the following actions:</w:t>
      </w:r>
    </w:p>
    <w:p>
      <w:pPr>
        <w:spacing w:after="0" w:line="207" w:lineRule="exact"/>
        <w:rPr>
          <w:sz w:val="20"/>
          <w:szCs w:val="20"/>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u w:val="single" w:color="auto"/>
          <w:color w:val="auto"/>
        </w:rPr>
        <w:t>Organizational Realignment</w:t>
      </w:r>
      <w:r>
        <w:rPr>
          <w:rFonts w:ascii="Arial" w:cs="Arial" w:eastAsia="Arial" w:hAnsi="Arial"/>
          <w:sz w:val="18"/>
          <w:szCs w:val="18"/>
          <w:i w:val="1"/>
          <w:iCs w:val="1"/>
          <w:color w:val="auto"/>
        </w:rPr>
        <w:t>:</w:t>
      </w:r>
      <w:r>
        <w:rPr>
          <w:rFonts w:ascii="Arial" w:cs="Arial" w:eastAsia="Arial" w:hAnsi="Arial"/>
          <w:sz w:val="18"/>
          <w:szCs w:val="18"/>
          <w:color w:val="auto"/>
        </w:rPr>
        <w:t xml:space="preserve"> Align business operations to better support specific industries and develop custom client solutions, including transitioning to an integrated, industry-focused company, with a simplified organizational structure, and a consolidated shared services model.</w:t>
      </w:r>
    </w:p>
    <w:p>
      <w:pPr>
        <w:spacing w:after="0" w:line="194" w:lineRule="exact"/>
        <w:rPr>
          <w:rFonts w:ascii="Arial" w:cs="Arial" w:eastAsia="Arial" w:hAnsi="Arial"/>
          <w:sz w:val="18"/>
          <w:szCs w:val="18"/>
          <w:i w:val="1"/>
          <w:iCs w:val="1"/>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Consistent Excellence</w:t>
      </w:r>
      <w:r>
        <w:rPr>
          <w:rFonts w:ascii="Arial" w:cs="Arial" w:eastAsia="Arial" w:hAnsi="Arial"/>
          <w:sz w:val="18"/>
          <w:szCs w:val="18"/>
          <w:color w:val="auto"/>
        </w:rPr>
        <w:t>: Implement best practices in account management and labor management across the organization, and develop a more integrated approach for continuous improvement in our risk and safety programs.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Cost Optimization</w:t>
      </w:r>
      <w:r>
        <w:rPr>
          <w:rFonts w:ascii="Arial" w:cs="Arial" w:eastAsia="Arial" w:hAnsi="Arial"/>
          <w:sz w:val="18"/>
          <w:szCs w:val="18"/>
          <w:color w:val="auto"/>
        </w:rPr>
        <w:t>: Leverage our scale to manage costs more efficiently and effectively, including supplier consolidation and process and procurement enhancement.</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Talent Development</w:t>
      </w:r>
      <w:r>
        <w:rPr>
          <w:rFonts w:ascii="Arial" w:cs="Arial" w:eastAsia="Arial" w:hAnsi="Arial"/>
          <w:sz w:val="18"/>
          <w:szCs w:val="18"/>
          <w:color w:val="auto"/>
        </w:rPr>
        <w:t>: Create greater opportunities and career paths for ABM employees by further developing our talent management system capabilities.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On October 26, 2015, we sold substantially all of the assets of our Security business to Universal Protection Service, a division of Universal Services of America, for cash proceeds of $131.0 million. The sale of the Security business was part of our 2020 Vision.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November 1, 2012, we acquired Air Serv Corporation (“Air Serv”), a provider of facility solutions for airlines, airports, and freight companies, and HHA Services, Inc. (“HHA”), a provider of food services, housekeeping, laundry, patient assist, and plant maintenance to healthcare systems, hospitals, long-term care facilities, and retirement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2"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communities. The Air Serv and HHA acquisitions allowed us to significantly expand our vertical market expertise in servicing the comprehensive needs of airlines, airport authorities, and healthcare systems and hospitals. The operations of Air Serv are primarily included in the Other segment, and the operations of HHA are included in the Building &amp; Energy Solutions segment as of the acquisition date.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2010, we acquired The Linc Group, LLC (“Linc”). Linc provides comprehensive integrated facility solutions, military base operation services, and translation and other services in support of U.S. military operations. Linc’s clients include state and federal governments, educational institutions, and commercial entities throughout the United States and in select international locations. The operations of Linc are included in the Building &amp; Energy Solutions and Facility Services segments. The name of Linc was changed to ABM Facility Solutions Group, LLC in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Descriptions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management and financial reporting purposes, our businesses are separated into five segments: Janitorial, Facility Services, Parking, Building &amp; Energy Solutions, and Other. Our former Security segment is now reported in discontinued operations for all periods presented in this Annual Report on Form 10-K (the “Annual Report”). For segment and geographical financial information, see Note 19, “Segment and Geographic Information,” in the 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Offerings within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Janitorial segment provides a wide range of essential cleaning services for airports and other transportation centers, commercial office buildings, educational institutions, government buildings, health facilities, industrial buildings, retail stores, and stadiums and arenas. These services include carpet cleaning and dusting, floor cleaning and finishing, window washing, and other building cleaning services. We typically provide our services pursuant to contracts with clients, usually obtained through a competitive bid process. Contracts in our Janitorial segment generally fall into the following categories: fixed-price arrangements, cost-plus arrangements, and arrangements relating to one-time tag (supplemental) services. The majority of the Janitorial segment’s contracts are fixed-price arrangements, which are more subject to profit margin compression than cost-plus arrangements. In addition, profit margins on contracts tend to be inversely proportional to the size of the contract, as large-scale contracts tend to be more competitively priced than small or stand-alone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Services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Facility Services segment provides onsite mechanical engineering and technical services and solutions relating to a broad range of facilities and infrastructure systems. Facilities we service include airports and other transportation centers, commercial office buildings, data centers, educational institutions, high technology manufacturing facilities, and shopping centers. These services are designed to extend the useful life of facility fixed assets, improve equipment operating efficiencies, reduce energy consumption, lower overall operational costs for clients, and enhance the sustainability of client locations. The majority of our Facility Services contracts are structured as cost-plus arrangements. Nearly all Facility Services contracts are obtained by competitive bidding.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Parking segment provides parking and transportation services for clients at various locations, including airports and other transportation centers, commercial office buildings, educational institutions, health facilities, hotels, and stadiums and arenas. We operate our clients’ parking facilities through three primary types of arrangements: parking reimbursement, leased location, and allowance location. Under the parking reimbursement arrangement, we manage the parking facility for a management fee, and we pass through the revenue and expenses associated with the facility to the owner. Revenues and expenses are reported in equal amounts for costs reimbursed from our managed locations. Under leased location arrangements, we generally pay to the property owner a fixed amount of rent, plus a percentage of revenues derived from monthly and transient parkers. We retain all revenues and we are responsible for most operating expenses incurred. Under allowance location arrangements, we are paid a fixed or hourly fee to provide parking services, and we are responsible for certain operating expenses, as specified in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8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Building &amp; Energy Solutions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Building &amp; Energy Solutions segment provides custom energy solutions, electrical, HVAC, lighting, and other general maintenance and repair services for clients in the public and private sectors. These services, which include bundled energy solutions, energy efficiency upgrades, installations, preventative maintenance, retro-commissioning, and retrofits are designed to extend the useful life of facility fixed assets, improve equipment operating efficiencies, reduce energy consumption, lower overall operational costs for clients, and enhance the sustainability of client locations.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support of U.S. Government entities, our Building &amp; Energy Solutions segment provides specialty service solutions, such as construction management, energy efficiency upgrades and management, healthcare support, leadership development, military base operations, and other mission support. In 2015, sales to the U.S. Government in this segment accounted for approximately 26% of revenues.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support of healthcare systems and hospitals, our Building &amp; Energy Solutions segment provides facility management and environmental services, food and nutrition services, healthcare technology management services, and patient and guest services.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This segment also franchises certain operations under franchise agreements relating to our Linc Network and TEGG brands. In 2015, these franchised operations contributed approximately 4% to this segment’s revenue.</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Building &amp; Energy Solutions contracts are structured as cost-plus arrangements, fixed-price arrangements, fixed-price repair and refurbishment arrangements, and franchise arrangements. These contracts can vary widely from industry to industry. In connection with some of these arrangements, we offer certain clients guaranteed energy savings on installed equipment. Historically, we have not incurred any losses in connection with these guarantees.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Other segment provides facility solutions to aviation service companies related to access control, aircraft cabin cleaning, certain shuttle bus operations, and passenger assistance. There were four clients that accounted for approximately 72% of revenues for this segment in 2015. We typically provide services to clients in this segment under master services agreements. These agreements are typically re-bid upon renewal and are generally structured as fixed-price arrangements, transaction-price arrangements, and hourly arrangements. Some contracts include both a fixed fee component and a variable pricing component.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Financial Information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primarily operate throughout the United States. We also operate in certain areas outside the United States, principally in the United Kingdom. For geographical financial information, see Note 19, “Segment and Geographic Information,” in the Notes to Consolidated Financial Statements. In addition, for a discussion of risks attendant to our foreign operations, see “Risk Factors,” in Item 1A.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hold various service marks, trademarks, and trade names, such as “ABM,” “ABM Building Value,” “ABM Greencare,” “ABM MPower,” “Linc Service,” and “TEGG,” which we deem important to our marketing activities and our business, and, with respect to certain of these service marks, trademarks, and trade names, to the franchising activities conducted by our Building &amp; Energy Solutions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2015, 2014, or 2013.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significant competition in each of our operating segments. Competition is based primarily on price, quality of service, and ability to anticipate and respond to industry changes. A majority of our revenues are derived from projects requiring competitive bids; however, an invitation to bid is often conditioned upon prior experience, industry expertise, and financial strength. The low cost of entry in the facility services business results in a very competitive market. We experience competition from a large number of mostly regional and local owner-operated companies that may have better visibility to local markets and significantly lower labor and overhead costs, providing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8"/>
          <w:szCs w:val="18"/>
          <w:color w:val="auto"/>
        </w:rPr>
        <w:t>them with a competitive advantage. We also compete indirectly with companies that can internally perform one or more of the services we provide. The competitive environment for each of our businesses is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janitorial business competes with local, regional, and national providers. On a national basis, we compete with the operating divisions of a few large, diversified facility services companies. We also compete indirectly with building owners and tenants who can internally perform one or more of the services we provide. These building owners and tenants have an increased advantage in locations where our services are subject to sales tax and internal operations are not. Competitors of our janitorial business include: Able Services; Aramark; DTZ; GCA Services Group, Inc.; Harvard Maintenance; and ISS.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Services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Competition related to our Facility Services segment is based on technical expertise, price, and quality of service. Our ability to attract and retain qualified personnel depends on workforce availability and our ability to successfully compete for persons having the necessary skills and experience. On a national basis, we compete with the operating divisions of many large, diversified facility services companies. Competitors of our Facility Services business include: Able Services; Aramark; CBRE Group, Inc., and DTZ.</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parking business competes with local, regional, and national parking management companies. On a national basis, we compete with a small number of parking management companies, including LAZ Parking and SP Plus Corporation. We compete directly with many local and regional parking companies. We also compete indirectly with aviation service companies, hotels, municipalities, and other entities that manage their own parking facilities, potentially eliminating those facilities as management or lease opportunities for us. Additionally, the construction of new parking facilities near our existing facilities can adversely affect our business. We also face significant competition in our efforts to provide ancillary services, such as shuttle transportation services and parking enforcement, because several large companies specialize in these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&amp; Energy Solutions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Competition related to our Building &amp; Energy Solutions segment is based on technical expertise, the availability of qualified personnel and managers, service innovation, reputation, past contract performance, industry experience, geographic reach, mobility, price, and quality of service. Our ability to attract and retain qualified personnel depends on workforce availability and our ability to successfully compete for persons having the necessary skills and experience.</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a national basis, we compete with the operating divisions of many large, diversified facility services companies. We also compete with smaller, more specialized companies that concentrate their resources on particular geographic areas.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intense competition for available U.S. Government business. Current trends in the U.S. Government contracting process, which include fewer sole source awards, more emphasis on cost competitiveness, and increased set-aside awards for small and/or disadvantaged businesses, have increased competition for U.S. Government contracts and increased pricing pressure. The U.S. Government’s increased use of set-aside awards makes it advantageous for us to increase the percentage of business we pursue through strategic joint ventures.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Within our healthcare support services business, we face significant competition from several large, global competitors as well as hospitals and health systems providing their own services “in house.” In addition, consolidation in the healthcare industry is leading to a smaller hospital base. Healthcare reform related to the Patient Protection and Affordable Care Act is changing the marketplace and may result in increased competition. This has the combined effect of compressing margins on existing business while increasing demand for outsourced services in general.</w:t>
      </w:r>
    </w:p>
    <w:p>
      <w:pPr>
        <w:spacing w:after="0" w:line="20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Competitors of our Building &amp; Energy Solutions business include: Aramark; Comfort Systems USA, Inc.; Delta Tucker Holdings, Inc.; Emcor Group, Inc.; IAP Worldwide Services, Inc.; J&amp;J Worldwide Services; and Siemens AG.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8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related to the Air Serv business is based on reputation, expertise, price, and quality of service. We experience competition on a local, regional, national, and international basis with a large and diverse set of aviation services companies. We also compete indirectly with airlines that manage their own aviation services on an “insourced basis,” as that eliminates those operations as opportunities for us. Competitors of our Air Serv business include: Command Security Corporation; G2 Secure Staff, LLC; G4S plc; ISS; John Menzies plc; Mitie Group plc; OCS Group Limited; Prospect Aviation Corporation; SMS Holdings Corp; and Swissport International, LTD.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sales and marketing efforts are conducted by our corporate, subsidiary, regional, branch, and district offices and are managed within our contract resource management and marketing automation systems. Sales, marketing, management, and operations personnel in each of these offices participate directly in selling to and servicing clients. The broad geographic coverage of these offices enables us to provide a full range of facility solutions through intra-company sales referrals, multi-service sales, and national account sales.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our operations. In addition, from time to time we are involved in environmental matters at certain of our locations or in connection with our operations. Historically, the cost of complying with environmental laws or resolving environmental issues relating to United States locations or operations has not had a material adverse effect on our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October 31, 2015, we employed approximately 120,000 employees. Approximately 66,000 of these employees are covered under collective bargaining agreements, and approximately 7,500 of our employees have executive, managerial, supervisory, administrative, professional, sales, marketing, office, or clerical responsibilities.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Registrant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31, 2015, Scott Salmirs, 53, became president and chief executive officer of ABM, succeeding Henrik Slipsager, who led our Company since 2000, as part of a planned succession process. On April 7, 2015, we named Anthony Scaglione, 43, chief financial officer, as successor to James S. Lusk, who had served in that role since January 2008. Biographical information about Messrs. Salmirs and Scaglione and our other executive officers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Executive Officers on December 17, 2015</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20" w:type="dxa"/>
            <w:vAlign w:val="bottom"/>
            <w:tcBorders>
              <w:bottom w:val="single" w:sz="8" w:color="CCEEFF"/>
            </w:tcBorders>
          </w:tcPr>
          <w:p>
            <w:pPr>
              <w:spacing w:after="0"/>
              <w:rPr>
                <w:sz w:val="19"/>
                <w:szCs w:val="19"/>
                <w:color w:val="auto"/>
              </w:rPr>
            </w:pP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Principal Occupations and Business Experience</w:t>
            </w:r>
          </w:p>
        </w:tc>
        <w:tc>
          <w:tcPr>
            <w:tcW w:w="0" w:type="dxa"/>
            <w:vAlign w:val="bottom"/>
          </w:tcPr>
          <w:p>
            <w:pPr>
              <w:spacing w:after="0"/>
              <w:rPr>
                <w:sz w:val="1"/>
                <w:szCs w:val="1"/>
                <w:color w:val="auto"/>
              </w:rPr>
            </w:pPr>
          </w:p>
        </w:tc>
      </w:tr>
      <w:tr>
        <w:trPr>
          <w:trHeight w:val="229"/>
        </w:trPr>
        <w:tc>
          <w:tcPr>
            <w:tcW w:w="30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Scott Salmirs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of ABM since March 2015; Executive Vice</w:t>
            </w:r>
          </w:p>
        </w:tc>
        <w:tc>
          <w:tcPr>
            <w:tcW w:w="0" w:type="dxa"/>
            <w:vAlign w:val="bottom"/>
          </w:tcPr>
          <w:p>
            <w:pPr>
              <w:spacing w:after="0"/>
              <w:rPr>
                <w:sz w:val="1"/>
                <w:szCs w:val="1"/>
                <w:color w:val="auto"/>
              </w:rPr>
            </w:pPr>
          </w:p>
        </w:tc>
      </w:tr>
      <w:tr>
        <w:trPr>
          <w:trHeight w:val="95"/>
        </w:trPr>
        <w:tc>
          <w:tcPr>
            <w:tcW w:w="3080" w:type="dxa"/>
            <w:vAlign w:val="bottom"/>
            <w:gridSpan w:val="2"/>
            <w:vMerge w:val="continue"/>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700" w:type="dxa"/>
            <w:vAlign w:val="bottom"/>
            <w:vMerge w:val="restart"/>
            <w:shd w:val="clear" w:color="auto" w:fill="CCEEFF"/>
          </w:tcPr>
          <w:p>
            <w:pPr>
              <w:ind w:left="20"/>
              <w:spacing w:after="0" w:line="202" w:lineRule="exact"/>
              <w:rPr>
                <w:sz w:val="20"/>
                <w:szCs w:val="20"/>
                <w:color w:val="auto"/>
              </w:rPr>
            </w:pPr>
            <w:r>
              <w:rPr>
                <w:rFonts w:ascii="Arial" w:cs="Arial" w:eastAsia="Arial" w:hAnsi="Arial"/>
                <w:sz w:val="18"/>
                <w:szCs w:val="18"/>
                <w:color w:val="auto"/>
              </w:rPr>
              <w:t>President of ABM from September 2014 to March 2015, with global responsibility</w:t>
            </w:r>
          </w:p>
        </w:tc>
        <w:tc>
          <w:tcPr>
            <w:tcW w:w="0" w:type="dxa"/>
            <w:vAlign w:val="bottom"/>
          </w:tcPr>
          <w:p>
            <w:pPr>
              <w:spacing w:after="0"/>
              <w:rPr>
                <w:sz w:val="1"/>
                <w:szCs w:val="1"/>
                <w:color w:val="auto"/>
              </w:rPr>
            </w:pPr>
          </w:p>
        </w:tc>
      </w:tr>
      <w:tr>
        <w:trPr>
          <w:trHeight w:val="107"/>
        </w:trPr>
        <w:tc>
          <w:tcPr>
            <w:tcW w:w="2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 ABM’s aviation division and all international activities; Executive Vice President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of Onsite Services division focused on the Northeast from 2003 to September</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Member of the Board of Directors of ABM since January 2015.</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D. Anthony Scaglione</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of ABM since April 2015;</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Senior Vice President, Treasurer and Mergers and Acquisitions of ABM from</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January 2012 to April 2015; Vice President and Treasurer of ABM from June 2009</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to  January  2012.  Chairman  of  the  Board  of  the  Association  for  Financial</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Professionals, the professional society that represents finance executives globally,</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since November 2014.</w:t>
            </w:r>
          </w:p>
        </w:tc>
        <w:tc>
          <w:tcPr>
            <w:tcW w:w="0" w:type="dxa"/>
            <w:vAlign w:val="bottom"/>
          </w:tcPr>
          <w:p>
            <w:pPr>
              <w:spacing w:after="0"/>
              <w:rPr>
                <w:sz w:val="1"/>
                <w:szCs w:val="1"/>
                <w:color w:val="auto"/>
              </w:rPr>
            </w:pPr>
          </w:p>
        </w:tc>
      </w:tr>
      <w:tr>
        <w:trPr>
          <w:trHeight w:val="35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P. McClure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of ABM since September 2002, with responsibility for the</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Onsite Services business since November 2012; President of ABM Janitorial</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its predecessors since 2001.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Sarah Hlavinka McConnell</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Corporate Secretary of ABM since</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September 2014; Senior Vice President, General Counsel and Corporate Secretary</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of ABM from May 2008 to September 2014; Senior Vice President and Deputy</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General Counsel of ABM from September 2007 to May 2008; Vice President,</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Assistant General Counsel, and Secretary of Fisher Scientific International Inc.</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from December 2005 to November 2006. Member of the Board of Directors of</w:t>
            </w:r>
          </w:p>
        </w:tc>
        <w:tc>
          <w:tcPr>
            <w:tcW w:w="0" w:type="dxa"/>
            <w:vAlign w:val="bottom"/>
          </w:tcPr>
          <w:p>
            <w:pPr>
              <w:spacing w:after="0"/>
              <w:rPr>
                <w:sz w:val="1"/>
                <w:szCs w:val="1"/>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Cigna Life Insurance Company of New York since February 2013.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Dean A. Chin</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Accounting Officer, and Corporate Controller of ABM</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since June 2010; Vice President and Assistant Controller of ABM from June 2008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 June 2010; Director of Finance, Reader’s Digest Association, Inc. from March</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2005 to March 2008; Senior Manager, Audit and Business Advisory Services, Ernst</w:t>
            </w: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&amp; Young, LLP from July 2001 to January 2005.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David L. Farwell</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Senior Vice President, Investor Relations of ABM since June 2009; Senior Vice</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Pr>
          <w:p>
            <w:pPr>
              <w:ind w:left="20"/>
              <w:spacing w:after="0" w:line="202" w:lineRule="exact"/>
              <w:rPr>
                <w:sz w:val="20"/>
                <w:szCs w:val="20"/>
                <w:color w:val="auto"/>
              </w:rPr>
            </w:pPr>
            <w:r>
              <w:rPr>
                <w:rFonts w:ascii="Arial" w:cs="Arial" w:eastAsia="Arial" w:hAnsi="Arial"/>
                <w:sz w:val="18"/>
                <w:szCs w:val="18"/>
                <w:color w:val="auto"/>
              </w:rPr>
              <w:t>President, Chief of Staff, and Treasurer of ABM from September 2005 through May</w:t>
            </w:r>
          </w:p>
        </w:tc>
        <w:tc>
          <w:tcPr>
            <w:tcW w:w="0" w:type="dxa"/>
            <w:vAlign w:val="bottom"/>
          </w:tcPr>
          <w:p>
            <w:pPr>
              <w:spacing w:after="0"/>
              <w:rPr>
                <w:sz w:val="1"/>
                <w:szCs w:val="1"/>
                <w:color w:val="auto"/>
              </w:rPr>
            </w:pPr>
          </w:p>
        </w:tc>
      </w:tr>
    </w:tbl>
    <w:p>
      <w:pPr>
        <w:ind w:left="4720" w:right="60"/>
        <w:spacing w:after="0" w:line="246" w:lineRule="auto"/>
        <w:rPr>
          <w:sz w:val="20"/>
          <w:szCs w:val="20"/>
          <w:color w:val="auto"/>
        </w:rPr>
      </w:pPr>
      <w:r>
        <w:rPr>
          <w:rFonts w:ascii="Arial" w:cs="Arial" w:eastAsia="Arial" w:hAnsi="Arial"/>
          <w:sz w:val="18"/>
          <w:szCs w:val="18"/>
          <w:color w:val="auto"/>
        </w:rPr>
        <w:t>2009; Vice President and Treasurer of ABM from August 2002 through August 2005.</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required to file Annual Reports on Form 10-K, Quarterly Reports on Form 10-Q, Current Reports on Form 8-K, and other information with the Securities and Exchange Commission (“SEC”). The public may read and copy any materials that we file with the SEC at the SEC’s Public Reference Room at 100 F Street, NE, Washington, D.C. 20549. Information on the operation of the Public Reference Room may be obtained by calling the SEC at 1-800-SEC-0330. In addition, the SEC maintains an internet site at www.sec.gov that contains reports, proxy and information statements, and other information regarding issuers that file electronically with the SEC.</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those reports filed or furnished pursuant to Section 13(a) or 15(d) of the Securities Exchange Act of 1934 are also available free of charge on our internet site at www.abm.com as soon as reasonably practicable after such reports are electronically filed with or furnished to the SEC. We provide references to our website for your convenience, but our website does not constitute, and should not be viewed as, a part of this Annual Report, and our website is not incorporated into this or any of our other filings with the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our businesses, operating structure, capital structure, or personnel relating to the implementation of our 2020 Vision strategic transformation initiative may not have the desired effects on our financial condition and results of operations.</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September 2, 2015, our Board of Directors approved a comprehensive strategy intended to have a positive transformative effect on ABM (the “2020 Vision”). This strategy identified a number of key priorities designed to differentiate ABM, accelerate revenue growth, and improve our margin profile. The 2020 Vision is expected to provide benefits that will depend, in part, on our successful execution of the strategy and the realization of anticipated growth opportunities and margin improvements. In addition, these benefits will also be impacted by expected efficiencies from the realignment of our business operations into five industry verticals (i.e., Aviation, Business and Industry, Education, Healthcare, and High Tech) to better support specific industries and deliver improved client solutions. In order to successfully execute our 2020 Vision, we must be able to attract and retain qualified personnel and provide development opportunities for our employees. Our success in realizing these growth opportunities, margin improvements, efficiencies, and talent pool enhancements (and the corresponding timing of this realization) are dependent on the successful execution of this strategy. We may not be able to execute on this strategy as a result of, among other things, client resistance to an integrated approach, the challenges of our vertical marketing strategy, difficulty in penetrating certain markets, inability to deliver end-to-end services requested, inability to acquire vertical market expertise, competition from integrated facility solutions providers, as well as increased competition from single service providers or module providers.</w:t>
      </w:r>
    </w:p>
    <w:p>
      <w:pPr>
        <w:spacing w:after="0" w:line="211" w:lineRule="exact"/>
        <w:rPr>
          <w:sz w:val="20"/>
          <w:szCs w:val="20"/>
          <w:color w:val="auto"/>
        </w:rPr>
      </w:pPr>
    </w:p>
    <w:p>
      <w:pPr>
        <w:jc w:val="both"/>
        <w:ind w:firstLine="208"/>
        <w:spacing w:after="0" w:line="252" w:lineRule="auto"/>
        <w:rPr>
          <w:sz w:val="20"/>
          <w:szCs w:val="20"/>
          <w:color w:val="auto"/>
        </w:rPr>
      </w:pPr>
      <w:r>
        <w:rPr>
          <w:rFonts w:ascii="Arial" w:cs="Arial" w:eastAsia="Arial" w:hAnsi="Arial"/>
          <w:sz w:val="18"/>
          <w:szCs w:val="18"/>
          <w:color w:val="auto"/>
        </w:rPr>
        <w:t>Even if we are able to execute our 2020 Vision, we may not realize the full benefits that we currently expect within the anticipated time frame or at all. For example, although we may be able to leverage scale to manage costs more efficiently and effectively, the realignment of our business operations may not provide us with the anticipated competitive advantage or revenue growth. Moreover, we may incur substantial expenses in connection with the execution of our 2020 Vision in excess of what is currently forecast. While we anticipate that certain expenses will be incurred, such expenses are difficult to estimate accurately and may exceed current estimates. Accordingly, the benefits from our 2020 Vision may be offset by costs or delays incurred in its execution. In addition, our 2020 Vision may cause substantial disruption to our operations and may not have the anticipated positive effects on our relationships with our employees, clients, and suppliers.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We have high deductibles for certain insurable risks, and therefore we are subject to volatility associated with those risks, including the possibility that our risk management and safety programs may not have the intended effect of allowing us to reduce our insurance costs for casualty programs and that our insurance reserves may need to be materially adjusted from time to time.</w:t>
      </w:r>
    </w:p>
    <w:p>
      <w:pPr>
        <w:spacing w:after="0" w:line="1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Our business may be negatively affected if our insurance proves to be inadequate or unavailable. We attempt to mitigate these risks through the implementation of company-wide safety and loss control efforts designed to decrease the incidence of events that might increase our liability. However, these risk mitigation efforts have not yet produced the desired effects and there can be no assurance that they will in the future.</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Although we engage third-party experts to assist us in estimating appropriate insurance accounting reserves, the determination of the required reserves is dependent upon significant actuarial judgments that have a material impact on our reserves. We use the results of the actuarial review to estimate our insurance rates and our insurance reserves for future periods as well as to adjust reserves, if appropriate, for prior years. Actual experience related to our insurance reserves can materially impact results, causing significant volatility in our operating results. We have experienced material negative trends and may continue to experience these and other material negative trends in future periods.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continuing claim management efforts could increase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color w:val="auto"/>
        </w:rPr>
        <w:t>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captive insurance company may not bring us the benefits we expect.</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formed a wholly-owned captive insurance company (“IFM Assurance Company”). Among other things, IFM Assurance Company is expected to better position our risk and safety programs and provide us with increased flexibility in the end-to-end management of our insurance programs as well as contribute to efficiencies relating to our insurance programs over time. There can be no assurance that IFM Assurance Company will bring about the intended benefits relating to our risk and safety programs or that it will provide us with increased flexibility in the management of our insurance programs, because we may experience unanticipated events that will reduce or eliminate anticipated benefits. In addition, expected cash tax savings related to coverage provided by IFM Assurance Company may not materialize, or any cash tax savings may not be as much as anticipated.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acquisition strategy may adversely impact our results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past, a significant portion of our growth has been generated by acquisitions, and we expect to continue to acquire businesses in the future as part of our growth strategy. A slowdown in the pace or size of our acquisitions could lead to a slower growth rate. There can be no assurance that any acquisition we make in the future will provide us with the benefits that we anticipate when entering into the transaction. The process of integrating an acquired business may create unforeseen difficulties and expenses. The areas in which we may face risks in connection with any potential acquisition of a business include, but are not limited to:</w:t>
      </w:r>
    </w:p>
    <w:p>
      <w:pPr>
        <w:spacing w:after="0" w:line="1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time and focus may be diverted from operating our business to acquisition integration;</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clients or key employees of an acquired business may not remain, which could negatively impact our ability to grow that acquired business;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of the acquired business’s accounting, information technology, human resources, and other administrative systems may fail to permit effective management and expense reduction;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implementing internal controls, procedures, and policies appropriate for a public company in an acquired business that lacked some of these controls, procedures, and policies may fail;</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indebtedness incurred as a result of an acquisition may impact our financial position, results of operations, and cash flows;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or unknown liabilities may arise relating to the acquired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intense competition that can constrain our ability to gain business as well as our profitability.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revenues are derived from projects requiring competitive bids; however, an invitation to bid is often conditioned upon prior experience, industry expertise, and financial strength. The low cost of entry in the facility solutions business results in a very competitive market. We experience competition from a large number of mostly regional and local owner-operated companies that may have better visibility to local markets and significantly lower labor and overhead costs, providing them with a competitive advantage. We also compete indirectly with companies that can internally perform one or more of the services we provide. These strong competitive pressures could inhibit our success in bidding for profitable business and our ability to increase prices as costs rise, thereby reducing margins.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Increases in costs that we cannot pass on to clients could affect our profitability.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negotiate many contracts under which our clients agree to pay certain costs at specified rates, including those related to: workers’ compensation; other insurance where we self-insure much of our risk; salary and salary-related expenses; and petroleum. If actual costs exceed the rates specified in the contracts, our profitability may decline unless we can negotiate increases in these rates. In addition, if our costs exceed those of our competitors, we may lose existing business unless we reduce our rates to levels that may impact future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preserve our long-term relationships with clients.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primarily provide our services pursuant to agreements that are cancelable by either party upon 30 to 90 days’ notice, which may adversely affect our results of operations. Our business associated with long-term relationships is generally more profitable than that associated with short-term relationships, because we generally incur higher initial costs on new contracts. Once these costs are expensed or fully amortized over the appropriate periods, the underlying contracts become more profitable. Our loss of long-term clients could have an adverse impact on our profitability even if we generate equivalent revenues from new clients. In addition, our clients can unilaterally decrease the amount of services we provide or terminate all services pursuant to the terms of our service agreements. Any loss of a significant number of clients could in the aggregate materially adversely affect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retaining senior management and attracting and retaining qualified personnel.</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to execute on our acquisition and organic growth strategy and to identify and pursue new opportunities. Our future success also depends, in large degree, on our continued ability to attract and retain qualified personnel. Any unplanned turnover in senior management or inability to attract and retain qualified personnel could have a negative effect on our results of operations.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are at risk of losses stemming from accidents or other incidents at facilities in which we operate, which could cause significant damage to our reputation and financial loss.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to a large extent on our relationships with our clients and our reputation for quality integrated facility solutions. Our clients’ expectations and perception of the quality of our services are in large part determined by the satisfaction they derive from contact with our managers. Any damage to our reputation may adversely affect our results of operations. The areas in which we may face risks in connection with damage to our reputation and other financial loss include, but are not limited to, the following:</w:t>
      </w:r>
    </w:p>
    <w:p>
      <w:pPr>
        <w:spacing w:after="0" w:line="150"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publicity stemming from an accident or other incident involving our facility operations could result in a negative perception of our services and the loss of existing or potential clients, which could have a material adverse effect on our business, financial condition, and results of operations.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 services in support of commercial aviation at airports in the United States and the United Kingdom. Our operations involve passenger assistance, such as wheelchair operations, aircraft cabin cleaning, janitorial services, shuttle bus operations, and access control. An accident or other incident involving our aviation support services could expose us to significant liability.</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 food and nutrition services for our healthcare clients. As such, we are subject to risks affecting the food industry, including food spoilage and food contamination. An incident involving our food and nutrition services could harm our reputation and expose us to significant liability if the consumption of our food products causes injury, illness, or death.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Negative or unexpected tax consequences could adversely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Adverse changes in the underlying profitability and financial outlook of our operations could lead to changes in our valuation allowances against deferred tax assets on our consolidated balance sheet, which could materially and adversely affect our results of operations. Additionally, changes in tax law where we have significant operations could have an adverse effect on deferred tax assets and liabilities on our consolidated balance sheets and results of operations. We are also subject to tax audits by governmental authorities in the United States and United Kingdom. Negative unexpected results from one or more such tax audits could have an adverse effect on our results of operations.</w:t>
      </w:r>
    </w:p>
    <w:p>
      <w:pPr>
        <w:spacing w:after="0" w:line="13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energy prices and government regulations could adversely impact the results of operations of our Building &amp; Energy Solutions business.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The economic benefit to the client is impacted by volatility in the price of those commodities. Downward fluctuations in commodity prices may reduce clients’ demand for our services. This could have an adverse effect on our financial position, results of operations, and cash flows.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in part, on federal and state legislation and policies that support energy efficiency projects. If current legislation or policies are adversely amended, eliminated, or not extended beyond their current expiration dates, or if funding for energy incentives is reduced or delayed, it could adversely affect our ability to obtain new business and thereby have an adverse effect on our financial position, results of operations, and cash flows.</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In some instances, we offer certain clients guaranteed energy savings on installed equipment. In the event those guaranteed savings are not achieved, we may be required to pay liquidated or other damages.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Significant delays or reductions in appropriations for our government contracts may negatively affect our business and could have an adverse effect on our financial position, results of operations, and cash flows.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funding of U.S. Government programs are subject to annual congressional budget authorization and appropriation processes. In many situations, Congress appropriates funds on a fiscal year basis even though the contract performance period may extend over several fiscal years. Accordingly, programs are often partially funded and additional funds are committed only as Congress makes further appropriations. If we incur costs in excess of funds committed on a contract, we may not receive reimbursement of those costs unless additional funds are appropriated. In the event that government funding for any of the programs relating to our U.S. Government contracts is reduced or delayed, the U.S. Government could terminate or adjust our contracts or subcontracts under such program, which could have an adverse effect on our financial position, results of operations, and cash flows.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conduct some of our operations through joint ventures, and our ability to do business may be affected by the failure of our joint venture partners to perform their obligations.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success of our joint ventures depends, in large degree, on the satisfactory performance by our joint venture partners of their obligations, including any obligation to commit capital, equity, or credit support as required by the joint venture agreements. If a joint venture partner fails to perform its obligations as a result of financial or other difficulties or any other reason, the joint venture may be unable to perform or deliver its contracted services. In addition, we also participate in joint ventures where we are not a controlling party, and in these cases, we may have limited control over the joint venture.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improper actions by our joint venture employees, partners, or agents, including, but not limited to, failure to comply with the U.S. Foreign Corrupt Practice Act or the U.K. Bribery Act, could result in civil or criminal investigations, monetary and non-monetary penalties, or suspension or debarment from government contracts, any of which could have an adverse effect on our financial position, results of operations, or cash flows as well as our reputation and ability to conduct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negatively affected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including fluctuations in temperatures, snow storms, heavy flooding, hurricanes, and natural disasters, can negatively impact portions of our business. Within our Building &amp; Energy Solutions segment, adverse weather conditions, particularly during the winter season, could impact certain of our services which require us to perform work outdoors. Within the Parking and Other segments, snow can lead to reduced travel activity, as well as increases in certain costs, both of which negatively affect gross profit. On the other hand, the absence of snow during the winter could cause us to experience reduced revenues in our Janitorial segment. Cooler than normal temperatures during the summer months could reduce the need for our Building &amp; Energy Solutions services, particularly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jc w:val="both"/>
        <w:ind w:right="20"/>
        <w:spacing w:after="0" w:line="262" w:lineRule="auto"/>
        <w:rPr>
          <w:sz w:val="20"/>
          <w:szCs w:val="20"/>
          <w:color w:val="auto"/>
        </w:rPr>
      </w:pPr>
      <w:r>
        <w:rPr>
          <w:rFonts w:ascii="Arial" w:cs="Arial" w:eastAsia="Arial" w:hAnsi="Arial"/>
          <w:sz w:val="18"/>
          <w:szCs w:val="18"/>
          <w:color w:val="auto"/>
        </w:rPr>
        <w:t>in our businesses that provide or service air conditioning units, and result in reduced revenues and profitability during the period such unseasonal weather conditions persist.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health care reform legislation may adversely affect our business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2010, the Patient Protection and Affordable Care Act and the Health Care and Education Reconciliation Act of 2010 were signed into law in the United States (collectively, the “Health Care Reform Laws”). The Health Care Reform Laws require large employers to provide a minimum level of health insurance for all qualifying employees or pay penalties for not providing such coverage. In addition, the Health Care Reform Laws establish new regulations on health plans. Accordingly, we could incur costs associated with: i) providing additional health insurance benefits; ii) the payment of penalties if the minimum level of coverage is not provided; and iii) the filing of additional information with the Internal Revenue Service to comply with these laws. If we are unable to raise the rates we charge our clients to cover these expenses, our operating profit could be negatively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continuity risks associated with centralization of certain administrative functions.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administrative functions, primarily in North America, have been regionally centralized to improve efficiency and reduce costs. To the extent these central locations are disrupted or disabled for a long period of time due to crisis, natural disaster, or other business interruption, key business processes, such as accounts payable, information technology, payroll, and general management operations, could be interrupted.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in areas of military conflict expose us to additional risks.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substantially all of our operations are conducted in the United States, the services we provide internationally, including through the use of subcontractors, are sometimes in areas of military conflict or at military installations, which increases the risk of a situation causing injury or loss of life to our employees, subcontractors, or other third parties. In addition to the human costs, this could have an adverse effect on our financial position, results of operations, or cash flows and our ability to conduct business.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cyber-security risks arising out of breaches of security relating to sensitive company, client, and employee information and to the technology that manages our operations and other business processes.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business operations rely upon secure information technology systems for data capture, processing, storage, and reporting. Despite careful security and controls design, our information technology systems and those of our third-party providers could become subject to cyber attacks. Network, system, application, and data breaches could result in operational disruptions or information misappropriation. Theft of intellectual property or trade secrets and inappropriate disclosure of confidential information could stem from such incidents. Any such operational disruption and/or misappropriation of information could result in lost sales, negative publicity, or business delays and could have a material adverse effect on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 and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commercial office building occupancy and rental rates could affect our revenues and profitability.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revenues are affected by commercial real estate occupancy levels. In certain geographic areas and service lines, our most profitable revenues come from what is known as tag work. These services are performed for tenants in buildings in which we perform building services for the property owner or management company. A decline in occupancy rates could result in a decline in scope of work, including tag work, and depressed prices for our services. If this were to occur, we could experience lower revenues and pricing pressures resulting in lower margins. Additionally, further consolidation of property management companies, as well as adverse changes in occupancy rates may further reduce demand, depress prices for our services, and cause our clients to cancel their service agreements with us. This could reduce earnings and adversely affect our business and results of operations.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Deterioration in general economic conditions could reduce the demand for facility services and, as a result, reduce our earnings and adversely affect our financial condition.</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Slow domestic and international economic growth or other negative changes in global, national, and local economic conditions could have a negative impact on our business. Specifically, adverse economic conditions may result in clients cutting back on discretionary spending, such as tag work. Additionally, since a significant portion of our aviation services and parking revenues are tied to the numbers of airline passengers, hotel guests, and sports arenas attendees, results for these businesses could be adversely affected by curtailment of business or personal travel and cutbacks in discretionary spending.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Financial difficulties or bankruptcy of one or more of our clients could adversely affect our results.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revenues and our ability to collect accounts receivable depend, in part, on the financial strength of our clients. We estimate an allowance for accounts receivable that we do not consider collectible. This allowance adversely impacts our profitability. In the event clients experience financial difficulty and, in particular, if bankruptcy results, our profitability could be further impacted by a failure to collect accounts receivable in excess of the estimated allowance. Declines in our ability to collect receivables or in the level of client spending could adversely affect our results of operations and our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Indebtedness and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increase in the level of our debt or in interest rates could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future increase in the level of our debt will likely increase our interest expense. Unless the operating income associated with the use of these funds exceeds the debt expense, borrowing money could have an adverse impact on our results. In addition, incurring debt requires that a portion of cash flow from operating activities be dedicated to interest payments and principal payments, thereby reducing our ability to use our cash flow to fund operations and capital expenditures or to capitalize on future business opportunities. Because current interest rates on our debt are variable, an increase in prevailing rates would increase our interest costs. Further, our syndicated credit agreement contains both financial covenants and other covenants that limit our ability to engage in specified transactions, which may also constrain our flexibility.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pay our debt obligations depends upon our access to cash.</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we conduct business operations through operating subsidiaries, we depend on those entities to generate the funds necessary to meet financial obligations. Delays in collections, which could be heightened by disruptions in the credit markets and the financial services industry, or legal restrictions could restrict our subsidiaries’ ability to make distributions or loans to us. The earnings from, or available assets of, these operating subsidiaries may not be sufficient to fund operations. If this were to occur, we could become unable to make distributions to pay interest on our debt obligations when due or to pay the principal of such debt. In addition, we have standby letters of credit and insurance deposits that represent amounts collateralizing self-insurance claims that we cannot access for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charges could have a material adverse effect on our financial condition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fiscal fourth quarter, August 1st, the annual impairment assessment date for goodwill. However, we could be required to evaluate the recoverability of goodwill prior to the annual assessment if we experience a significant change in the business climate, legal factors, operating performance indicators, competition, or sale or disposition of a significant portion of one of our businesses. If the fair value of one of our reporting units is less than its carrying value, we would record an impairment for the excess of the carrying amount over the estimated fair value. The valuation of our reporting units requires significant judgment in evaluation of recent indicators of market activity and estimated future cash flows, discount rates, and other factors. The amount of any impairment could have a material adverse effect on our reported financial results for the period in which the charge is taken.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may adversely affect our operating results.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our long-lived assets for impairment whenever events or changes in circumstances indicate that the carrying amount of such assets may not be recoverable. These events and circumstances include, but are not limited to, a current expectation that a long-lived asset will be disposed of significantly before the end of its previously estimated useful life, a significant adverse change in the extent or manner in which we use a long-lived asset, or a change in its physical condition. When this occurs, a recoverability test is performed that compares the projected undiscounted cash flows from the use and eventual disposition of an asset or asset group to its carrying amount. If as a result of this test we conclude that the projected undiscounted cash flows are less than the carrying amount, an impairment would be recorded for the excess of the carrying amount over the estimated fair value. The amount of any impairment could have a material adverse effect on our reported financial results for the period in which the charge is taken.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Labor and Legal Proceedings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defendants in class and representative actions and other lawsuits alleging various claims that could cause us to incur substantial liabilities.</w:t>
      </w:r>
    </w:p>
    <w:p>
      <w:pPr>
        <w:spacing w:after="0" w:line="1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by our employees of discrimination or harassment directed at them, including claims relating to actions of our clients; claims related to the employment of undocumented workers or unlicensed personnel; and claims for violations of wage and hour requirements. Some or all of these claims may lead to litigation, including class action litigation, and these matters may cause us to incur negative publicity with respect to these problems. Our insurance will not cover all claims that may be asserted against us. In addition, it is not possible to predict the outcome of these lawsuits or any other proceeding to which we may be subject. These lawsuits and other proceedings may consume substantial amounts of our financial and managerial resources, regardless of the ultimate outcome of the lawsuits and other proceedings. An unfavorable outcome with respect to these lawsuits and any future lawsuits could, individually or in the aggregate, cause us to incur substantial liabilities that could have a material adverse effect upon our business, reputation, financial condition, or results of operations.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immigration laws or enforcement actions or investigations under such laws could significantly adversely affect our labor force, operations, and financial results.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many of our jobs do not require our employees to be able to read or write the English language, we are an attractive employer for recent émigrés to this country. While immigration laws require us to take certain steps intended to confirm the legal status of our immigrant labor force, and while we bolster these steps with additional measures designed to reinforce compliance, we may nonetheless inadvertently employ workers who are or become undocumented. Violations of laws and regulations could subject us to substantial fines and penalties. To the extent that these laws and regulations and corresponding enforcement practices and compliance standards become more stringent, our expenses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could lead to loss of revenues or expense variations.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At October 31, 2015, approximately 55% of our employees were subject to various local collective bargaining agreements, some of which will expire or become subject to renegotiation during 2016. In addition, at any given time we may face a number of union organizing drives. When one or more of our major collective bargaining agreements becomes subject to renegotiation or when we face union organizing drives, we and the union may disagree on important issues that could lead to a strike, work slowdown, or other job actions at one or more of our locations. In a market where we and a number of major competitors are unionized, but other competitors are not unionized, we could lose clients to competitors who are not unionized. A strike, work slowdown, or other job action could in some cases disrupt us from providing services, resulting in reduced revenues. If declines in client service occur or if our clients are targeted for sympathy strikes by other unionized workers, contract cancellations could result. Moreover, negotiating a first time agreement or renegotiating an existing collective bargaining agreement could result in a substantial increase in labor and benefits expenses that we may be unable to pass through to clients.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participate in multiemployer pension plans that under certain circumstances could result in material liabilities being incurred.</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generally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if we withdraw from a multiemployer pension plan, under applicable law we potentially could incur material liabilities. We further discuss our participation in multiemployer pension and postretirement plans in Note 14, “Employee Benefit Plans,” in the Notes to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Actions of activist investors could be disruptive and costly and could cause uncertainty about the strategic direction of our business.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Public companies have been the target of activist investors. In the event that a third party, such as an activist investor, proposes to change our governance policies or board of directors or makes other proposals concerning our operations, our review and consideration of such proposals may create a significant distraction for our management and employees. This could negatively impact our ability to execute our 2020 Vision and may require us to expend significant time and resources. Such proposals may also create uncertainties with respect to our financial position and operations and may adversely affect our ability to attract and retain key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Disasters or acts of terrorism could disrupt services.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Storms, earthquakes, drought, floods, other disasters, or acts of terrorism may result in reduced revenues or property damage. Disasters may also cause economic dislocations throughout the country. In addition, disasters or acts of terrorism may increase the volatility of financial results, due to increased costs caused by the disaster with partial or no corresponding compensation from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principal executive office is located at 551 Fifth Avenue, Suite 300, New York, New York 10176. Below is a summary of our principal properties as of October 31, 2015, which consist primarily of our executive offices, including IT datacenters and shared services.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rPr>
              <w:t>Lease Expiration Date,</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22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b w:val="1"/>
                <w:bCs w:val="1"/>
                <w:color w:val="auto"/>
              </w:rPr>
              <w:t>Location</w:t>
            </w:r>
          </w:p>
        </w:tc>
        <w:tc>
          <w:tcPr>
            <w:tcW w:w="2440" w:type="dxa"/>
            <w:vAlign w:val="bottom"/>
            <w:tcBorders>
              <w:bottom w:val="single" w:sz="8" w:color="auto"/>
            </w:tcBorders>
          </w:tcPr>
          <w:p>
            <w:pPr>
              <w:jc w:val="center"/>
              <w:ind w:left="66"/>
              <w:spacing w:after="0"/>
              <w:rPr>
                <w:sz w:val="20"/>
                <w:szCs w:val="20"/>
                <w:color w:val="auto"/>
              </w:rPr>
            </w:pPr>
            <w:r>
              <w:rPr>
                <w:rFonts w:ascii="Arial" w:cs="Arial" w:eastAsia="Arial" w:hAnsi="Arial"/>
                <w:sz w:val="18"/>
                <w:szCs w:val="18"/>
                <w:b w:val="1"/>
                <w:bCs w:val="1"/>
                <w:color w:val="auto"/>
                <w:w w:val="99"/>
              </w:rPr>
              <w:t>Character of Office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shd w:val="clear" w:color="auto" w:fill="CCEEFF"/>
          </w:tcPr>
          <w:p>
            <w:pPr>
              <w:jc w:val="center"/>
              <w:ind w:left="26"/>
              <w:spacing w:after="0"/>
              <w:rPr>
                <w:sz w:val="20"/>
                <w:szCs w:val="20"/>
                <w:color w:val="auto"/>
              </w:rPr>
            </w:pPr>
            <w:r>
              <w:rPr>
                <w:rFonts w:ascii="Arial" w:cs="Arial" w:eastAsia="Arial" w:hAnsi="Arial"/>
                <w:sz w:val="14"/>
                <w:szCs w:val="14"/>
                <w:color w:val="auto"/>
              </w:rPr>
              <w:t>Alpharetta, Georgia</w:t>
            </w:r>
          </w:p>
        </w:tc>
        <w:tc>
          <w:tcPr>
            <w:tcW w:w="2440" w:type="dxa"/>
            <w:vAlign w:val="bottom"/>
            <w:tcBorders>
              <w:bottom w:val="single" w:sz="8" w:color="CCEEFF"/>
            </w:tcBorders>
            <w:shd w:val="clear" w:color="auto" w:fill="CCEEFF"/>
          </w:tcPr>
          <w:p>
            <w:pPr>
              <w:jc w:val="center"/>
              <w:ind w:left="66"/>
              <w:spacing w:after="0"/>
              <w:rPr>
                <w:sz w:val="20"/>
                <w:szCs w:val="20"/>
                <w:color w:val="auto"/>
              </w:rPr>
            </w:pPr>
            <w:r>
              <w:rPr>
                <w:rFonts w:ascii="Arial" w:cs="Arial" w:eastAsia="Arial" w:hAnsi="Arial"/>
                <w:sz w:val="14"/>
                <w:szCs w:val="14"/>
                <w:color w:val="auto"/>
              </w:rPr>
              <w:t>IT Datacenter</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25,000</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Owned</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231"/>
        </w:trPr>
        <w:tc>
          <w:tcPr>
            <w:tcW w:w="2220" w:type="dxa"/>
            <w:vAlign w:val="bottom"/>
          </w:tcPr>
          <w:p>
            <w:pPr>
              <w:jc w:val="center"/>
              <w:ind w:left="26"/>
              <w:spacing w:after="0"/>
              <w:rPr>
                <w:sz w:val="20"/>
                <w:szCs w:val="20"/>
                <w:color w:val="auto"/>
              </w:rPr>
            </w:pPr>
            <w:r>
              <w:rPr>
                <w:rFonts w:ascii="Arial" w:cs="Arial" w:eastAsia="Arial" w:hAnsi="Arial"/>
                <w:sz w:val="14"/>
                <w:szCs w:val="14"/>
                <w:color w:val="auto"/>
              </w:rPr>
              <w:t>Atlanta, Georgia</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Shared Services</w:t>
            </w:r>
          </w:p>
        </w:tc>
        <w:tc>
          <w:tcPr>
            <w:tcW w:w="2240" w:type="dxa"/>
            <w:vAlign w:val="bottom"/>
          </w:tcPr>
          <w:p>
            <w:pPr>
              <w:jc w:val="center"/>
              <w:spacing w:after="0"/>
              <w:rPr>
                <w:sz w:val="20"/>
                <w:szCs w:val="20"/>
                <w:color w:val="auto"/>
              </w:rPr>
            </w:pPr>
            <w:r>
              <w:rPr>
                <w:rFonts w:ascii="Arial" w:cs="Arial" w:eastAsia="Arial" w:hAnsi="Arial"/>
                <w:sz w:val="14"/>
                <w:szCs w:val="14"/>
                <w:color w:val="auto"/>
              </w:rPr>
              <w:t>33,000</w:t>
            </w:r>
          </w:p>
        </w:tc>
        <w:tc>
          <w:tcPr>
            <w:tcW w:w="2340" w:type="dxa"/>
            <w:vAlign w:val="bottom"/>
          </w:tcPr>
          <w:p>
            <w:pPr>
              <w:jc w:val="center"/>
              <w:spacing w:after="0"/>
              <w:rPr>
                <w:sz w:val="20"/>
                <w:szCs w:val="20"/>
                <w:color w:val="auto"/>
              </w:rPr>
            </w:pPr>
            <w:r>
              <w:rPr>
                <w:rFonts w:ascii="Arial" w:cs="Arial" w:eastAsia="Arial" w:hAnsi="Arial"/>
                <w:sz w:val="14"/>
                <w:szCs w:val="14"/>
                <w:color w:val="auto"/>
              </w:rPr>
              <w:t>11/30/2016</w:t>
            </w:r>
          </w:p>
        </w:tc>
        <w:tc>
          <w:tcPr>
            <w:tcW w:w="2180" w:type="dxa"/>
            <w:vAlign w:val="bottom"/>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39"/>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shd w:val="clear" w:color="auto" w:fill="CCEEFF"/>
          </w:tcPr>
          <w:p>
            <w:pPr>
              <w:jc w:val="center"/>
              <w:ind w:left="26"/>
              <w:spacing w:after="0"/>
              <w:rPr>
                <w:sz w:val="20"/>
                <w:szCs w:val="20"/>
                <w:color w:val="auto"/>
              </w:rPr>
            </w:pPr>
            <w:r>
              <w:rPr>
                <w:rFonts w:ascii="Arial" w:cs="Arial" w:eastAsia="Arial" w:hAnsi="Arial"/>
                <w:sz w:val="14"/>
                <w:szCs w:val="14"/>
                <w:color w:val="auto"/>
              </w:rPr>
              <w:t>Atlanta, Georgia</w:t>
            </w:r>
          </w:p>
        </w:tc>
        <w:tc>
          <w:tcPr>
            <w:tcW w:w="2440" w:type="dxa"/>
            <w:vAlign w:val="bottom"/>
            <w:tcBorders>
              <w:bottom w:val="single" w:sz="8" w:color="CCEEFF"/>
            </w:tcBorders>
            <w:shd w:val="clear" w:color="auto" w:fill="CCEEFF"/>
          </w:tcPr>
          <w:p>
            <w:pPr>
              <w:jc w:val="center"/>
              <w:ind w:left="66"/>
              <w:spacing w:after="0"/>
              <w:rPr>
                <w:sz w:val="20"/>
                <w:szCs w:val="20"/>
                <w:color w:val="auto"/>
              </w:rPr>
            </w:pPr>
            <w:r>
              <w:rPr>
                <w:rFonts w:ascii="Arial" w:cs="Arial" w:eastAsia="Arial" w:hAnsi="Arial"/>
                <w:sz w:val="14"/>
                <w:szCs w:val="14"/>
                <w:color w:val="auto"/>
              </w:rPr>
              <w:t>Air Serv Headquarters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18,000</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10/31/2016</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31"/>
        </w:trPr>
        <w:tc>
          <w:tcPr>
            <w:tcW w:w="2220" w:type="dxa"/>
            <w:vAlign w:val="bottom"/>
          </w:tcPr>
          <w:p>
            <w:pPr>
              <w:jc w:val="center"/>
              <w:ind w:left="26"/>
              <w:spacing w:after="0"/>
              <w:rPr>
                <w:sz w:val="20"/>
                <w:szCs w:val="20"/>
                <w:color w:val="auto"/>
              </w:rPr>
            </w:pPr>
            <w:r>
              <w:rPr>
                <w:rFonts w:ascii="Arial" w:cs="Arial" w:eastAsia="Arial" w:hAnsi="Arial"/>
                <w:sz w:val="14"/>
                <w:szCs w:val="14"/>
                <w:color w:val="auto"/>
              </w:rPr>
              <w:t>Houston, Texas</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Shared Services</w:t>
            </w:r>
          </w:p>
        </w:tc>
        <w:tc>
          <w:tcPr>
            <w:tcW w:w="2240" w:type="dxa"/>
            <w:vAlign w:val="bottom"/>
          </w:tcPr>
          <w:p>
            <w:pPr>
              <w:jc w:val="center"/>
              <w:spacing w:after="0"/>
              <w:rPr>
                <w:sz w:val="20"/>
                <w:szCs w:val="20"/>
                <w:color w:val="auto"/>
              </w:rPr>
            </w:pPr>
            <w:r>
              <w:rPr>
                <w:rFonts w:ascii="Arial" w:cs="Arial" w:eastAsia="Arial" w:hAnsi="Arial"/>
                <w:sz w:val="14"/>
                <w:szCs w:val="14"/>
                <w:color w:val="auto"/>
              </w:rPr>
              <w:t>36,000</w:t>
            </w:r>
          </w:p>
        </w:tc>
        <w:tc>
          <w:tcPr>
            <w:tcW w:w="2340" w:type="dxa"/>
            <w:vAlign w:val="bottom"/>
          </w:tcPr>
          <w:p>
            <w:pPr>
              <w:jc w:val="center"/>
              <w:spacing w:after="0"/>
              <w:rPr>
                <w:sz w:val="20"/>
                <w:szCs w:val="20"/>
                <w:color w:val="auto"/>
              </w:rPr>
            </w:pPr>
            <w:r>
              <w:rPr>
                <w:rFonts w:ascii="Arial" w:cs="Arial" w:eastAsia="Arial" w:hAnsi="Arial"/>
                <w:sz w:val="14"/>
                <w:szCs w:val="14"/>
                <w:color w:val="auto"/>
              </w:rPr>
              <w:t>7/31/2017</w:t>
            </w:r>
          </w:p>
        </w:tc>
        <w:tc>
          <w:tcPr>
            <w:tcW w:w="2180" w:type="dxa"/>
            <w:vAlign w:val="bottom"/>
          </w:tcPr>
          <w:p>
            <w:pPr>
              <w:jc w:val="center"/>
              <w:spacing w:after="0"/>
              <w:rPr>
                <w:sz w:val="20"/>
                <w:szCs w:val="20"/>
                <w:color w:val="auto"/>
              </w:rPr>
            </w:pPr>
            <w:r>
              <w:rPr>
                <w:rFonts w:ascii="Arial" w:cs="Arial" w:eastAsia="Arial" w:hAnsi="Arial"/>
                <w:sz w:val="14"/>
                <w:szCs w:val="14"/>
                <w:color w:val="auto"/>
              </w:rPr>
              <w:t>All</w:t>
            </w:r>
          </w:p>
        </w:tc>
        <w:tc>
          <w:tcPr>
            <w:tcW w:w="0" w:type="dxa"/>
            <w:vAlign w:val="bottom"/>
          </w:tcPr>
          <w:p>
            <w:pPr>
              <w:spacing w:after="0"/>
              <w:rPr>
                <w:sz w:val="1"/>
                <w:szCs w:val="1"/>
                <w:color w:val="auto"/>
              </w:rPr>
            </w:pPr>
          </w:p>
        </w:tc>
      </w:tr>
      <w:tr>
        <w:trPr>
          <w:trHeight w:val="39"/>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220" w:type="dxa"/>
            <w:vAlign w:val="bottom"/>
            <w:vMerge w:val="restart"/>
            <w:shd w:val="clear" w:color="auto" w:fill="CCEEFF"/>
          </w:tcPr>
          <w:p>
            <w:pPr>
              <w:jc w:val="center"/>
              <w:ind w:left="26"/>
              <w:spacing w:after="0"/>
              <w:rPr>
                <w:sz w:val="20"/>
                <w:szCs w:val="20"/>
                <w:color w:val="auto"/>
              </w:rPr>
            </w:pPr>
            <w:r>
              <w:rPr>
                <w:rFonts w:ascii="Arial" w:cs="Arial" w:eastAsia="Arial" w:hAnsi="Arial"/>
                <w:sz w:val="14"/>
                <w:szCs w:val="14"/>
                <w:color w:val="auto"/>
              </w:rPr>
              <w:t>Houston, Texas</w:t>
            </w:r>
          </w:p>
        </w:tc>
        <w:tc>
          <w:tcPr>
            <w:tcW w:w="2440" w:type="dxa"/>
            <w:vAlign w:val="bottom"/>
            <w:vMerge w:val="restart"/>
            <w:shd w:val="clear" w:color="auto" w:fill="CCEEFF"/>
          </w:tcPr>
          <w:p>
            <w:pPr>
              <w:jc w:val="center"/>
              <w:ind w:left="66"/>
              <w:spacing w:after="0"/>
              <w:rPr>
                <w:sz w:val="20"/>
                <w:szCs w:val="20"/>
                <w:color w:val="auto"/>
              </w:rPr>
            </w:pPr>
            <w:r>
              <w:rPr>
                <w:rFonts w:ascii="Arial" w:cs="Arial" w:eastAsia="Arial" w:hAnsi="Arial"/>
                <w:sz w:val="14"/>
                <w:szCs w:val="14"/>
                <w:color w:val="auto"/>
              </w:rPr>
              <w:t>Onsite Headquarters</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11,000</w:t>
            </w: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8/31/2018</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Janitorial, Facility Services,</w:t>
            </w:r>
          </w:p>
        </w:tc>
        <w:tc>
          <w:tcPr>
            <w:tcW w:w="0" w:type="dxa"/>
            <w:vAlign w:val="bottom"/>
          </w:tcPr>
          <w:p>
            <w:pPr>
              <w:spacing w:after="0"/>
              <w:rPr>
                <w:sz w:val="1"/>
                <w:szCs w:val="1"/>
                <w:color w:val="auto"/>
              </w:rPr>
            </w:pPr>
          </w:p>
        </w:tc>
      </w:tr>
      <w:tr>
        <w:trPr>
          <w:trHeight w:val="91"/>
        </w:trPr>
        <w:tc>
          <w:tcPr>
            <w:tcW w:w="2220" w:type="dxa"/>
            <w:vAlign w:val="bottom"/>
            <w:vMerge w:val="continue"/>
            <w:shd w:val="clear" w:color="auto" w:fill="CCEEFF"/>
          </w:tcPr>
          <w:p>
            <w:pPr>
              <w:spacing w:after="0"/>
              <w:rPr>
                <w:sz w:val="7"/>
                <w:szCs w:val="7"/>
                <w:color w:val="auto"/>
              </w:rPr>
            </w:pPr>
          </w:p>
        </w:tc>
        <w:tc>
          <w:tcPr>
            <w:tcW w:w="2440" w:type="dxa"/>
            <w:vAlign w:val="bottom"/>
            <w:vMerge w:val="continue"/>
            <w:shd w:val="clear" w:color="auto" w:fill="CCEEFF"/>
          </w:tcPr>
          <w:p>
            <w:pPr>
              <w:spacing w:after="0"/>
              <w:rPr>
                <w:sz w:val="7"/>
                <w:szCs w:val="7"/>
                <w:color w:val="auto"/>
              </w:rPr>
            </w:pPr>
          </w:p>
        </w:tc>
        <w:tc>
          <w:tcPr>
            <w:tcW w:w="2240" w:type="dxa"/>
            <w:vAlign w:val="bottom"/>
            <w:vMerge w:val="continue"/>
            <w:shd w:val="clear" w:color="auto" w:fill="CCEEFF"/>
          </w:tcPr>
          <w:p>
            <w:pPr>
              <w:spacing w:after="0"/>
              <w:rPr>
                <w:sz w:val="7"/>
                <w:szCs w:val="7"/>
                <w:color w:val="auto"/>
              </w:rPr>
            </w:pPr>
          </w:p>
        </w:tc>
        <w:tc>
          <w:tcPr>
            <w:tcW w:w="2340" w:type="dxa"/>
            <w:vAlign w:val="bottom"/>
            <w:vMerge w:val="continue"/>
            <w:shd w:val="clear" w:color="auto" w:fill="CCEEFF"/>
          </w:tcPr>
          <w:p>
            <w:pPr>
              <w:spacing w:after="0"/>
              <w:rPr>
                <w:sz w:val="7"/>
                <w:szCs w:val="7"/>
                <w:color w:val="auto"/>
              </w:rPr>
            </w:pP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Parking</w:t>
            </w:r>
          </w:p>
        </w:tc>
        <w:tc>
          <w:tcPr>
            <w:tcW w:w="0" w:type="dxa"/>
            <w:vAlign w:val="bottom"/>
          </w:tcPr>
          <w:p>
            <w:pPr>
              <w:spacing w:after="0"/>
              <w:rPr>
                <w:sz w:val="1"/>
                <w:szCs w:val="1"/>
                <w:color w:val="auto"/>
              </w:rPr>
            </w:pPr>
          </w:p>
        </w:tc>
      </w:tr>
      <w:tr>
        <w:trPr>
          <w:trHeight w:val="93"/>
        </w:trPr>
        <w:tc>
          <w:tcPr>
            <w:tcW w:w="2220" w:type="dxa"/>
            <w:vAlign w:val="bottom"/>
            <w:shd w:val="clear" w:color="auto" w:fill="CCEEFF"/>
          </w:tcPr>
          <w:p>
            <w:pPr>
              <w:spacing w:after="0"/>
              <w:rPr>
                <w:sz w:val="8"/>
                <w:szCs w:val="8"/>
                <w:color w:val="auto"/>
              </w:rPr>
            </w:pPr>
          </w:p>
        </w:tc>
        <w:tc>
          <w:tcPr>
            <w:tcW w:w="244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c>
          <w:tcPr>
            <w:tcW w:w="21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220" w:type="dxa"/>
            <w:vAlign w:val="bottom"/>
            <w:vMerge w:val="restart"/>
          </w:tcPr>
          <w:p>
            <w:pPr>
              <w:jc w:val="center"/>
              <w:ind w:left="26"/>
              <w:spacing w:after="0"/>
              <w:rPr>
                <w:sz w:val="20"/>
                <w:szCs w:val="20"/>
                <w:color w:val="auto"/>
              </w:rPr>
            </w:pPr>
            <w:r>
              <w:rPr>
                <w:rFonts w:ascii="Arial" w:cs="Arial" w:eastAsia="Arial" w:hAnsi="Arial"/>
                <w:sz w:val="14"/>
                <w:szCs w:val="14"/>
                <w:color w:val="auto"/>
              </w:rPr>
              <w:t>Irvine, California</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Building &amp; Energy Solutions</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29,000</w:t>
            </w:r>
          </w:p>
        </w:tc>
        <w:tc>
          <w:tcPr>
            <w:tcW w:w="2340" w:type="dxa"/>
            <w:vAlign w:val="bottom"/>
            <w:vMerge w:val="restart"/>
          </w:tcPr>
          <w:p>
            <w:pPr>
              <w:jc w:val="center"/>
              <w:spacing w:after="0"/>
              <w:rPr>
                <w:sz w:val="20"/>
                <w:szCs w:val="20"/>
                <w:color w:val="auto"/>
              </w:rPr>
            </w:pPr>
            <w:r>
              <w:rPr>
                <w:rFonts w:ascii="Arial" w:cs="Arial" w:eastAsia="Arial" w:hAnsi="Arial"/>
                <w:sz w:val="14"/>
                <w:szCs w:val="14"/>
                <w:color w:val="auto"/>
              </w:rPr>
              <w:t>2/28/2017</w:t>
            </w:r>
          </w:p>
        </w:tc>
        <w:tc>
          <w:tcPr>
            <w:tcW w:w="2180" w:type="dxa"/>
            <w:vAlign w:val="bottom"/>
          </w:tcPr>
          <w:p>
            <w:pPr>
              <w:jc w:val="center"/>
              <w:spacing w:after="0"/>
              <w:rPr>
                <w:sz w:val="20"/>
                <w:szCs w:val="20"/>
                <w:color w:val="auto"/>
              </w:rPr>
            </w:pPr>
            <w:r>
              <w:rPr>
                <w:rFonts w:ascii="Arial" w:cs="Arial" w:eastAsia="Arial" w:hAnsi="Arial"/>
                <w:sz w:val="14"/>
                <w:szCs w:val="14"/>
                <w:color w:val="auto"/>
              </w:rPr>
              <w:t>Building &amp; Energy Solutions,</w:t>
            </w:r>
          </w:p>
        </w:tc>
        <w:tc>
          <w:tcPr>
            <w:tcW w:w="0" w:type="dxa"/>
            <w:vAlign w:val="bottom"/>
          </w:tcPr>
          <w:p>
            <w:pPr>
              <w:spacing w:after="0"/>
              <w:rPr>
                <w:sz w:val="1"/>
                <w:szCs w:val="1"/>
                <w:color w:val="auto"/>
              </w:rPr>
            </w:pPr>
          </w:p>
        </w:tc>
      </w:tr>
      <w:tr>
        <w:trPr>
          <w:trHeight w:val="91"/>
        </w:trPr>
        <w:tc>
          <w:tcPr>
            <w:tcW w:w="2220" w:type="dxa"/>
            <w:vAlign w:val="bottom"/>
            <w:vMerge w:val="continue"/>
          </w:tcPr>
          <w:p>
            <w:pPr>
              <w:spacing w:after="0"/>
              <w:rPr>
                <w:sz w:val="7"/>
                <w:szCs w:val="7"/>
                <w:color w:val="auto"/>
              </w:rPr>
            </w:pPr>
          </w:p>
        </w:tc>
        <w:tc>
          <w:tcPr>
            <w:tcW w:w="2440" w:type="dxa"/>
            <w:vAlign w:val="bottom"/>
            <w:vMerge w:val="restart"/>
          </w:tcPr>
          <w:p>
            <w:pPr>
              <w:jc w:val="center"/>
              <w:ind w:left="66"/>
              <w:spacing w:after="0"/>
              <w:rPr>
                <w:sz w:val="20"/>
                <w:szCs w:val="20"/>
                <w:color w:val="auto"/>
              </w:rPr>
            </w:pPr>
            <w:r>
              <w:rPr>
                <w:rFonts w:ascii="Arial" w:cs="Arial" w:eastAsia="Arial" w:hAnsi="Arial"/>
                <w:sz w:val="14"/>
                <w:szCs w:val="14"/>
                <w:color w:val="auto"/>
              </w:rPr>
              <w:t>Headquarters</w:t>
            </w:r>
          </w:p>
        </w:tc>
        <w:tc>
          <w:tcPr>
            <w:tcW w:w="224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rPr>
              <w:t>Facility Services</w:t>
            </w:r>
          </w:p>
        </w:tc>
        <w:tc>
          <w:tcPr>
            <w:tcW w:w="0" w:type="dxa"/>
            <w:vAlign w:val="bottom"/>
          </w:tcPr>
          <w:p>
            <w:pPr>
              <w:spacing w:after="0"/>
              <w:rPr>
                <w:sz w:val="1"/>
                <w:szCs w:val="1"/>
                <w:color w:val="auto"/>
              </w:rPr>
            </w:pPr>
          </w:p>
        </w:tc>
      </w:tr>
      <w:tr>
        <w:trPr>
          <w:trHeight w:val="87"/>
        </w:trPr>
        <w:tc>
          <w:tcPr>
            <w:tcW w:w="22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220" w:type="dxa"/>
            <w:vAlign w:val="bottom"/>
            <w:shd w:val="clear" w:color="auto" w:fill="CCEEFF"/>
          </w:tcPr>
          <w:p>
            <w:pPr>
              <w:jc w:val="center"/>
              <w:ind w:left="6"/>
              <w:spacing w:after="0"/>
              <w:rPr>
                <w:sz w:val="20"/>
                <w:szCs w:val="20"/>
                <w:color w:val="auto"/>
              </w:rPr>
            </w:pPr>
            <w:r>
              <w:rPr>
                <w:rFonts w:ascii="Arial" w:cs="Arial" w:eastAsia="Arial" w:hAnsi="Arial"/>
                <w:sz w:val="14"/>
                <w:szCs w:val="14"/>
                <w:color w:val="auto"/>
              </w:rPr>
              <w:t>New York, New York</w:t>
            </w:r>
          </w:p>
        </w:tc>
        <w:tc>
          <w:tcPr>
            <w:tcW w:w="2440" w:type="dxa"/>
            <w:vAlign w:val="bottom"/>
            <w:shd w:val="clear" w:color="auto" w:fill="CCEEFF"/>
          </w:tcPr>
          <w:p>
            <w:pPr>
              <w:jc w:val="center"/>
              <w:ind w:left="66"/>
              <w:spacing w:after="0"/>
              <w:rPr>
                <w:sz w:val="20"/>
                <w:szCs w:val="20"/>
                <w:color w:val="auto"/>
              </w:rPr>
            </w:pPr>
            <w:r>
              <w:rPr>
                <w:rFonts w:ascii="Arial" w:cs="Arial" w:eastAsia="Arial" w:hAnsi="Arial"/>
                <w:sz w:val="14"/>
                <w:szCs w:val="14"/>
                <w:color w:val="auto"/>
              </w:rPr>
              <w:t>Corporate Headquarters</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24,000</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2/28/2028</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Corporate</w:t>
            </w:r>
          </w:p>
        </w:tc>
        <w:tc>
          <w:tcPr>
            <w:tcW w:w="0" w:type="dxa"/>
            <w:vAlign w:val="bottom"/>
          </w:tcPr>
          <w:p>
            <w:pPr>
              <w:spacing w:after="0"/>
              <w:rPr>
                <w:sz w:val="1"/>
                <w:szCs w:val="1"/>
                <w:color w:val="auto"/>
              </w:rPr>
            </w:pPr>
          </w:p>
        </w:tc>
      </w:tr>
      <w:tr>
        <w:trPr>
          <w:trHeight w:val="39"/>
        </w:trPr>
        <w:tc>
          <w:tcPr>
            <w:tcW w:w="222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above properties, we have other corporate, subsidiary, regional, branch, or district offices and warehouses, and we operate parking facilities in various locations primarily in the United States. We believe that these properties are well maintained, in good operating condition, and suitable for the purposes for which they are used.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3.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 Section 226.7 proscribes only work on a rest break.” The plaintiffs filed a petition for</w:t>
      </w:r>
    </w:p>
    <w:p>
      <w:pPr>
        <w:spacing w:after="0" w:line="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review with the California Supreme Court on March 4, 2015, and on April 29, 2015, the California Supreme Court granted the plaintiffs’ petition. No date has been set for oral argument. We expect that oral argument will not be scheduled before 2016. We believe that the Appeals Court correctly ruled in our favor, and we look forward to presenting our arguments to the California Supreme Court.</w:t>
      </w:r>
    </w:p>
    <w:p>
      <w:pPr>
        <w:spacing w:after="0" w:line="13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w:t>
      </w:r>
      <w:r>
        <w:rPr>
          <w:rFonts w:ascii="Arial" w:cs="Arial" w:eastAsia="Arial" w:hAnsi="Arial"/>
          <w:sz w:val="18"/>
          <w:szCs w:val="18"/>
          <w:color w:val="auto"/>
        </w:rPr>
        <w:t>–</w:t>
      </w:r>
      <w:r>
        <w:rPr>
          <w:rFonts w:ascii="Arial" w:cs="Arial" w:eastAsia="Arial" w:hAnsi="Arial"/>
          <w:sz w:val="18"/>
          <w:szCs w:val="18"/>
          <w:i w:val="1"/>
          <w:iCs w:val="1"/>
          <w:color w:val="auto"/>
        </w:rPr>
        <w:t>Northern California, Inc., filed on January 13, 2010, in the San Francisco Superior Court (the “Bojorquez case”)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previously reported Bojorquez case the plaintiff brought suit for sexual harassment, retaliation, and failure to prevent harassment and discrimination. On May 17, 2012, a jury awarded the plaintiff approximately $ 0.8 million in damages. We appealed this decision. On April 11, 2013, the San Francisco Superior Court awarded plaintiff attorneys’ fees in the amount of $2.5 million. Oral argument relating to the appeal took place before the State of California Court of Appeal, First Appellate District (“Court of Appeal”), on May 14, 2015. On June 23, 2015, the Court of Appeal issued an order vacating the submission of the case and requesting supplemental briefing on various issues in the appeal. Pursuant to the Court of Appeal’s June 23, 2015 order, the case was resubmitted for decision on August 13, 2015. Subsequent to the resubmission of the case on August 13, 2015, the parties agreed to mediate the case. The mediation took place on September 10, 2015. The parties have agreed to a settlement in an amount that is not material.</w:t>
      </w:r>
    </w:p>
    <w:p>
      <w:pPr>
        <w:spacing w:after="0" w:line="134"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3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Plaintiffs Evelia Davila, Elizabeth Marcos, and Angelica Aguilar v. ABM Janitorial Services, Inc., ABM, Jeremias Rivera, and Rene Quintanar, filed on April 6, 2012 in the Superior Court of Los Angeles County, California (the “Davila” case). A Second Amended Complaint was filed on August 13, 2012.</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defendant in the Davila case. Plaintiffs are three former janitors who have made various allegations of sexual harassment and discrimination, assault and battery, retaliation, wrongful discharge, discrimination based on disability and age, and related claims against ABM, a former co-worker, and a former ABM human resources representative. The Court scheduled a mandatory settlement conference to take place on January 15, 2016, and trial is set to begin February 16, 2016. We have employment practices liability insurance that we believe would cover us for this case, subject to our negotiated retention.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The following table sets forth the high and low sales prices of our common stock on the New York Stock Exchange and quarterly cash dividends declared on shares of common stock for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7"/>
              </w:rPr>
              <w:t>Fiscal Quarter</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dollars)</w:t>
            </w:r>
          </w:p>
        </w:tc>
        <w:tc>
          <w:tcPr>
            <w:tcW w:w="3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Second</w:t>
            </w:r>
          </w:p>
        </w:tc>
        <w:tc>
          <w:tcPr>
            <w:tcW w:w="5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2015</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26.71</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0.160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0.160</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2014</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28.98</w:t>
            </w: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24.22</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0.155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0.155</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0.155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0.155</w:t>
            </w:r>
          </w:p>
        </w:tc>
      </w:tr>
    </w:tbl>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Approximate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Yet Be Purchased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7"/>
                <w:szCs w:val="17"/>
                <w:color w:val="auto"/>
              </w:rPr>
            </w:pP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Under the Plans</w:t>
            </w:r>
          </w:p>
        </w:tc>
        <w:tc>
          <w:tcPr>
            <w:tcW w:w="0" w:type="dxa"/>
            <w:vAlign w:val="bottom"/>
          </w:tcPr>
          <w:p>
            <w:pPr>
              <w:spacing w:after="0"/>
              <w:rPr>
                <w:sz w:val="1"/>
                <w:szCs w:val="1"/>
                <w:color w:val="auto"/>
              </w:rPr>
            </w:pPr>
          </w:p>
        </w:tc>
      </w:tr>
      <w:tr>
        <w:trPr>
          <w:trHeight w:val="212"/>
        </w:trPr>
        <w:tc>
          <w:tcPr>
            <w:tcW w:w="48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rPr>
              <w:t>or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8/1/15 - 9/1/15</w:t>
            </w:r>
          </w:p>
        </w:tc>
        <w:tc>
          <w:tcPr>
            <w:tcW w:w="2740" w:type="dxa"/>
            <w:vAlign w:val="bottom"/>
          </w:tcPr>
          <w:p>
            <w:pPr>
              <w:spacing w:after="0"/>
              <w:rPr>
                <w:sz w:val="21"/>
                <w:szCs w:val="21"/>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New Program Authorization</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63"/>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9/2/15 - 9/30/15</w:t>
            </w:r>
          </w:p>
        </w:tc>
        <w:tc>
          <w:tcPr>
            <w:tcW w:w="274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50"/>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10/1/15 - 10/31/15</w:t>
            </w:r>
          </w:p>
        </w:tc>
        <w:tc>
          <w:tcPr>
            <w:tcW w:w="27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7"/>
        </w:trPr>
        <w:tc>
          <w:tcPr>
            <w:tcW w:w="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5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Total / Average</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42" w:lineRule="auto"/>
        <w:tabs>
          <w:tab w:leader="none" w:pos="194"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On September 2, 2015, our Board of Directors approved a share repurchase program authorizing us to repurchase shares of our common stock amounting to $200.0 million. This authorization replaced our previous $50.0 million share repurchase program. As was the case with the previous program, these purchases may take place on the open market or otherwise, and all or part of the repurchases may be made pursuant to the terms of a Rule 10b5-1 plan or in privately negotiated transactions. In addition, such purchases will be made at such times and for such prices as we shall determine at our discretion. Repurchased shares are retired and returned to an authorized but unissued status. The repurchase program may be suspended or discontinued at any time without notice.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Stockholders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9, 2015, there were 2,992 registered holders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graph compares the five-year cumulative total return for our common stock against the Standard &amp; Poor’s 500 Index (“S&amp;P 500”), Standard &amp; Poor’s SmallCap 600 Index (“S&amp;P 600”), and the Russell 2000 Value Index. The annual changes for the five-year period shown on the graph are based on the assumption that $100 had been invested in ABM’s stock and in each index on October 31, 2010, and that dividends were reinvested.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our Form 10-K for the year ended October 31, 2014, we used the S&amp;P 500 for our performance graph comparison. During 2015, we determined that the S&amp;P 600 is a more appropriate index than the S&amp;P 500, because our total shareholder return performance-based awards issued to our key employees are measured against the total shareholder return of companies in the S&amp;P 600 at the time of grant. As such, for 2015 we have presented both the S&amp;P 500 and S&amp;P 600 returns in our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848985" cy="3687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INDEXED RETURNS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6"/>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Ending October 31,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Company / Index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ABM Industries Incorporated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r>
      <w:tr>
        <w:trPr>
          <w:trHeight w:val="263"/>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S&amp;P 500 Index</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195.4</w:t>
            </w:r>
          </w:p>
        </w:tc>
      </w:tr>
      <w:tr>
        <w:trPr>
          <w:trHeight w:val="27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S&amp;P SmallCap 600 Index</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r>
      <w:tr>
        <w:trPr>
          <w:trHeight w:val="257"/>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Russell 2000 Value Index</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165.0</w:t>
            </w:r>
          </w:p>
        </w:tc>
      </w:tr>
    </w:tbl>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selected financial data are derived from our consolidated financial statements. Unless otherwise noted, all information in the discussion and references to years are based on our fiscal year, which ends on October 31. The following data should be read in conjunction with Item 7., “Management’s Discussion and Analysis of Financial Condition and Results of Operations,” and Item 8.,“Financial Statements and Supplementary Data,” which include discussions of factors affecting comparability of the information shown below. In addition, in the fourth quarter of 2015, we completed the sale of our Security business. As such, all assets, liabilities, and results of operations for this segment have been reclassified to discontinued operations for all periods presented. See Note 4, “Discontinued Operations,” in the Notes to Consolidated Financial Statements for more information.</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October 31,</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r>
      <w:tr>
        <w:trPr>
          <w:trHeight w:val="216"/>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 except per share amounts)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Statements of Comprehensive Income Data: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Revenues</w:t>
            </w:r>
            <w:r>
              <w:rPr>
                <w:rFonts w:ascii="Arial" w:cs="Arial" w:eastAsia="Arial" w:hAnsi="Arial"/>
                <w:sz w:val="17"/>
                <w:szCs w:val="17"/>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4,897.8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4,649.7</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4,427.8</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3,934.4</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3,896.5</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profit</w:t>
            </w:r>
            <w:r>
              <w:rPr>
                <w:rFonts w:ascii="Arial" w:cs="Arial" w:eastAsia="Arial" w:hAnsi="Arial"/>
                <w:sz w:val="17"/>
                <w:szCs w:val="17"/>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taxes</w:t>
            </w:r>
            <w:r>
              <w:rPr>
                <w:rFonts w:ascii="Arial" w:cs="Arial" w:eastAsia="Arial" w:hAnsi="Arial"/>
                <w:sz w:val="17"/>
                <w:szCs w:val="17"/>
                <w:color w:val="auto"/>
                <w:vertAlign w:val="superscript"/>
              </w:rPr>
              <w:t>(3)</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 per common share — Basic:</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4"/>
        </w:trPr>
        <w:tc>
          <w:tcPr>
            <w:tcW w:w="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0.95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1.15</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r>
      <w:tr>
        <w:trPr>
          <w:trHeight w:val="20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Net income per common share — Diluted: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r>
      <w:tr>
        <w:trPr>
          <w:trHeight w:val="264"/>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Weighted-average common and common equivalent shares outstanding</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53.1</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Dividends declared per common share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0.640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0.620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0.600</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0.580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0.560</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Statements of Cash Flow Data: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Net cash provided by continuing operating activities</w:t>
            </w:r>
            <w:r>
              <w:rPr>
                <w:rFonts w:ascii="Arial" w:cs="Arial" w:eastAsia="Arial" w:hAnsi="Arial"/>
                <w:sz w:val="17"/>
                <w:szCs w:val="17"/>
                <w:color w:val="auto"/>
                <w:vertAlign w:val="superscript"/>
              </w:rPr>
              <w:t>(4)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147.2</w:t>
            </w:r>
          </w:p>
        </w:tc>
      </w:tr>
      <w:tr>
        <w:trPr>
          <w:trHeight w:val="297"/>
        </w:trPr>
        <w:tc>
          <w:tcPr>
            <w:tcW w:w="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October 31,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(in millions)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2011</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1,861.5</w:t>
            </w: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Trade accounts receivable, net of allowances</w:t>
            </w:r>
            <w:r>
              <w:rPr>
                <w:rFonts w:ascii="Arial" w:cs="Arial" w:eastAsia="Arial" w:hAnsi="Arial"/>
                <w:sz w:val="17"/>
                <w:szCs w:val="17"/>
                <w:color w:val="auto"/>
                <w:vertAlign w:val="superscript"/>
              </w:rPr>
              <w:t>(5)</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742.9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506.9</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Insurance recoverables</w:t>
            </w:r>
            <w:r>
              <w:rPr>
                <w:rFonts w:ascii="Arial" w:cs="Arial" w:eastAsia="Arial" w:hAnsi="Arial"/>
                <w:sz w:val="17"/>
                <w:szCs w:val="17"/>
                <w:color w:val="auto"/>
                <w:vertAlign w:val="superscript"/>
              </w:rPr>
              <w:t>(6)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Goodwill</w:t>
            </w:r>
            <w:r>
              <w:rPr>
                <w:rFonts w:ascii="Arial" w:cs="Arial" w:eastAsia="Arial" w:hAnsi="Arial"/>
                <w:sz w:val="17"/>
                <w:szCs w:val="17"/>
                <w:color w:val="auto"/>
                <w:vertAlign w:val="superscript"/>
              </w:rPr>
              <w:t>(7)</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867.5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854.7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700.9</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intangible assets, net of accumulated amortization</w:t>
            </w:r>
            <w:r>
              <w:rPr>
                <w:rFonts w:ascii="Arial" w:cs="Arial" w:eastAsia="Arial" w:hAnsi="Arial"/>
                <w:sz w:val="17"/>
                <w:szCs w:val="17"/>
                <w:color w:val="auto"/>
                <w:vertAlign w:val="superscript"/>
              </w:rPr>
              <w:t>(8)</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(9)</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300.0</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Insurance claims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341.4</w:t>
            </w:r>
          </w:p>
        </w:tc>
      </w:tr>
    </w:tbl>
    <w:p>
      <w:pPr>
        <w:spacing w:after="0" w:line="161" w:lineRule="exact"/>
        <w:rPr>
          <w:sz w:val="20"/>
          <w:szCs w:val="20"/>
          <w:color w:val="auto"/>
        </w:rPr>
      </w:pPr>
    </w:p>
    <w:p>
      <w:pPr>
        <w:jc w:val="both"/>
        <w:ind w:left="60" w:firstLine="2"/>
        <w:spacing w:after="0" w:line="256" w:lineRule="auto"/>
        <w:tabs>
          <w:tab w:leader="none" w:pos="333"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 2013 included $408.1 million associated with our acquisitions on November 1, 2012 of Air Serv Corporation (“Air Serv”), HHA Services, Inc. (“HHA”), and certain assets and liabilities of Calvert-Jones Company, Inc. (“Calvert-Jones”) (collectively, the “November 2012 Acquisitions”).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4" w:name="page25"/>
    <w:bookmarkEnd w:id="24"/>
    <w:p>
      <w:pPr>
        <w:ind w:left="280" w:hanging="278"/>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affecting comparability of operating profit consisted of the following:</w:t>
      </w:r>
    </w:p>
    <w:p>
      <w:pPr>
        <w:spacing w:after="0" w:line="171" w:lineRule="exact"/>
        <w:rPr>
          <w:rFonts w:ascii="Arial" w:cs="Arial" w:eastAsia="Arial" w:hAnsi="Arial"/>
          <w:sz w:val="18"/>
          <w:szCs w:val="18"/>
          <w:color w:val="auto"/>
        </w:rPr>
      </w:pPr>
    </w:p>
    <w:p>
      <w:pPr>
        <w:ind w:left="600" w:hanging="328"/>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Operating profit in 2015 reflected a $35.9 million adjustment to our insurance reserves related to prior year claims.</w:t>
      </w:r>
    </w:p>
    <w:p>
      <w:pPr>
        <w:spacing w:after="0" w:line="171" w:lineRule="exact"/>
        <w:rPr>
          <w:rFonts w:ascii="Arial" w:cs="Arial" w:eastAsia="Arial" w:hAnsi="Arial"/>
          <w:sz w:val="18"/>
          <w:szCs w:val="18"/>
          <w:color w:val="auto"/>
        </w:rPr>
      </w:pPr>
    </w:p>
    <w:p>
      <w:pPr>
        <w:jc w:val="both"/>
        <w:ind w:left="600" w:hanging="328"/>
        <w:spacing w:after="0" w:line="256" w:lineRule="auto"/>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Operating profit in 2013 included operating profit of $14.8 million related to the November 2012 Acquisitions, which consisted of $366.6 million of operating expenses, $16.9 million of selling, general and administrative expenses, and $9.3 million of amortization expense. Additionally, operating profit reflected a $9.5 million adjustment to increase our self-insurance reserves related to prior year claims.</w:t>
      </w:r>
    </w:p>
    <w:p>
      <w:pPr>
        <w:spacing w:after="0" w:line="147" w:lineRule="exact"/>
        <w:rPr>
          <w:rFonts w:ascii="Arial" w:cs="Arial" w:eastAsia="Arial" w:hAnsi="Arial"/>
          <w:sz w:val="18"/>
          <w:szCs w:val="18"/>
          <w:color w:val="auto"/>
        </w:rPr>
      </w:pPr>
    </w:p>
    <w:p>
      <w:pPr>
        <w:ind w:left="600" w:hanging="328"/>
        <w:spacing w:after="0" w:line="262" w:lineRule="auto"/>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Operating profit in 2012 reflected $7.4 million in certain legal and settlement fees and a $6.4 million adjustment to increase our self-insurance reserves related to prior year claims.</w:t>
      </w:r>
    </w:p>
    <w:p>
      <w:pPr>
        <w:spacing w:after="0" w:line="142" w:lineRule="exact"/>
        <w:rPr>
          <w:rFonts w:ascii="Arial" w:cs="Arial" w:eastAsia="Arial" w:hAnsi="Arial"/>
          <w:sz w:val="18"/>
          <w:szCs w:val="18"/>
          <w:color w:val="auto"/>
        </w:rPr>
      </w:pPr>
    </w:p>
    <w:p>
      <w:pPr>
        <w:ind w:left="280" w:hanging="278"/>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from discontinued operations for 2015 reflects the $14.4 million after-tax gain on the sale of our Security segment.</w:t>
      </w:r>
    </w:p>
    <w:p>
      <w:pPr>
        <w:spacing w:after="0" w:line="171" w:lineRule="exact"/>
        <w:rPr>
          <w:rFonts w:ascii="Arial" w:cs="Arial" w:eastAsia="Arial" w:hAnsi="Arial"/>
          <w:sz w:val="18"/>
          <w:szCs w:val="18"/>
          <w:color w:val="auto"/>
        </w:rPr>
      </w:pPr>
    </w:p>
    <w:p>
      <w:pPr>
        <w:jc w:val="both"/>
        <w:ind w:firstLine="2"/>
        <w:spacing w:after="0" w:line="254" w:lineRule="auto"/>
        <w:tabs>
          <w:tab w:leader="none" w:pos="284"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2015, 2014, 2013, and 2012, cash paid for income taxes, net of refunds received, was $23.7 million, $32.9 million, $18.7 million, and $15.5 million, respectively. In 2015, cash paid for income taxes was lower due to $20.0 million cash tax savings related to coverage provided by IFM Assurance Company. During 2014, 2013, and 2012, cash paid for income taxes increased as certain tax assets were substantially utilized.</w:t>
      </w:r>
    </w:p>
    <w:p>
      <w:pPr>
        <w:spacing w:after="0" w:line="150" w:lineRule="exact"/>
        <w:rPr>
          <w:rFonts w:ascii="Arial" w:cs="Arial" w:eastAsia="Arial" w:hAnsi="Arial"/>
          <w:sz w:val="18"/>
          <w:szCs w:val="18"/>
          <w:color w:val="auto"/>
        </w:rPr>
      </w:pPr>
    </w:p>
    <w:p>
      <w:pPr>
        <w:ind w:firstLine="2"/>
        <w:spacing w:after="0" w:line="262" w:lineRule="auto"/>
        <w:tabs>
          <w:tab w:leader="none" w:pos="309"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accounts receivable, net of allowances, increased by $57.5 million on November 1, 2012 as a result of the November 2012 Acquisitions.</w:t>
      </w:r>
    </w:p>
    <w:p>
      <w:pPr>
        <w:spacing w:after="0" w:line="142" w:lineRule="exact"/>
        <w:rPr>
          <w:rFonts w:ascii="Arial" w:cs="Arial" w:eastAsia="Arial" w:hAnsi="Arial"/>
          <w:sz w:val="18"/>
          <w:szCs w:val="18"/>
          <w:color w:val="auto"/>
        </w:rPr>
      </w:pPr>
    </w:p>
    <w:p>
      <w:pPr>
        <w:jc w:val="both"/>
        <w:ind w:firstLine="2"/>
        <w:spacing w:after="0" w:line="256" w:lineRule="auto"/>
        <w:tabs>
          <w:tab w:leader="none" w:pos="28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Insurance recoverables represent amounts of insurance claims liabilities for which we expect to be reimbursed by our insurance carriers. Insurance recoverables are included in “Other current assets” and “Other noncurrent assets” on the accompanying consolidated balance sheets.</w:t>
      </w:r>
    </w:p>
    <w:p>
      <w:pPr>
        <w:spacing w:after="0" w:line="147" w:lineRule="exact"/>
        <w:rPr>
          <w:rFonts w:ascii="Arial" w:cs="Arial" w:eastAsia="Arial" w:hAnsi="Arial"/>
          <w:sz w:val="18"/>
          <w:szCs w:val="18"/>
          <w:color w:val="auto"/>
        </w:rPr>
      </w:pPr>
    </w:p>
    <w:p>
      <w:pPr>
        <w:ind w:left="280" w:hanging="278"/>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increased by $117.1 million on November 1, 2012 as a result of the November 2012 Acquisitions.</w:t>
      </w:r>
    </w:p>
    <w:p>
      <w:pPr>
        <w:spacing w:after="0" w:line="171" w:lineRule="exact"/>
        <w:rPr>
          <w:rFonts w:ascii="Arial" w:cs="Arial" w:eastAsia="Arial" w:hAnsi="Arial"/>
          <w:sz w:val="18"/>
          <w:szCs w:val="18"/>
          <w:color w:val="auto"/>
        </w:rPr>
      </w:pPr>
    </w:p>
    <w:p>
      <w:pPr>
        <w:ind w:firstLine="2"/>
        <w:spacing w:after="0" w:line="262" w:lineRule="auto"/>
        <w:tabs>
          <w:tab w:leader="none" w:pos="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intangible assets, net of accumulated amortization, increased by $62.2 million on November 1, 2012 as a result of the November 2012 Acquisitions.</w:t>
      </w:r>
    </w:p>
    <w:p>
      <w:pPr>
        <w:spacing w:after="0" w:line="142" w:lineRule="exact"/>
        <w:rPr>
          <w:rFonts w:ascii="Arial" w:cs="Arial" w:eastAsia="Arial" w:hAnsi="Arial"/>
          <w:sz w:val="18"/>
          <w:szCs w:val="18"/>
          <w:color w:val="auto"/>
        </w:rPr>
      </w:pPr>
    </w:p>
    <w:p>
      <w:pPr>
        <w:ind w:right="20" w:firstLine="2"/>
        <w:spacing w:after="0" w:line="262" w:lineRule="auto"/>
        <w:tabs>
          <w:tab w:leader="none" w:pos="277"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2015, we used the cash proceeds from the sale of our Security business to pay down a portion of our line of credit. The remaining outstanding borrowings are primarily associated with acquisitions.</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300" w:top="54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consolidated financial statements and the accompanying notes (“Financial Statements”) contained in Item 8, “Financial Statements and Supplementary Data.” This MD&amp;A contains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the “Forward-Looking Statements” section and Item 1A., “Risk Factors,” in this report. Unless otherwise noted, all information in the MD&amp;A and references to years are based on our fiscal year, which ends on October 31. Our MD&amp;A is comprised of the following sections:</w:t>
      </w:r>
    </w:p>
    <w:p>
      <w:pPr>
        <w:spacing w:after="0" w:line="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Environment and Environmental Compliance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 of Inflation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ABM Industries Incorporated is a leading provider of integrated facility solutions, customized by industry, that enable our clients to deliver exceptional facility experiences.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Commencing in the spring of 2015, ABM undertook a comprehensive strategic review, with the assistance of the Boston Consulting Group to develop a long-term strategic plan for our business. In September of this year, we announced the 2020 Vision strategic transformation initiative (the “2020 Vision”)</w:t>
      </w:r>
      <w:r>
        <w:rPr>
          <w:rFonts w:ascii="Arial" w:cs="Arial" w:eastAsia="Arial" w:hAnsi="Arial"/>
          <w:sz w:val="18"/>
          <w:szCs w:val="18"/>
          <w:i w:val="1"/>
          <w:iCs w:val="1"/>
          <w:color w:val="auto"/>
        </w:rPr>
        <w:t>,</w:t>
      </w:r>
      <w:r>
        <w:rPr>
          <w:rFonts w:ascii="Arial" w:cs="Arial" w:eastAsia="Arial" w:hAnsi="Arial"/>
          <w:sz w:val="18"/>
          <w:szCs w:val="18"/>
          <w:color w:val="auto"/>
        </w:rPr>
        <w:t xml:space="preserve"> which is designed to, and which we expect will, drive long-term profitable growth and enhance shareholder value. Pursuant to our 2020 Vision, we will reorganize the delivery of our services through an industry-based go-to-market strategy that will initially focus on five verticals: Aviation, Business and Industry, Education, Healthcare, and High Tech. We believe this will position us to deliver value-added solutions, establish clear competitive differentiation, and enable deep client penetration.</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execute on our 2020 Vision, we will take the following actions:</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u w:val="single" w:color="auto"/>
          <w:color w:val="auto"/>
        </w:rPr>
        <w:t>Organizational Realignment</w:t>
      </w:r>
      <w:r>
        <w:rPr>
          <w:rFonts w:ascii="Arial" w:cs="Arial" w:eastAsia="Arial" w:hAnsi="Arial"/>
          <w:sz w:val="18"/>
          <w:szCs w:val="18"/>
          <w:i w:val="1"/>
          <w:iCs w:val="1"/>
          <w:color w:val="auto"/>
        </w:rPr>
        <w:t>:</w:t>
      </w:r>
      <w:r>
        <w:rPr>
          <w:rFonts w:ascii="Arial" w:cs="Arial" w:eastAsia="Arial" w:hAnsi="Arial"/>
          <w:sz w:val="18"/>
          <w:szCs w:val="18"/>
          <w:color w:val="auto"/>
        </w:rPr>
        <w:t xml:space="preserve"> Align business operations to better support specific industries and develop custom client solutions, including transitioning to an integrated, industry-focused company, with a simplified organizational structure and a consolidated shared services model.</w:t>
      </w:r>
    </w:p>
    <w:p>
      <w:pPr>
        <w:spacing w:after="0" w:line="194" w:lineRule="exact"/>
        <w:rPr>
          <w:rFonts w:ascii="Arial" w:cs="Arial" w:eastAsia="Arial" w:hAnsi="Arial"/>
          <w:sz w:val="18"/>
          <w:szCs w:val="18"/>
          <w:i w:val="1"/>
          <w:iCs w:val="1"/>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Consistent Excellence</w:t>
      </w:r>
      <w:r>
        <w:rPr>
          <w:rFonts w:ascii="Arial" w:cs="Arial" w:eastAsia="Arial" w:hAnsi="Arial"/>
          <w:sz w:val="18"/>
          <w:szCs w:val="18"/>
          <w:color w:val="auto"/>
        </w:rPr>
        <w:t>: Implement best practices in account management and labor management across the organization, and develop a more integrated approach for continuous improvement in our risk and safety programs.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Cost Optimization</w:t>
      </w:r>
      <w:r>
        <w:rPr>
          <w:rFonts w:ascii="Arial" w:cs="Arial" w:eastAsia="Arial" w:hAnsi="Arial"/>
          <w:sz w:val="18"/>
          <w:szCs w:val="18"/>
          <w:color w:val="auto"/>
        </w:rPr>
        <w:t>: Leverage our scale to manage costs more efficiently and effectively, including supplier consolidation and process and procurement enhancement.</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Talent Development</w:t>
      </w:r>
      <w:r>
        <w:rPr>
          <w:rFonts w:ascii="Arial" w:cs="Arial" w:eastAsia="Arial" w:hAnsi="Arial"/>
          <w:sz w:val="18"/>
          <w:szCs w:val="18"/>
          <w:color w:val="auto"/>
        </w:rPr>
        <w:t>: Create greater opportunities and career paths for ABM employees by further developing our talent management system capabilities.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See “Restructuring and Related Costs” for additional details on these initiatives.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Significant Transactions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26, 2015, we sold substantially all of the assets of our Security business to Universal Protection Service, a division of Universal Services of America, for cash proceeds of $131.0 million. The sale of the Security business was part of our 2020 Vision. The Security business is now included within discontinued operations for all periods presented, and we have revised our segment results accordingly.</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November 1, 2012, we acquired Air Serv Corporation (“Air Serv”), a provider of facility solutions for airlines, airports, and freight companies, and HHA Services, Inc. (“HHA”), a provider of food services, housekeeping, laundry, patient assist, and plant maintenance to healthcare systems, hospitals, long-term care facilities, and retirement communities. The Air Serv and HHA acquisitions allowed us to significantly expand our vertical market expertise in servicing the comprehensive needs of airlines, airport authorities, and healthcare systems and hospitals. The operations of Air Serv are primarily included in the Other segment, and the operations of HHA are included in the Building &amp; Energy Solutions segment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by $248.1 million during 2015, as compared to 2014. The increase in revenues was attributable to organic growth related to additional revenues from net new business and growth from acquisitions.</w:t>
      </w:r>
    </w:p>
    <w:p>
      <w:pPr>
        <w:spacing w:after="0" w:line="25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decreased by $41.2 million during 2015, as compared to 2014. The decrease in operating profit was primarily attributable to the unfavorable impact of the insurance reserve adjustment.</w:t>
      </w:r>
    </w:p>
    <w:p>
      <w:pPr>
        <w:spacing w:after="0" w:line="25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 tax rates on income from continuing operations for 2015 and 2014 were 25.3% and 39.5%, respectively. The effective tax rate for 2015 was lower than the rate for 2014 principally due to: (i) $2.8 million of additional Work Opportunity Tax Credits (“WOTC”) primarily from the retroactive reinstatement of WOTC for calendar year 2014; (ii) $1.9 million of tax benefits for tax deductions on energy efficient government buildings; (iii) $1.6 million of state- employment-based tax credits; and (iv) $1.6 million of tax benefits related to the recognition of previously unrecognized tax positions.</w:t>
      </w:r>
    </w:p>
    <w:p>
      <w:pPr>
        <w:spacing w:after="0" w:line="15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from discontinued operations, net of tax, increased by $13.5 million during 2015, as compared to 2014. The increase was primarily attributable to the $14.4 million after-tax gain on the sale of the Security business.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provided by operating activities was $145.3 million during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2015, we purchased 1.0 million shares of our common stock at an average price of $30.72 per share for a total of $31.4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of $36.0 million were paid to shareholders, and dividends totaling $0.640 per common share were declared during 2015.</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October 31, 2015, total outstanding borrowings under our line of credit were $158.0 million, and we had up to $529.1 million borrowing capacity under our line of credit, subject to covenant restrictions.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 Costs</w:t>
      </w:r>
    </w:p>
    <w:p>
      <w:pPr>
        <w:spacing w:after="0" w:line="3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2015, in connection with the organizational realignment objective of our 2020 Vision, we recorded a $12.7 million restructuring charge that relates to employee severance, external support fees, asset impairment, and other costs. Employee severance costs relate to the elimination of certain positions identified as part of our 2020 Vision, for which we expect to have annualized savings of approximately $4.5 million. External support fees relate to services provided by Boston Consulting Group in connection with the development of our comprehensive long-term plan, which includes organizational realignment as a key priority. Finally, in the fourth quarter, we wrote down an investment in certain proprietary task management software in the amount of $2.6 million.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and Related Costs by Category:</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b w:val="1"/>
                <w:bCs w:val="1"/>
                <w:color w:val="auto"/>
              </w:rPr>
              <w:t>Recognized as of</w:t>
            </w:r>
          </w:p>
        </w:tc>
      </w:tr>
      <w:tr>
        <w:trPr>
          <w:trHeight w:val="212"/>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8"/>
                <w:szCs w:val="18"/>
                <w:color w:val="auto"/>
              </w:rPr>
            </w:pPr>
          </w:p>
        </w:tc>
        <w:tc>
          <w:tcPr>
            <w:tcW w:w="2060" w:type="dxa"/>
            <w:vAlign w:val="bottom"/>
          </w:tcPr>
          <w:p>
            <w:pPr>
              <w:jc w:val="right"/>
              <w:ind w:right="250"/>
              <w:spacing w:after="0" w:line="212" w:lineRule="exact"/>
              <w:rPr>
                <w:sz w:val="20"/>
                <w:szCs w:val="20"/>
                <w:color w:val="auto"/>
              </w:rPr>
            </w:pPr>
            <w:r>
              <w:rPr>
                <w:rFonts w:ascii="Arial" w:cs="Arial" w:eastAsia="Arial" w:hAnsi="Arial"/>
                <w:sz w:val="18"/>
                <w:szCs w:val="18"/>
                <w:b w:val="1"/>
                <w:bCs w:val="1"/>
                <w:color w:val="auto"/>
              </w:rPr>
              <w:t xml:space="preserve">October 31, 2015 </w:t>
            </w:r>
            <w:r>
              <w:rPr>
                <w:rFonts w:ascii="Arial" w:cs="Arial" w:eastAsia="Arial" w:hAnsi="Arial"/>
                <w:sz w:val="21"/>
                <w:szCs w:val="21"/>
                <w:b w:val="1"/>
                <w:bCs w:val="1"/>
                <w:color w:val="auto"/>
                <w:vertAlign w:val="superscript"/>
              </w:rPr>
              <w:t>(1)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Severance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63"/>
        </w:trPr>
        <w:tc>
          <w:tcPr>
            <w:tcW w:w="20" w:type="dxa"/>
            <w:vAlign w:val="bottom"/>
          </w:tcPr>
          <w:p>
            <w:pPr>
              <w:spacing w:after="0"/>
              <w:rPr>
                <w:sz w:val="22"/>
                <w:szCs w:val="22"/>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External Support Fees</w:t>
            </w:r>
          </w:p>
        </w:tc>
        <w:tc>
          <w:tcPr>
            <w:tcW w:w="200" w:type="dxa"/>
            <w:vAlign w:val="bottom"/>
          </w:tcPr>
          <w:p>
            <w:pPr>
              <w:spacing w:after="0"/>
              <w:rPr>
                <w:sz w:val="22"/>
                <w:szCs w:val="22"/>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77"/>
        </w:trPr>
        <w:tc>
          <w:tcPr>
            <w:tcW w:w="20" w:type="dxa"/>
            <w:vAlign w:val="bottom"/>
            <w:shd w:val="clear" w:color="auto" w:fill="CCEEFF"/>
          </w:tcPr>
          <w:p>
            <w:pPr>
              <w:spacing w:after="0"/>
              <w:rPr>
                <w:sz w:val="24"/>
                <w:szCs w:val="24"/>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64"/>
        </w:trPr>
        <w:tc>
          <w:tcPr>
            <w:tcW w:w="20" w:type="dxa"/>
            <w:vAlign w:val="bottom"/>
            <w:tcBorders>
              <w:bottom w:val="single" w:sz="8" w:color="CCEEFF"/>
            </w:tcBorders>
          </w:tcPr>
          <w:p>
            <w:pPr>
              <w:spacing w:after="0"/>
              <w:rPr>
                <w:sz w:val="22"/>
                <w:szCs w:val="22"/>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r>
      <w:tr>
        <w:trPr>
          <w:trHeight w:val="250"/>
        </w:trPr>
        <w:tc>
          <w:tcPr>
            <w:tcW w:w="20" w:type="dxa"/>
            <w:vAlign w:val="bottom"/>
            <w:shd w:val="clear" w:color="auto" w:fill="CCEEFF"/>
          </w:tcPr>
          <w:p>
            <w:pPr>
              <w:spacing w:after="0"/>
              <w:rPr>
                <w:sz w:val="21"/>
                <w:szCs w:val="21"/>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These costs were recorded in selling, general and administrative on the accompanying consolidated statements of comprehensive income.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anticipate pre-tax restructuring and related charges ranging from $45.0 million to $60.0 million. The majority of these charges will be incurred through the end of 2016 and are primarily for severance, project fees, and the write-down of certain investments. We estimate the ranges for major types of costs to be incurred as follows: (a) employee severance from $ 17.0 million to $20.0 million; (b) external support fees from $ 14.0 million to $19.0 million; (c) other project fees relating to the 2020 Vision and other costs from $7.0 million to $8.0 million; (d) real estate consolidation expenses from $5.0 million to $10.0 million; and (e) write-down of certain investments from $2.0 million to $3.0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2" w:right="239" w:bottom="1440" w:gutter="0" w:footer="0" w:header="0"/>
        </w:sectPr>
      </w:pPr>
    </w:p>
    <w:bookmarkStart w:id="28" w:name="page29"/>
    <w:bookmarkEnd w:id="28"/>
    <w:p>
      <w:pPr>
        <w:jc w:val="both"/>
        <w:ind w:firstLine="648"/>
        <w:spacing w:after="0" w:line="262" w:lineRule="auto"/>
        <w:rPr>
          <w:sz w:val="20"/>
          <w:szCs w:val="20"/>
          <w:color w:val="auto"/>
        </w:rPr>
      </w:pPr>
      <w:r>
        <w:rPr>
          <w:rFonts w:ascii="Arial" w:cs="Arial" w:eastAsia="Arial" w:hAnsi="Arial"/>
          <w:sz w:val="18"/>
          <w:szCs w:val="18"/>
          <w:color w:val="auto"/>
        </w:rPr>
        <w:t>We expect the majority of the organizational benefits to be realized by the end of 2017. The strategy and realignment is expected to be fully implemented by the second half of 2017, and we expect annualized run-rate for operational benefits of $40.0 million to $50.0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Insurance Actuarial Evaluations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2014 Actuarial Analyses</w:t>
      </w:r>
    </w:p>
    <w:p>
      <w:pPr>
        <w:spacing w:after="0" w:line="18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2014, we made several changes to our risk management and safety programs, including (i) an increased emphasis on loss prevention by implementing a unified safety program, (ii) targeted emphasis on return-to-work initiatives, (iii) structural changes to our risk management staffing model to ensure that our risk philosophy is implemented and maintained consistently enterprise-wide, (iv) advancements in our claims management process, and (v) targeted initiatives to reduce related legal expenditures. During the three months ended July 31, 2014, our annual actuarial evaluations were performed for the majority of our casualty insurance programs. The impact of the changes to our risk management and safety programs was considered as part of the evaluations and resulted in a favorable impact, primarily in our 2014 workers’ compensation reserves. However, for certain years prior to 2014, the evaluations showed unfavorable developments in certain general liability, automobile liability, and workers’ compensation claims. The majority of the adverse impact seen in the general liability program was the result of claims developments in California and New York. A similar trend was also experienced in our automobile liability program, which was largely attributable to considerable unfavorable changes in a few cases within our automobile liability claim pool. After analyzing the loss development patterns, comparing the loss developments against benchmarks, and applying actuarial projection methods to determine the estimate of ultimate losses, we increased our reserves by $4.7 million in 2014.</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2015 Actuarial Analyses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2015, our annual actuarial evaluations were performed for the majority of our casualty insurance programs, including those related to certain previously acquired businesses.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previously estimated decreases in our average claim cost associated with changes in our risk management and safety programs and the anticipated reduction in the total number of claims have not occurred at the pace contemplated in the 2014 evaluations, as explained below. The average claim cost was also unfavorably impacted by increases in legal and other claim management expenses related to claims with dates of loss prior to 2015.</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u w:val="single" w:color="auto"/>
          <w:color w:val="auto"/>
        </w:rPr>
        <w:t>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Our general liability program includes coverage for premises liability. Certain premises general liability claims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claims incurred prior to 2015 reflected loss development that was significantly higher than previously estimated. These claims include losses for property damage at the premises we service, in addition to losses for alleged bodily injury to persons either working at or visiting the premises. The actuarial analysis performed during the most recent period showed that while the total number of general liability claims has remained relatively stable, the ratio of alleged bodily injury claims to the total number of general liability claims has increased. This shift in the claim-type mix is most visible in New York and in California, two jurisdictions in which we maintain a significant presence. The shift in claim-type mix in these jurisdictions, coupled with an increase in the number of premises liability claims from earlier years reported to us subsequent to the 2014 actuarial evaluations, resulted in an unfavorable adjustment to our estimate of ultimate losses for 2015 and prior.</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workers’ compensation claim development patterns in the majority of states in which we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an increase in claims frequency in California, also warranted an unfavorable adjustment to our estimate of ultimate losses for 2015 and prior years. The development of the claims subsequent to the 2014 actuarial evaluations of the more recent policy years (specifically policy years 2010 through 2013) in California significantly exceeded the actuarial estimates previously established. This adverse development can be attributed to an increase in the statutory benefits paid to the claimants as well as to increases in administrative and legal expenses associated with claims in which settlements cannot be quickly attained.</w:t>
      </w:r>
    </w:p>
    <w:p>
      <w:pPr>
        <w:spacing w:after="0" w:line="1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u w:val="single" w:color="auto"/>
          <w:color w:val="auto"/>
        </w:rPr>
        <w:t>Automobile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operate a fleet of passenger vehicles, service vans, and shuttle buses associated with our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service contracts. Subsequent to last year’s actuarial review, the adverse development trend of the claims related to operating these vehicles was primarily attributable to three large multi-party claims that occurred in the 2013 policy year. Additionally, during the last 12 months, the claims frequency associated with our continuing fleet operations trended unfavorably versus the actuarial expectations. After considering the developments in both severity and frequency in the recent policy years, we increased our projected automobile liability loss cost, which resulted in an unfavorable adjustment to our estimate of ultimate losses for 2015 and prior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4" w:right="239" w:bottom="1440" w:gutter="0" w:footer="0" w:header="0"/>
        </w:sectPr>
      </w:pPr>
    </w:p>
    <w:bookmarkStart w:id="29" w:name="page30"/>
    <w:bookmarkEnd w:id="29"/>
    <w:p>
      <w:pPr>
        <w:jc w:val="both"/>
        <w:ind w:firstLine="648"/>
        <w:spacing w:after="0" w:line="253" w:lineRule="auto"/>
        <w:rPr>
          <w:sz w:val="20"/>
          <w:szCs w:val="20"/>
          <w:color w:val="auto"/>
        </w:rPr>
      </w:pPr>
      <w:r>
        <w:rPr>
          <w:rFonts w:ascii="Arial" w:cs="Arial" w:eastAsia="Arial" w:hAnsi="Arial"/>
          <w:sz w:val="18"/>
          <w:szCs w:val="18"/>
          <w:color w:val="auto"/>
        </w:rPr>
        <w:t>After analyzing the recent loss development patterns, comparing the loss developments against benchmarks, and applying actuarial projection methods to determine the estimate of ultimate losses, we increased our reserves for 2015 by $6.5 million. For years prior to 2015, we increased our reserves by $35.9 million. As such, we increased our total reserves by $42.4 million. In connection with the evaluation of business performance, management allocates changes to its current year estimates to its operating segments based upon underlying exposures while recording adjustments related to prior year claim developments in Corporate, consistent with prior periods.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380"/>
        <w:spacing w:after="0" w:line="475" w:lineRule="auto"/>
        <w:rPr>
          <w:sz w:val="20"/>
          <w:szCs w:val="20"/>
          <w:color w:val="auto"/>
        </w:rPr>
      </w:pPr>
      <w:r>
        <w:rPr>
          <w:rFonts w:ascii="Arial" w:cs="Arial" w:eastAsia="Arial" w:hAnsi="Arial"/>
          <w:sz w:val="18"/>
          <w:szCs w:val="18"/>
          <w:b w:val="1"/>
          <w:bCs w:val="1"/>
          <w:i w:val="1"/>
          <w:iCs w:val="1"/>
          <w:color w:val="auto"/>
        </w:rPr>
        <w:t>The Year Ended October 31, 2015 Compared with the Year Ended October 31, 2014 Consolidated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5"/>
          </w:tcPr>
          <w:p>
            <w:pPr>
              <w:ind w:left="300"/>
              <w:spacing w:after="0"/>
              <w:rPr>
                <w:sz w:val="20"/>
                <w:szCs w:val="20"/>
                <w:color w:val="auto"/>
              </w:rPr>
            </w:pPr>
            <w:r>
              <w:rPr>
                <w:rFonts w:ascii="Arial" w:cs="Arial" w:eastAsia="Arial" w:hAnsi="Arial"/>
                <w:sz w:val="18"/>
                <w:szCs w:val="18"/>
                <w:b w:val="1"/>
                <w:bCs w:val="1"/>
                <w:color w:val="auto"/>
              </w:rPr>
              <w:t>Years ended October 31,</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6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4,897.8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4,649.7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248.1</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5.3%</w:t>
            </w:r>
          </w:p>
        </w:tc>
      </w:tr>
      <w:tr>
        <w:trPr>
          <w:trHeight w:val="263"/>
        </w:trPr>
        <w:tc>
          <w:tcPr>
            <w:tcW w:w="462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4,160.5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6.0%</w:t>
            </w:r>
          </w:p>
        </w:tc>
      </w:tr>
      <w:tr>
        <w:trPr>
          <w:trHeight w:val="264"/>
        </w:trPr>
        <w:tc>
          <w:tcPr>
            <w:tcW w:w="40" w:type="dxa"/>
            <w:vAlign w:val="bottom"/>
          </w:tcPr>
          <w:p>
            <w:pPr>
              <w:spacing w:after="0"/>
              <w:rPr>
                <w:sz w:val="22"/>
                <w:szCs w:val="22"/>
                <w:color w:val="auto"/>
              </w:rPr>
            </w:pPr>
          </w:p>
        </w:tc>
        <w:tc>
          <w:tcPr>
            <w:tcW w:w="458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i w:val="1"/>
                <w:iCs w:val="1"/>
                <w:color w:val="auto"/>
              </w:rPr>
              <w:t>(0.5)</w:t>
            </w:r>
          </w:p>
        </w:tc>
        <w:tc>
          <w:tcPr>
            <w:tcW w:w="16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12.0%</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(7.6)%</w:t>
            </w:r>
          </w:p>
        </w:tc>
      </w:tr>
      <w:tr>
        <w:trPr>
          <w:trHeight w:val="250"/>
        </w:trPr>
        <w:tc>
          <w:tcPr>
            <w:tcW w:w="4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4,824.2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4,534.9</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289.3</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6.4%</w:t>
            </w:r>
          </w:p>
        </w:tc>
      </w:tr>
      <w:tr>
        <w:trPr>
          <w:trHeight w:val="250"/>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8"/>
              </w:rPr>
              <w:t>(35.9)%</w:t>
            </w:r>
          </w:p>
        </w:tc>
      </w:tr>
      <w:tr>
        <w:trPr>
          <w:trHeight w:val="27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38.5%</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4.7%</w:t>
            </w:r>
          </w:p>
        </w:tc>
      </w:tr>
      <w:tr>
        <w:trPr>
          <w:trHeight w:val="25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(34.5)%</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58.1%</w:t>
            </w:r>
          </w:p>
        </w:tc>
      </w:tr>
      <w:tr>
        <w:trPr>
          <w:trHeight w:val="25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(19.1)%</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13.5</w:t>
            </w:r>
          </w:p>
        </w:tc>
        <w:tc>
          <w:tcPr>
            <w:tcW w:w="16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NM*</w:t>
            </w:r>
          </w:p>
        </w:tc>
      </w:tr>
      <w:tr>
        <w:trPr>
          <w:trHeight w:val="257"/>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0.9%</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$248.1 million, or 5.3%, during 2015, as compared to 2014. The increase in revenues was primarily attributable to organic growth from net new business in our Other, Janitorial, and Building &amp; Energy Solutions segments and to $111.9 million of incremental revenues from acquisitions.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$249.5 million, or 6.0%, during 2015, as compared to 2014. Gross margin decreased by 0.5% to 10.0% in 2015 from 10.5% in 2014. The decrease in gross margin was primarily attributable to the unfavorable impact of the insurance reserve adjustment, higher operating expenses from net new business that typically results in lower gross margins for a period of time until the labor management and facilities operations normalize, and higher operating expenses related to operational issues at certain clients within our Building &amp; Energy Solutions segment. This decrease was partially offset by the positive impact of the termination of certain lower margin contracts, increased contribution from technical services revenues which are at higher margins, and lower payroll and related expenses as a result of one less working day during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$41.8 million, or 12.0%, during 2015, as compared to 2014. The increase in selling, general and administrative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$11.7 million increase in restructuring and related costs as a result of a company-wide strategic review and the development of a comprehensive long-term plan, net of the reversal of share-based compensation expense;</w:t>
      </w:r>
    </w:p>
    <w:p>
      <w:pPr>
        <w:spacing w:after="0" w:line="142"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$10.9 million increase in compensation and related expenses, primarily as a result of the hiring of additional personnel to support growth initiatives throughout the organization and the addition of certain IT positions since the prior year, partially offset by a bonus reversal of certain incentive plans;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 million of incremental selling, general and administrative expenses from acquisitions;</w:t>
      </w:r>
    </w:p>
    <w:p>
      <w:pPr>
        <w:sectPr>
          <w:pgSz w:w="11900" w:h="16838" w:orient="portrait"/>
          <w:cols w:equalWidth="0" w:num="1">
            <w:col w:w="11420"/>
          </w:cols>
          <w:pgMar w:left="240" w:top="522"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22" w:right="239" w:bottom="1440" w:gutter="0" w:footer="0" w:header="0"/>
          <w:type w:val="continuous"/>
        </w:sectPr>
      </w:pPr>
    </w:p>
    <w:bookmarkStart w:id="31" w:name="page32"/>
    <w:bookmarkEnd w:id="31"/>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$6.2 million increase in legal fees and settlement costs;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 expense;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$3.4 million decrease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 million gain from a property sale in the second quarter of 2015 as a result of operational efficiencies.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Amortization of intangible assets decreased by $2.0 million, or 7.6%, during 2015, as compared to 2014. This decrease was primarily related to intangible assets being amortized using the sum-of-the-years-digits method over their useful lives, which is consistent with the estimated useful life considerations used in determining their fair values and results in a declining amortization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Income from unconsolidated affiliates, net, increased by $2.5 million, or 38.5%, during 2015, as compared to 2014. The increase was primarily related to higher equity earnings from certain investments in unconsolidated affiliates that provide facility solutions principally to the U.S. Government and international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rates on income from continuing operations for 2015 and 2014 were 25.3% and 39.5%, respectively. The effective tax rate for 2015 was lower than the rate for 2014 principally due to: (i) $2.8 million of additional WOTC primarily from the retroactive reinstatement of WOTC for calendar year 2014; (ii) $1.9 million of tax benefits for tax deductions on energy efficient government buildings; (iii) $1.6 million of state employment-based tax credits; and (iv) $1.6 million of tax benefits related to the recognition of previously unrecognized tax positions.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Taxes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Income from discontinued operations, net of tax, increased by $13.5 million during 2015, as compared to 2014. The increase was primarily attributable to the $14.4 million after-tax gain on the sale of the Security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4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Building &amp; Energy Solutions, and Other.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0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2,692.7</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2,583.2</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109.5</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4.2%</w:t>
            </w: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(0.8)%</w:t>
            </w: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15.8</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73.9</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420.9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53.6</w:t>
            </w:r>
          </w:p>
        </w:tc>
        <w:tc>
          <w:tcPr>
            <w:tcW w:w="180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4,897.8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4,649.7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248.1</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7"/>
              </w:rPr>
              <w:t>5.3%</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0.1 %</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0.4</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i w:val="1"/>
                <w:iCs w:val="1"/>
                <w:color w:val="auto"/>
              </w:rPr>
              <w:t>—</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0.3 %</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(47.0)</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affiliates, net,</w:t>
            </w:r>
          </w:p>
        </w:tc>
        <w:tc>
          <w:tcPr>
            <w:tcW w:w="400" w:type="dxa"/>
            <w:vAlign w:val="bottom"/>
          </w:tcPr>
          <w:p>
            <w:pPr>
              <w:spacing w:after="0"/>
              <w:rPr>
                <w:sz w:val="17"/>
                <w:szCs w:val="17"/>
                <w:color w:val="auto"/>
              </w:rPr>
            </w:pP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(2.4)</w:t>
            </w:r>
          </w:p>
        </w:tc>
        <w:tc>
          <w:tcPr>
            <w:tcW w:w="1800" w:type="dxa"/>
            <w:vAlign w:val="bottom"/>
          </w:tcPr>
          <w:p>
            <w:pPr>
              <w:jc w:val="center"/>
              <w:ind w:left="3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4"/>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included in Building &amp; Energy Solutions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 efficient</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government buildings, included in Building &amp;</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6"/>
                <w:szCs w:val="16"/>
                <w:color w:val="auto"/>
              </w:rPr>
              <w:t>(2.0)</w:t>
            </w:r>
          </w:p>
        </w:tc>
        <w:tc>
          <w:tcPr>
            <w:tcW w:w="180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Energy Solutions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(41.2)</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and Parking segments to better reflect certain overhead support functions. The impact of these reallocations on the segments was an increase of operating profit to the Janitorial segment and a decrease of operating profit to the Facility Services and Parking segments as follows: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Year Ended October 31,</w:t>
            </w: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4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tcPr>
          <w:p>
            <w:pPr>
              <w:jc w:val="right"/>
              <w:ind w:right="149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50"/>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Janitorial</w:t>
            </w:r>
          </w:p>
        </w:tc>
        <w:tc>
          <w:tcPr>
            <w:tcW w:w="4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50"/>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Facility Services</w:t>
            </w:r>
          </w:p>
        </w:tc>
        <w:tc>
          <w:tcPr>
            <w:tcW w:w="4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3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Parking</w:t>
            </w:r>
          </w:p>
        </w:tc>
        <w:tc>
          <w:tcPr>
            <w:tcW w:w="43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45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60" w:type="dxa"/>
            <w:vAlign w:val="bottom"/>
          </w:tcPr>
          <w:p>
            <w:pPr>
              <w:jc w:val="right"/>
              <w:ind w:right="197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8"/>
          <w:szCs w:val="18"/>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the Security business have been allocated to discontinued operations. The net impact of these allocations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99"/>
              </w:rPr>
              <w:t>Year Ended October 31,</w:t>
            </w:r>
          </w:p>
        </w:tc>
        <w:tc>
          <w:tcPr>
            <w:tcW w:w="2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4080" w:type="dxa"/>
            <w:vAlign w:val="bottom"/>
            <w:gridSpan w:val="4"/>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center"/>
              <w:ind w:left="753"/>
              <w:spacing w:after="0"/>
              <w:rPr>
                <w:sz w:val="20"/>
                <w:szCs w:val="20"/>
                <w:color w:val="auto"/>
              </w:rPr>
            </w:pPr>
            <w:r>
              <w:rPr>
                <w:rFonts w:ascii="Arial" w:cs="Arial" w:eastAsia="Arial" w:hAnsi="Arial"/>
                <w:sz w:val="18"/>
                <w:szCs w:val="18"/>
                <w:b w:val="1"/>
                <w:bCs w:val="1"/>
                <w:color w:val="auto"/>
                <w:w w:val="99"/>
              </w:rPr>
              <w:t>2014</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Janitorial</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080" w:type="dxa"/>
            <w:vAlign w:val="bottom"/>
            <w:gridSpan w:val="4"/>
          </w:tcPr>
          <w:p>
            <w:pPr>
              <w:ind w:left="2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r>
      <w:tr>
        <w:trPr>
          <w:trHeight w:val="567"/>
        </w:trPr>
        <w:tc>
          <w:tcPr>
            <w:tcW w:w="412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120" w:type="dxa"/>
            <w:vAlign w:val="bottom"/>
            <w:gridSpan w:val="5"/>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9"/>
              </w:rPr>
              <w:t>Increase (Decrease)</w:t>
            </w:r>
          </w:p>
        </w:tc>
        <w:tc>
          <w:tcPr>
            <w:tcW w:w="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2,692.7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2,583.2</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109.5</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2"/>
                <w:szCs w:val="22"/>
                <w:color w:val="auto"/>
              </w:rPr>
            </w:pPr>
          </w:p>
        </w:tc>
      </w:tr>
      <w:tr>
        <w:trPr>
          <w:trHeight w:val="263"/>
        </w:trPr>
        <w:tc>
          <w:tcPr>
            <w:tcW w:w="4120" w:type="dxa"/>
            <w:vAlign w:val="bottom"/>
            <w:gridSpan w:val="5"/>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jc w:val="right"/>
              <w:ind w:right="593"/>
              <w:spacing w:after="0"/>
              <w:rPr>
                <w:sz w:val="20"/>
                <w:szCs w:val="20"/>
                <w:color w:val="auto"/>
              </w:rPr>
            </w:pPr>
            <w:r>
              <w:rPr>
                <w:rFonts w:ascii="Arial" w:cs="Arial" w:eastAsia="Arial" w:hAnsi="Arial"/>
                <w:sz w:val="18"/>
                <w:szCs w:val="18"/>
                <w:color w:val="auto"/>
              </w:rPr>
              <w:t>3.5</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60" w:type="dxa"/>
            <w:vAlign w:val="bottom"/>
            <w:gridSpan w:val="3"/>
            <w:shd w:val="clear" w:color="auto" w:fill="CCEEFF"/>
          </w:tcPr>
          <w:p>
            <w:pPr>
              <w:ind w:left="12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13"/>
              <w:spacing w:after="0"/>
              <w:rPr>
                <w:sz w:val="20"/>
                <w:szCs w:val="20"/>
                <w:color w:val="auto"/>
              </w:rPr>
            </w:pPr>
            <w:r>
              <w:rPr>
                <w:rFonts w:ascii="Arial" w:cs="Arial" w:eastAsia="Arial" w:hAnsi="Arial"/>
                <w:sz w:val="14"/>
                <w:szCs w:val="14"/>
                <w:i w:val="1"/>
                <w:iCs w:val="1"/>
                <w:color w:val="auto"/>
              </w:rPr>
              <w:t>(0.1)%</w:t>
            </w:r>
          </w:p>
        </w:tc>
        <w:tc>
          <w:tcPr>
            <w:tcW w:w="1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Janitorial revenues increased by $109.5 million, or 4.2%, during 2015, as compared to 2014. The increase was attributable to $68.9 million of incremental revenues from acquisitions and to organic growth, including additional tag revenue.</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$3.5 million, or 2.4%, during 2015, as compared to 2014. Operating profit margins decreased by 0.1% to 5.6% in 2015 from 5.7% in 2014. The decrease in operating profit margins was primarily attributable to the unfavorable impact of the insurance reserve adjustment and higher operating expenses from net new business that typically results in lower gross margins for a period of time until the labor management and facilities operations normalize. Also negatively impacting operating profit margins was higher compensation expense due to hiring additional personnel to support selling and safety initiatives and higher legal fees and settlement costs. This decrease was partially offset by the positive impact of the termination of a large multi-regional contract, lower payroll and related expenses as a result of one less working day during 2015, and a gain from a property sale as a result of operational efficiencies.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(4.7)</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(0.8)%</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jc w:val="right"/>
              <w:ind w:right="414"/>
              <w:spacing w:after="0"/>
              <w:rPr>
                <w:sz w:val="20"/>
                <w:szCs w:val="20"/>
                <w:color w:val="auto"/>
              </w:rPr>
            </w:pPr>
            <w:r>
              <w:rPr>
                <w:rFonts w:ascii="Arial" w:cs="Arial" w:eastAsia="Arial" w:hAnsi="Arial"/>
                <w:sz w:val="18"/>
                <w:szCs w:val="18"/>
                <w:color w:val="auto"/>
              </w:rPr>
              <w:t>0.1</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0.4%</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0.1%</w:t>
            </w:r>
          </w:p>
        </w:tc>
        <w:tc>
          <w:tcPr>
            <w:tcW w:w="14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Facility Services revenues decreased by $4.7 million, or 0.8%, during 2015, as compared to 2014. The decrease was primarily attributable to the termination of certain lower margin contracts that exceeded new business and the timing of a biannual contractual performance-based award.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$0.1 million, or 0.4%, during 2015, as compared to 2014. Operating profit margins increased by 0.1% to 4.3% in 2015 from 4.2% in 2014. The increase in operating profit margins was primarily attributable to the termination of certain lower margin contracts and lower legal expenses. This increase was partially offset by the absence of a benefit related to the sale of leased vehicles for a certain closed job in the prior year, the unfavorable impact of the insurance reserve adjustment, and the timing of a biannual contractual performance-based award.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15.8</w:t>
            </w: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2.6%</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0" w:type="dxa"/>
            <w:vAlign w:val="bottom"/>
          </w:tcPr>
          <w:p>
            <w:pPr>
              <w:jc w:val="right"/>
              <w:ind w:right="614"/>
              <w:spacing w:after="0"/>
              <w:rPr>
                <w:sz w:val="20"/>
                <w:szCs w:val="20"/>
                <w:color w:val="auto"/>
              </w:rPr>
            </w:pPr>
            <w:r>
              <w:rPr>
                <w:rFonts w:ascii="Arial" w:cs="Arial" w:eastAsia="Arial" w:hAnsi="Arial"/>
                <w:sz w:val="18"/>
                <w:szCs w:val="18"/>
                <w:color w:val="auto"/>
              </w:rPr>
              <w:t>0.4</w:t>
            </w: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1.4%</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w:t>
            </w:r>
          </w:p>
        </w:tc>
        <w:tc>
          <w:tcPr>
            <w:tcW w:w="12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reimbursement revenues totaled $305.9 million and $306.1 million for 2015 and 2014, respectively.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$15.8 million, or 2.6%, during 2015, as compared to 2014. The increase was primarily related to increased scope of work from existing clients.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$0.4 million, or 1.4%, during 2015, as compared to 2014. Operating profit margins remained flat at 4.7% in 2015 from 2014. Excluding management reimbursement revenues, operating profit margins decreased by 0.3% in 2015, as compared to 2014. This decrease was primarily attributable to the unfavorable impact of the insurance reserve adjustment, higher legal costs, and the absence of a benefit related to the collection of previously reserved accounts receivable in the prior year.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73.9</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15.3%</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Pr>
          <w:p>
            <w:pPr>
              <w:jc w:val="right"/>
              <w:ind w:right="454"/>
              <w:spacing w:after="0"/>
              <w:rPr>
                <w:sz w:val="20"/>
                <w:szCs w:val="20"/>
                <w:color w:val="auto"/>
              </w:rPr>
            </w:pPr>
            <w:r>
              <w:rPr>
                <w:rFonts w:ascii="Arial" w:cs="Arial" w:eastAsia="Arial" w:hAnsi="Arial"/>
                <w:sz w:val="18"/>
                <w:szCs w:val="18"/>
                <w:color w:val="auto"/>
              </w:rPr>
              <w:t>3.2</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13.9%</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(0.1)%</w:t>
            </w:r>
          </w:p>
        </w:tc>
        <w:tc>
          <w:tcPr>
            <w:tcW w:w="14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$73.9 million, or 15.3%, during 2015, as compared to 2014. The increase was primarily attributable to $43.0 million of incremental revenues from acquisitions, and to organic growth from healthcare, technical services contracts, and government services.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$3.2 million, or 13.9%, during 2015, as compared to 2014. Operating profit margins decreased by 0.1% to 4.7% in 2015 from 4.8% in 2014. The slight decrease in operating profit margins was principally attributable to higher operating expenses related to operational issues at certain clients, higher compensation expense due to hiring additional personnel to support selling initiatives, and the unfavorable impact of a reserve adjustment for certain government receivables. This decrease was partially offset by higher equity earnings in unconsolidated affiliates that provide facility solutions to the U.S. Government and international clients, and the impact of increased technical services contracts. Additionally, margins benefited from operational tax credits realized for energy efficient government building projects in the current year.</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53.6</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14.6%</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24.6%</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0.3%</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from our Other segment increased by $53.6 million, or 14.6%, during 2015, as compared to 2014. The increase was primarily driven by higher passenger services and cabin cleaning revenue in our U.S. operations.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$ 3.0 million, or 24.6%, during 2015, as compared to 2014. Operating profit margins increased by 0.3% to 3.6% in 2015 from 3.3% in 2014. The increase in operating profit was primarily attributable to the amortization of intangible assets using the sum-of-the-years-digits method, which results in declining amortization expense over the useful lives of the assets. This increase was partially offset by higher operating expenses from net new business that typically results in lower gross margins for a period of time until the labor management and facilities operations normalize and by the unfavorable impact of the insurance reserve adjustment. Also negatively impacting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7" w:right="239" w:bottom="1440" w:gutter="0" w:footer="0" w:header="0"/>
        </w:sectPr>
      </w:pPr>
    </w:p>
    <w:bookmarkStart w:id="35" w:name="page36"/>
    <w:bookmarkEnd w:id="35"/>
    <w:p>
      <w:pPr>
        <w:spacing w:after="0" w:line="262" w:lineRule="auto"/>
        <w:rPr>
          <w:sz w:val="20"/>
          <w:szCs w:val="20"/>
          <w:color w:val="auto"/>
        </w:rPr>
      </w:pPr>
      <w:r>
        <w:rPr>
          <w:rFonts w:ascii="Arial" w:cs="Arial" w:eastAsia="Arial" w:hAnsi="Arial"/>
          <w:sz w:val="18"/>
          <w:szCs w:val="18"/>
          <w:color w:val="auto"/>
        </w:rPr>
        <w:t>operating profit margins was higher compensation expense due to the reorganization of the executive structure and the settlement of a client dispute.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3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47.0</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40.8%</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$47.0 million, or 40.8%, during 2015, as compared to 2014.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$25.6 million year-over-year increase in self-insurance expense related to prior year claims as a result of actuarial valuations completed in 2015;</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$11.7 million increase in restructuring and related costs as a result of a company-wide strategic review and the development of a comprehensive long-term plan, net of the reversal of share-based compensation expense;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$4.9 million increase in legal fees and settlement costs;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$4.6 million increase in severance expense related to the departures of our former CEO and CFO, net of the reversal of share-based compensation expense;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$3.0 million year-over-year increase in medical and dental expense as a result of actuarial valuations completed in 2015;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$1.7 million increase in compensation and related expenses, primarily as a result of adding certain IT positions since the prior year and the hiring of additional personnel to support growth initiatives throughout the organization, partially offset by a bonus reversal of certain incentive plans.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a $3.4 million decrease in costs associated with our re-branding initiative.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The Year Ended October 31, 2014 Compared with the Year Ended October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October 31,</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0"/>
        </w:trPr>
        <w:tc>
          <w:tcPr>
            <w:tcW w:w="50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gridSpan w:val="2"/>
          </w:tcPr>
          <w:p>
            <w:pPr>
              <w:ind w:left="26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4,649.7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4,427.8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5.0%</w:t>
            </w:r>
          </w:p>
        </w:tc>
      </w:tr>
      <w:tr>
        <w:trPr>
          <w:trHeight w:val="263"/>
        </w:trPr>
        <w:tc>
          <w:tcPr>
            <w:tcW w:w="506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4,160.5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3,964.1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5.0%</w:t>
            </w:r>
          </w:p>
        </w:tc>
      </w:tr>
      <w:tr>
        <w:trPr>
          <w:trHeight w:val="264"/>
        </w:trPr>
        <w:tc>
          <w:tcPr>
            <w:tcW w:w="40" w:type="dxa"/>
            <w:vAlign w:val="bottom"/>
          </w:tcPr>
          <w:p>
            <w:pPr>
              <w:spacing w:after="0"/>
              <w:rPr>
                <w:sz w:val="22"/>
                <w:szCs w:val="22"/>
                <w:color w:val="auto"/>
              </w:rPr>
            </w:pPr>
          </w:p>
        </w:tc>
        <w:tc>
          <w:tcPr>
            <w:tcW w:w="502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5.3%</w:t>
            </w:r>
          </w:p>
        </w:tc>
      </w:tr>
      <w:tr>
        <w:trPr>
          <w:trHeight w:val="264"/>
        </w:trPr>
        <w:tc>
          <w:tcPr>
            <w:tcW w:w="4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8"/>
              </w:rPr>
              <w:t>(5.8)%</w:t>
            </w:r>
          </w:p>
        </w:tc>
      </w:tr>
      <w:tr>
        <w:trPr>
          <w:trHeight w:val="250"/>
        </w:trPr>
        <w:tc>
          <w:tcPr>
            <w:tcW w:w="4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4,534.9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4,322.5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4.9%</w:t>
            </w:r>
          </w:p>
        </w:tc>
      </w:tr>
      <w:tr>
        <w:trPr>
          <w:trHeight w:val="250"/>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97"/>
              </w:rPr>
              <w:t>9.0%</w:t>
            </w:r>
          </w:p>
        </w:tc>
      </w:tr>
      <w:tr>
        <w:trPr>
          <w:trHeight w:val="277"/>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3.2%</w:t>
            </w:r>
          </w:p>
        </w:tc>
      </w:tr>
      <w:tr>
        <w:trPr>
          <w:trHeight w:val="264"/>
        </w:trPr>
        <w:tc>
          <w:tcPr>
            <w:tcW w:w="5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5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17.1%</w:t>
            </w:r>
          </w:p>
        </w:tc>
      </w:tr>
      <w:tr>
        <w:trPr>
          <w:trHeight w:val="257"/>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12.1%</w:t>
            </w:r>
          </w:p>
        </w:tc>
      </w:tr>
      <w:tr>
        <w:trPr>
          <w:trHeight w:val="264"/>
        </w:trPr>
        <w:tc>
          <w:tcPr>
            <w:tcW w:w="5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5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(21.1)%</w:t>
            </w:r>
          </w:p>
        </w:tc>
      </w:tr>
      <w:tr>
        <w:trPr>
          <w:trHeight w:val="257"/>
        </w:trPr>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5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6.9%</w:t>
            </w:r>
          </w:p>
        </w:tc>
      </w:tr>
      <w:tr>
        <w:trPr>
          <w:trHeight w:val="264"/>
        </w:trPr>
        <w:tc>
          <w:tcPr>
            <w:tcW w:w="5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(15.5)%</w:t>
            </w:r>
          </w:p>
        </w:tc>
      </w:tr>
      <w:tr>
        <w:trPr>
          <w:trHeight w:val="257"/>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3.7%</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increased by $221.9 million, or 5.0%, during 2014, as compared to 2013. The increase in revenues was primarily attributable to organic growth from net new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$196.4 million, or 5.0%, during 2014, as compared to 2013. In 2014, gross margin remained flat at 10.5% in 2014 and 2013. Gross margins benefited from changes to our risk management and safety programs that favorably impacted our estimated insurance expense. Also contributing positively to gross margin was the impact of certain newly awarded technical services contracts in our Building &amp; Energy Solutions segment, which generally have higher gross margins than contracts in our other segments, and savings realized as a result of the realignment of our Onsite Services operational structure. These benefits were offset by the impact of lower margins in connection with certain jobs, including higher operating expenses from net new business that typically results in lower gross margins for a period of time until the labor management and facilities operations normalize.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$17.6 million, or 5.3%, during 2014, as compared to 2013. The increase in selling, general and administrative expenses was primarily related to:</w:t>
      </w:r>
    </w:p>
    <w:p>
      <w:pPr>
        <w:spacing w:after="0" w:line="142" w:lineRule="exact"/>
        <w:rPr>
          <w:sz w:val="20"/>
          <w:szCs w:val="20"/>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$15.4 million increase in compensation and related expenses, primarily as a result of the hiring of additional personnel to support growth initiatives throughout the organization and the addition of certain IT positions since the prior year;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$5.6 million increase in legal costs, including the accrual of $3.4 million in connection with an unfavorable arbitration decision against us relating to a contract dispute with a third-party administrator;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increase in share-based compensation expense, which was due to the recognition of higher expense relating to awards granted in 2012 through 2014, as compared to awards granted in 2010 and 2009;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increase in costs associated with our re-branding initiative.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$4.3 million reduction in costs associated with the realignment of our Onsite Services operational structure as a result of realized savings and a reduction in restructuring and related costs; and</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$2.6 million decline in depreciation expense, mostly associated with our previously upgraded Enterprise Resource Planning (“ERP”) system.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on income from continuing operations for 2014 was 39.5% compared to 36.6% for 2013. The effective tax rate for 2014 was higher than the rate for 2013 primarily due to (i) the expiration of the WOTC as of December 31, 2013 and (ii) the retroactive reinstatement of the WOTC for calendar year 2012, which occurred during the year ended October 31, 2013.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consist of: Janitorial, Facility Services, Parking, Building &amp; Energy Solutions, and Other.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Profits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0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2,583.2</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2,480.5</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102.7</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4.1%</w:t>
            </w: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(1.7)%</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609.1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7.0</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1.1%</w:t>
            </w: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82.3</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20.5%</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40.9</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rPr>
              <w:t>12.5%</w:t>
            </w:r>
          </w:p>
        </w:tc>
      </w:tr>
      <w:tr>
        <w:trPr>
          <w:trHeight w:val="27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c>
          <w:tcPr>
            <w:tcW w:w="18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w:t>
            </w:r>
          </w:p>
        </w:tc>
      </w:tr>
      <w:tr>
        <w:trPr>
          <w:trHeight w:val="297"/>
        </w:trPr>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4,649.7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4,427.8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221.9</w:t>
            </w:r>
          </w:p>
        </w:tc>
        <w:tc>
          <w:tcPr>
            <w:tcW w:w="180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7"/>
              </w:rPr>
              <w:t>5.0%</w:t>
            </w:r>
          </w:p>
        </w:tc>
      </w:tr>
      <w:tr>
        <w:trPr>
          <w:trHeight w:val="251"/>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8.4</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6.1%</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0.1 %</w:t>
            </w:r>
          </w:p>
        </w:tc>
        <w:tc>
          <w:tcPr>
            <w:tcW w:w="1800" w:type="dxa"/>
            <w:vAlign w:val="bottom"/>
            <w:shd w:val="clear" w:color="auto" w:fill="CCEEFF"/>
          </w:tcPr>
          <w:p>
            <w:pPr>
              <w:spacing w:after="0"/>
              <w:rPr>
                <w:sz w:val="24"/>
                <w:szCs w:val="24"/>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8"/>
              </w:rPr>
              <w:t>(1.9)%</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i w:val="1"/>
                <w:iCs w:val="1"/>
                <w:color w:val="auto"/>
              </w:rPr>
              <w:t>—</w:t>
            </w:r>
          </w:p>
        </w:tc>
        <w:tc>
          <w:tcPr>
            <w:tcW w:w="1800" w:type="dxa"/>
            <w:vAlign w:val="bottom"/>
            <w:shd w:val="clear" w:color="auto" w:fill="CCEEFF"/>
          </w:tcPr>
          <w:p>
            <w:pPr>
              <w:spacing w:after="0"/>
              <w:rPr>
                <w:sz w:val="24"/>
                <w:szCs w:val="24"/>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3.5</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rPr>
              <w:t>13.6%</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0.5 %</w:t>
            </w:r>
          </w:p>
        </w:tc>
        <w:tc>
          <w:tcPr>
            <w:tcW w:w="1800" w:type="dxa"/>
            <w:vAlign w:val="bottom"/>
            <w:shd w:val="clear" w:color="auto" w:fill="CCEEFF"/>
          </w:tcPr>
          <w:p>
            <w:pPr>
              <w:spacing w:after="0"/>
              <w:rPr>
                <w:sz w:val="24"/>
                <w:szCs w:val="24"/>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7.8</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rPr>
              <w:t>51.0%</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1.0 %</w:t>
            </w:r>
          </w:p>
        </w:tc>
        <w:tc>
          <w:tcPr>
            <w:tcW w:w="1800" w:type="dxa"/>
            <w:vAlign w:val="bottom"/>
            <w:shd w:val="clear" w:color="auto" w:fill="CCEEFF"/>
          </w:tcPr>
          <w:p>
            <w:pPr>
              <w:spacing w:after="0"/>
              <w:rPr>
                <w:sz w:val="24"/>
                <w:szCs w:val="24"/>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0.4</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3.4%</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(0.3)%</w:t>
            </w:r>
          </w:p>
        </w:tc>
        <w:tc>
          <w:tcPr>
            <w:tcW w:w="1800" w:type="dxa"/>
            <w:vAlign w:val="bottom"/>
            <w:shd w:val="clear" w:color="auto" w:fill="CCEEFF"/>
          </w:tcPr>
          <w:p>
            <w:pPr>
              <w:spacing w:after="0"/>
              <w:rPr>
                <w:sz w:val="24"/>
                <w:szCs w:val="24"/>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(9.7)</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8"/>
              </w:rPr>
              <w:t>(9.2)%</w:t>
            </w:r>
          </w:p>
        </w:tc>
      </w:tr>
      <w:tr>
        <w:trPr>
          <w:trHeight w:val="235"/>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income from unconsolidated</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03"/>
        </w:trPr>
        <w:tc>
          <w:tcPr>
            <w:tcW w:w="40" w:type="dxa"/>
            <w:vAlign w:val="bottom"/>
            <w:shd w:val="clear" w:color="auto" w:fill="CCEEFF"/>
          </w:tcPr>
          <w:p>
            <w:pPr>
              <w:spacing w:after="0"/>
              <w:rPr>
                <w:sz w:val="17"/>
                <w:szCs w:val="17"/>
                <w:color w:val="auto"/>
              </w:rPr>
            </w:pPr>
          </w:p>
        </w:tc>
        <w:tc>
          <w:tcPr>
            <w:tcW w:w="40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affiliates, net, included in Building &amp; Energy</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(0.4)</w:t>
            </w:r>
          </w:p>
        </w:tc>
        <w:tc>
          <w:tcPr>
            <w:tcW w:w="180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8"/>
              </w:rPr>
              <w:t>(6.5)%</w:t>
            </w:r>
          </w:p>
        </w:tc>
      </w:tr>
      <w:tr>
        <w:trPr>
          <w:trHeight w:val="224"/>
        </w:trPr>
        <w:tc>
          <w:tcPr>
            <w:tcW w:w="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Solutions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9.5</w:t>
            </w:r>
          </w:p>
        </w:tc>
        <w:tc>
          <w:tcPr>
            <w:tcW w:w="1800" w:type="dxa"/>
            <w:vAlign w:val="bottom"/>
          </w:tcPr>
          <w:p>
            <w:pPr>
              <w:jc w:val="center"/>
              <w:ind w:left="30"/>
              <w:spacing w:after="0"/>
              <w:rPr>
                <w:sz w:val="20"/>
                <w:szCs w:val="20"/>
                <w:color w:val="auto"/>
              </w:rPr>
            </w:pPr>
            <w:r>
              <w:rPr>
                <w:rFonts w:ascii="Arial" w:cs="Arial" w:eastAsia="Arial" w:hAnsi="Arial"/>
                <w:sz w:val="18"/>
                <w:szCs w:val="18"/>
                <w:color w:val="auto"/>
                <w:w w:val="97"/>
              </w:rPr>
              <w:t>9.0%</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in the first quarter of 2015, we reallocated certain costs from our Janitorial segment to our Facility Services and Parking segments to better reflect certain overhead support functions. The impact of these reallocations on the segments was an increase of operating profit to the Janitorial segment and a decrease of operating profit to the Facility Services and Parking segments as follows:</w:t>
      </w:r>
    </w:p>
    <w:p>
      <w:pPr>
        <w:spacing w:after="0" w:line="28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520" w:type="dxa"/>
            <w:vAlign w:val="bottom"/>
          </w:tcPr>
          <w:p>
            <w:pPr>
              <w:spacing w:after="0"/>
              <w:rPr>
                <w:sz w:val="18"/>
                <w:szCs w:val="18"/>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6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5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5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the Security business have been allocated to discontinued operations. The net impact of these allocations is as follows:</w:t>
      </w:r>
    </w:p>
    <w:p>
      <w:pPr>
        <w:spacing w:after="0" w:line="28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520" w:type="dxa"/>
            <w:vAlign w:val="bottom"/>
          </w:tcPr>
          <w:p>
            <w:pPr>
              <w:spacing w:after="0"/>
              <w:rPr>
                <w:sz w:val="18"/>
                <w:szCs w:val="18"/>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ectPr>
          <w:pgSz w:w="11900" w:h="16838" w:orient="portrait"/>
          <w:cols w:equalWidth="0" w:num="1">
            <w:col w:w="11420"/>
          </w:cols>
          <w:pgMar w:left="240" w:top="522"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22"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jc w:val="right"/>
              <w:ind w:right="94"/>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2,583.2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2,480.5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102.7</w:t>
            </w: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4.1%</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00" w:type="dxa"/>
            <w:vAlign w:val="bottom"/>
          </w:tcPr>
          <w:p>
            <w:pPr>
              <w:jc w:val="right"/>
              <w:ind w:right="654"/>
              <w:spacing w:after="0"/>
              <w:rPr>
                <w:sz w:val="20"/>
                <w:szCs w:val="20"/>
                <w:color w:val="auto"/>
              </w:rPr>
            </w:pPr>
            <w:r>
              <w:rPr>
                <w:rFonts w:ascii="Arial" w:cs="Arial" w:eastAsia="Arial" w:hAnsi="Arial"/>
                <w:sz w:val="18"/>
                <w:szCs w:val="18"/>
                <w:color w:val="auto"/>
              </w:rPr>
              <w:t>8.4</w:t>
            </w: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6.1%</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34"/>
              <w:spacing w:after="0"/>
              <w:rPr>
                <w:sz w:val="20"/>
                <w:szCs w:val="20"/>
                <w:color w:val="auto"/>
              </w:rPr>
            </w:pPr>
            <w:r>
              <w:rPr>
                <w:rFonts w:ascii="Arial" w:cs="Arial" w:eastAsia="Arial" w:hAnsi="Arial"/>
                <w:sz w:val="14"/>
                <w:szCs w:val="14"/>
                <w:i w:val="1"/>
                <w:iCs w:val="1"/>
                <w:color w:val="auto"/>
              </w:rPr>
              <w:t>0.1%</w:t>
            </w:r>
          </w:p>
        </w:tc>
        <w:tc>
          <w:tcPr>
            <w:tcW w:w="12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Janitorial revenues increased by $102.7 million, or 4.1%, during 2014, as compared to 2013. The increase was primarily attributable to organic growth from net new business.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$8.4 million, or 6.1%, during 2014, as compared to 2013. Operating profit margins increased by 0.1% to 5.7% in 2014 from 5.6% in 2013. Operating profit margins in 2014 benefited from changes to our risk management and safety programs that favorably impacted our estimated insurance expense and savings realized as a result of the realignment of our Onsite Services operational structure. Offsetting these benefits were higher compensation expense due to hiring additional personnel to support selling and safety initiatives.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(Decrease)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(10.1)</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60" w:type="dxa"/>
            <w:vAlign w:val="bottom"/>
          </w:tcPr>
          <w:p>
            <w:pPr>
              <w:jc w:val="right"/>
              <w:ind w:right="574"/>
              <w:spacing w:after="0"/>
              <w:rPr>
                <w:sz w:val="20"/>
                <w:szCs w:val="20"/>
                <w:color w:val="auto"/>
              </w:rPr>
            </w:pPr>
            <w:r>
              <w:rPr>
                <w:rFonts w:ascii="Arial" w:cs="Arial" w:eastAsia="Arial" w:hAnsi="Arial"/>
                <w:sz w:val="18"/>
                <w:szCs w:val="18"/>
                <w:color w:val="auto"/>
              </w:rPr>
              <w:t>(0.5)</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(1.9)%</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634"/>
              <w:spacing w:after="0"/>
              <w:rPr>
                <w:sz w:val="20"/>
                <w:szCs w:val="20"/>
                <w:color w:val="auto"/>
              </w:rPr>
            </w:pPr>
            <w:r>
              <w:rPr>
                <w:rFonts w:ascii="Arial" w:cs="Arial" w:eastAsia="Arial" w:hAnsi="Arial"/>
                <w:sz w:val="14"/>
                <w:szCs w:val="14"/>
                <w:i w:val="1"/>
                <w:iCs w:val="1"/>
                <w:color w:val="auto"/>
              </w:rPr>
              <w:t>—</w:t>
            </w:r>
          </w:p>
        </w:tc>
        <w:tc>
          <w:tcPr>
            <w:tcW w:w="12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Facility Services revenues decreased by $10.1 million, or 1.7%, during 2014, as compared to 2013. The decrease was primarily attributable to contract losses that exceeded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$0.5 million, or 1.9%, during 2014, as compared to 2013. Operating profit margins remained flat at 4.2% in 2014 and 2013. Operating profit margins in 2014 benefited from the sale of leased vehicles for a certain closed job, changes to our risk management and safety programs that favorably impacted our estimated insurance expense, and savings realized as a result of the realignment of our Onsite Services operational structure. Offsetting these benefits were lower margins in connection with certain jobs.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7.0</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ind w:right="634"/>
              <w:spacing w:after="0"/>
              <w:rPr>
                <w:sz w:val="20"/>
                <w:szCs w:val="20"/>
                <w:color w:val="auto"/>
              </w:rPr>
            </w:pPr>
            <w:r>
              <w:rPr>
                <w:rFonts w:ascii="Arial" w:cs="Arial" w:eastAsia="Arial" w:hAnsi="Arial"/>
                <w:sz w:val="18"/>
                <w:szCs w:val="18"/>
                <w:color w:val="auto"/>
              </w:rPr>
              <w:t>3.5</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13.6%</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0.5%</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reimbursement revenues totaled $306.1 million and $302.4 million for 2014 and 2013, respectively.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$7.0 million, or 1.1%, during 2014, as compared to 2013. The increase was primarily related to increased scope of work from existing clients.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$3.5 million, or 13.6%, during 2014, as compared to 2013. Operating profit margins increased by 0.5% to 4.7% in 2014 from 4.2% in 2013. The increase in operating profit margins was primarily driven by savings realized as a result of the realignment of our Onsite Services operational structure, changes to our risk management and safety programs that favorably impacted our estimated insurance expense, and the collection of previously reserved accounts receivable.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7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82.3</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20.5%</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7.8</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51.0%</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1.0%</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$82.3 million, or 20.5%, during 2014, as compared to 2013. The increase was primarily driven by organic growth resulting from newly awarded technical services contracts and to $25.4 million of incremental revenues from acquisitions, partially offset by fewer new franchise sales in 2014.</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$7.8 million, or 51.0%, during 2014, as compared to 2013. Operating profit margins increased by 1.0% to 4.8% in 2014 from 3.8% in 2013. The increase in operating profit margins is primarily related to the management of our selling, general and administrative expenses and changes to our risk management and safety programs that favorably impacted our estimated insurance expense. This increase in operating profit margins was partially offset by higher operating expenses from net new business that typically results in lower gross margins for a period of time until the labor management and facilities operations normalize, lower franchise revenues, and costs associated with the expansion of new business to the U.S. Government and multi-regional clients.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4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40.9</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12.5%</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Pr>
          <w:p>
            <w:pPr>
              <w:jc w:val="right"/>
              <w:ind w:right="454"/>
              <w:spacing w:after="0"/>
              <w:rPr>
                <w:sz w:val="20"/>
                <w:szCs w:val="20"/>
                <w:color w:val="auto"/>
              </w:rPr>
            </w:pPr>
            <w:r>
              <w:rPr>
                <w:rFonts w:ascii="Arial" w:cs="Arial" w:eastAsia="Arial" w:hAnsi="Arial"/>
                <w:sz w:val="18"/>
                <w:szCs w:val="18"/>
                <w:color w:val="auto"/>
              </w:rPr>
              <w:t>0.4</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3.4%</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(0.3)%</w:t>
            </w:r>
          </w:p>
        </w:tc>
        <w:tc>
          <w:tcPr>
            <w:tcW w:w="14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$40.9 million, or 12.5% during 2014, as compared to 2013. The increase was primarily driven by higher revenues in our U.K. operations resulting from new contract awards and $14.6 million of incremental revenues from an acquisition.</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$0.4 million or 3.4% during 2014, as compared to 2013. Operating profit margins decreased by 0.3% to 3.3% in 2014 from 3.6% in 2013. The decrease in operating profit margins was primarily related to higher operating expenses from net new business that typically results in lower gross margins for a period of time until the labor management and facilities operations normalize. This decrease was partially offset by changes to our risk management and safety programs that favorably impacted our estimated insurance expense and by growth in our U.K. operations.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October 31,</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9.7</w:t>
            </w: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9.2%</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$9.7 million, or 9.2%, during 2014, as compared to 2013.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$5.3 million increase in compensation and related expenses primarily as a result of adding certain IT positions since the prior year and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accrual of $3.4 million in connection with an unfavorable arbitration decision against us relating to a contract dispute with a third-party administrator;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$3.0 million increase in share-based compensation expense, which was primarily due to the recognition of higher expense relating to awards granted in 2012 through 2014, as compared to awards granted in 2010 and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7" w:right="239" w:bottom="1440" w:gutter="0" w:footer="0" w:header="0"/>
        </w:sectPr>
      </w:pPr>
    </w:p>
    <w:bookmarkStart w:id="41" w:name="page42"/>
    <w:bookmarkEnd w:id="41"/>
    <w:p>
      <w:pPr>
        <w:ind w:left="328" w:hanging="328"/>
        <w:spacing w:after="0" w:line="262"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$0.9 million year-over-year increase in self-insurance expense related to prior year claims as a result of actuarial valuations completed in 2014;</w:t>
      </w:r>
    </w:p>
    <w:p>
      <w:pPr>
        <w:spacing w:after="0" w:line="142"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$0.5 million increase in costs associated with our re-branding initiative; and</w:t>
      </w:r>
    </w:p>
    <w:p>
      <w:pPr>
        <w:spacing w:after="0" w:line="171"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$0.4 million increase in legal fees associated with an internal investigation into a foreign entity previously affiliated with a joint venture.</w:t>
      </w:r>
    </w:p>
    <w:p>
      <w:pPr>
        <w:spacing w:after="0" w:line="200" w:lineRule="exact"/>
        <w:rPr>
          <w:sz w:val="20"/>
          <w:szCs w:val="20"/>
          <w:color w:val="auto"/>
        </w:rPr>
      </w:pPr>
    </w:p>
    <w:p>
      <w:pPr>
        <w:spacing w:after="0" w:line="320"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$2.6 million decline in depreciation expense, mostly associated with our previously upgraded ERP system; and</w:t>
      </w:r>
    </w:p>
    <w:p>
      <w:pPr>
        <w:spacing w:after="0" w:line="171"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$1.2 million decrease in restructuring and related costs associated with the realignment of our Onsite Services operational structure in 2013.</w:t>
      </w:r>
    </w:p>
    <w:p>
      <w:pPr>
        <w:spacing w:after="0" w:line="21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8"/>
          </w:cols>
          <w:pgMar w:left="572" w:top="54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project anticipated cash requirements for our operating, investing, and financing needs. Our operating needs can include commitments for operating leases, payroll payments, insurance claims payments, interest payments, legal settlements, and pension funding obligations. Our investing and financing spending can include payments for acquired businesses, capital expenditures, commitments for capital leases, share repurchases, dividends, and payments on our outstanding indebtedness.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revolving credit facility, or that we will be able to access the capital markets in amounts sufficient to enable us to service our indebtedness or to fund our other liquidity needs.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continuing basis, we consider various transactions to increase shareholder value and enhance our business results, including acquisitions, divestitures, dividend payments, and share repurchases. These transactions may result in future cash proceeds or payments to shareholders.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2015, the total outstanding amounts under our $800.0 million line of credit in the form of cash borrowings and standby letters of credit were $158.0 million and $112.9 million, respectively. At October 31, 2015, we had up to $529.1 million borrowing capacity under our line of credit.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we entered into an amendment to our line of credit to update the definition of Consolidated EBITDA that is used in the calculation of certain of these leverage and financial covenants. The revised definition of Consolidated EBITDA provides addbacks for: (i) restructuring and related charges arising out of our 2020 Vision, (ii) adjustments with respect to insurance liabilities for periods prior to 2015, and (iii) costs arising from the consolidation of locations, subject to the limitation that the aggregate amount of all addbacks does not exceed $75.0 million. In addition, the amendment permits us to dispose of certain assets and to repurchase our common stock without regard to a cap so long as certain leverage tests are met.</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Other covenants under our line of credit include limitations on liens, dispositions, fundamental changes, investments, and certain transactions and payments.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2015, we were in compliance with these covenants and expect to be in compliance in the foreseeable future.</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first quarter of 2015, we formed a wholly-owned captive insurance company (“IFM Assurance Company”). The formation of IFM Assurance Company is part of our enterprise-wide, multi-year insurance strategy that is intended to better position our risk and safety programs and should provide us with increased flexibility in the end-to-end management of our insurance programs. In the second quarter of 2015, we funded IFM Assurance Company with an initial cash contribution of $12.0 million. IFM Assurance Company began providing coverage to us as of January 1, 2015. In 2015, cash tax savings related to coverage provided by IFM Assurance Company was $20.0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approved a share repurchase program authorizing us to repurchase shares of our common stock amounting to $200.0 million. This authorization replaced our previous $50.0 million share repurchase program, which had $10.0 million of authorization remaining. As was the case with the previous program, these purchases may take place on the open market or otherwise, and all or part of the repurchases may be made pursuant to the terms of a Rule 10b5-1 plan or in privately negotiated transactions. In addition, such purchases will be made at such times and for such prices as we shall determine at our discretion. Repurchased shares are retired and returned to an authorized but unissued status. The repurchase program may be suspended or discontinued at any time without notice. During 2015, we purchased 1.0 million shares of our common stock at an average price of $30.72 per share for a total of $31.4 million.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99"/>
              </w:rPr>
              <w:t>Years Ended October 31,</w:t>
            </w:r>
          </w:p>
        </w:tc>
        <w:tc>
          <w:tcPr>
            <w:tcW w:w="1420" w:type="dxa"/>
            <w:vAlign w:val="bottom"/>
            <w:tcBorders>
              <w:bottom w:val="single" w:sz="8" w:color="auto"/>
            </w:tcBorders>
          </w:tcPr>
          <w:p>
            <w:pPr>
              <w:spacing w:after="0"/>
              <w:rPr>
                <w:sz w:val="21"/>
                <w:szCs w:val="21"/>
                <w:color w:val="auto"/>
              </w:rPr>
            </w:pPr>
          </w:p>
        </w:tc>
      </w:tr>
      <w:tr>
        <w:trPr>
          <w:trHeight w:val="230"/>
        </w:trPr>
        <w:tc>
          <w:tcPr>
            <w:tcW w:w="57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Pr>
          <w:p>
            <w:pPr>
              <w:spacing w:after="0"/>
              <w:rPr>
                <w:sz w:val="19"/>
                <w:szCs w:val="19"/>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r>
      <w:tr>
        <w:trPr>
          <w:trHeight w:val="263"/>
        </w:trPr>
        <w:tc>
          <w:tcPr>
            <w:tcW w:w="5700" w:type="dxa"/>
            <w:vAlign w:val="bottom"/>
            <w:gridSpan w:val="3"/>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77"/>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provided by operating activities increased by $24.6 million during 2015, as compared to 2014. The increase was primarily related to the timing of payments made for vendor invoices.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decreased by $14.6 million during 2014, as compared to 2013. The decrease was primarily related to higher cash taxes paid that was mostly related to the prior utilization of certain tax assets and the timing of payroll payments. This decrease was partially offset by the timing of client receivable collections.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investing activities increased by $172.4 million during 2015, as compared to 2014. The increase was primarily related to $131.0 million of cash proceeds from the sale of our Security business, along with a reduction in cash paid for both acquisitions and property, plant and equipment additions.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$143.9 million during 2014, as compared to 2013. The decrease was primarily related to $48.2 million cash paid, net of cash acquired, for acquisitions made during 2014, as compared to $199.3 million cash paid, net of cash acquired, for acquisitions made during 2013.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used in financing activities increased by $182.3 million during 2015, as compared to 2014. The increase was primarily related to a $166.7 million decrease in net borrowings from our line of credit as a result of the use of the cash proceeds from the sale of our Security business to pay down a portion of our line of credit. In addition, net cash used in financing activities increased as a result of the $31.4 million increase in cash used for common stock repurchases.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financing activities increased by $114.3 million during 2014, as compared to 2013. The increase was primarily related to a $95.0 million increase in net repayments from our line of credit in 2014 and a $20.0 million increase in cash used for common stock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8, 2015, we announced a quarterly cash dividend of $0.165 per share on our common stock, payable on February 1, 2016. We declared a quarterly cash dividend on our common stock during every quarter during 2015, 2014, and 2013. In 2015, 2014, and 2013, the total annual dividends paid were $36.0 million, $34.6 million, and $32.9 million,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2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Future Contractual Obligations, Other Long-Term Liabilities, and Commercial Commitments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gridSpan w:val="4"/>
          </w:tcPr>
          <w:p>
            <w:pPr>
              <w:ind w:left="40"/>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8"/>
          </w:tcPr>
          <w:p>
            <w:pPr>
              <w:ind w:left="82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458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270"/>
        </w:trPr>
        <w:tc>
          <w:tcPr>
            <w:tcW w:w="4580" w:type="dxa"/>
            <w:vAlign w:val="bottom"/>
            <w:gridSpan w:val="4"/>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36.3</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Long-Term Liabilities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2017-2018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2019-2020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auto"/>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100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98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6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60" w:type="dxa"/>
            <w:vAlign w:val="bottom"/>
            <w:tcBorders>
              <w:top w:val="single" w:sz="8" w:color="CCEEFF"/>
              <w:bottom w:val="single" w:sz="8" w:color="auto"/>
            </w:tcBorders>
            <w:shd w:val="clear" w:color="auto" w:fill="CCEEFF"/>
          </w:tcPr>
          <w:p>
            <w:pPr>
              <w:spacing w:after="0"/>
              <w:rPr>
                <w:sz w:val="2"/>
                <w:szCs w:val="2"/>
                <w:color w:val="auto"/>
              </w:rPr>
            </w:pPr>
          </w:p>
        </w:tc>
      </w:tr>
      <w:tr>
        <w:trPr>
          <w:trHeight w:val="25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24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r>
      <w:tr>
        <w:trPr>
          <w:trHeight w:val="297"/>
        </w:trPr>
        <w:tc>
          <w:tcPr>
            <w:tcW w:w="4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ind w:left="60"/>
              <w:spacing w:after="0"/>
              <w:rPr>
                <w:sz w:val="20"/>
                <w:szCs w:val="20"/>
                <w:color w:val="auto"/>
              </w:rPr>
            </w:pPr>
            <w:r>
              <w:rPr>
                <w:rFonts w:ascii="Arial" w:cs="Arial" w:eastAsia="Arial" w:hAnsi="Arial"/>
                <w:sz w:val="16"/>
                <w:szCs w:val="16"/>
                <w:b w:val="1"/>
                <w:bCs w:val="1"/>
                <w:color w:val="auto"/>
              </w:rPr>
              <w:t>Amounts of Commitment Expiration Per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Commercial Commitments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2017-2018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2019-2020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auto"/>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100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6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60" w:type="dxa"/>
            <w:vAlign w:val="bottom"/>
            <w:tcBorders>
              <w:top w:val="single" w:sz="8" w:color="CCEEFF"/>
              <w:bottom w:val="single" w:sz="8" w:color="auto"/>
            </w:tcBorders>
            <w:shd w:val="clear" w:color="auto" w:fill="CCEEFF"/>
          </w:tcPr>
          <w:p>
            <w:pPr>
              <w:spacing w:after="0"/>
              <w:rPr>
                <w:sz w:val="2"/>
                <w:szCs w:val="2"/>
                <w:color w:val="auto"/>
              </w:rPr>
            </w:pPr>
          </w:p>
        </w:tc>
      </w:tr>
      <w:tr>
        <w:trPr>
          <w:trHeight w:val="25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Standby letters of credit</w:t>
            </w:r>
            <w:r>
              <w:rPr>
                <w:rFonts w:ascii="Arial" w:cs="Arial" w:eastAsia="Arial" w:hAnsi="Arial"/>
                <w:sz w:val="21"/>
                <w:szCs w:val="21"/>
                <w:color w:val="auto"/>
                <w:vertAlign w:val="superscript"/>
              </w:rPr>
              <w:t>(7)</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Surety bonds</w:t>
            </w:r>
            <w:r>
              <w:rPr>
                <w:rFonts w:ascii="Arial" w:cs="Arial" w:eastAsia="Arial" w:hAnsi="Arial"/>
                <w:sz w:val="21"/>
                <w:szCs w:val="21"/>
                <w:color w:val="auto"/>
                <w:vertAlign w:val="superscript"/>
              </w:rPr>
              <w:t>(8)</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407.1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985.3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53.0</w:t>
            </w: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8"/>
        <w:spacing w:after="0" w:line="262"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our contractual obligations to make future payments under non-cancelable operating and capital lease agreements for various facilities, vehicles, and other equipment.</w:t>
      </w:r>
    </w:p>
    <w:p>
      <w:pPr>
        <w:spacing w:after="0" w:line="196" w:lineRule="exact"/>
        <w:rPr>
          <w:rFonts w:ascii="Arial" w:cs="Arial" w:eastAsia="Arial" w:hAnsi="Arial"/>
          <w:sz w:val="18"/>
          <w:szCs w:val="18"/>
          <w:color w:val="auto"/>
        </w:rPr>
      </w:pPr>
    </w:p>
    <w:p>
      <w:pPr>
        <w:ind w:firstLine="8"/>
        <w:spacing w:after="0" w:line="262" w:lineRule="auto"/>
        <w:tabs>
          <w:tab w:leader="none" w:pos="3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our contractual obligations to make future payments for outsourced services and licensing costs pursuant to our information technology agreements.</w:t>
      </w:r>
    </w:p>
    <w:p>
      <w:pPr>
        <w:spacing w:after="0" w:line="142" w:lineRule="exact"/>
        <w:rPr>
          <w:rFonts w:ascii="Arial" w:cs="Arial" w:eastAsia="Arial" w:hAnsi="Arial"/>
          <w:sz w:val="18"/>
          <w:szCs w:val="18"/>
          <w:color w:val="auto"/>
        </w:rPr>
      </w:pPr>
    </w:p>
    <w:p>
      <w:pPr>
        <w:jc w:val="both"/>
        <w:ind w:firstLine="8"/>
        <w:spacing w:after="0" w:line="25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future expected payments relating to our defined benefit, postretirement, and deferred compensation plans. These amounts were calculated using the same assumptions used to measure our benefit obligation as of October 31, 2015. This expectation is based upon expected future service.</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our company sponsored plans, we participate in certain multiemployer pension and other postretirement plans. The cost of these plans is equal to the annual required contributions determined in accordance with the provisions of negotiated collective bargaining arrangements. During 2015, 2014, and 2013, contributions made to these plans were $281.5 million, $ 275.6 million, and $255.0 million, respectively; however, the future cost of the multiemployer plans is dependent upon a number of factors, including the funded status of the plans, the ability of other participating companies to meet ongoing funding obligations, and the level of our ongoing participation in these plans. Because the amount of future contributions we would be contractually obligated to make pursuant to these plans cannot be reasonably estimated, such amounts have been excluded from the table above. See Note 14, “Employee Benefit Plans,” in the Financial Statements</w:t>
      </w:r>
    </w:p>
    <w:p>
      <w:pPr>
        <w:spacing w:after="0" w:line="153" w:lineRule="exact"/>
        <w:rPr>
          <w:sz w:val="20"/>
          <w:szCs w:val="20"/>
          <w:color w:val="auto"/>
        </w:rPr>
      </w:pPr>
    </w:p>
    <w:p>
      <w:pPr>
        <w:jc w:val="both"/>
        <w:ind w:firstLine="8"/>
        <w:spacing w:after="0" w:line="256" w:lineRule="auto"/>
        <w:tabs>
          <w:tab w:leader="none" w:pos="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Borrowings under our line of credit are presented at face value.</w:t>
      </w:r>
    </w:p>
    <w:p>
      <w:pPr>
        <w:spacing w:after="0" w:line="171" w:lineRule="exact"/>
        <w:rPr>
          <w:rFonts w:ascii="Arial" w:cs="Arial" w:eastAsia="Arial" w:hAnsi="Arial"/>
          <w:sz w:val="18"/>
          <w:szCs w:val="18"/>
          <w:color w:val="auto"/>
        </w:rPr>
      </w:pPr>
    </w:p>
    <w:p>
      <w:pPr>
        <w:jc w:val="both"/>
        <w:ind w:firstLine="8"/>
        <w:spacing w:after="0" w:line="254" w:lineRule="auto"/>
        <w:tabs>
          <w:tab w:leader="none" w:pos="2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estimates of future interest payments are calculated based on our hedged borrowings under our line of credit, using the fixed rates under our interest rate swap agreements for the applicable notional amounts. See Note 13, “Line of Credit,” in the Financial Statements for additional disclosure related to our interest rate swaps. We exclude interest payments on our remaining borrowings from these amounts because the cash outlay for the interest is unknown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22" w:right="239" w:bottom="1440" w:gutter="0" w:footer="0" w:header="0"/>
        </w:sectPr>
      </w:pPr>
    </w:p>
    <w:bookmarkStart w:id="45" w:name="page46"/>
    <w:bookmarkEnd w:id="45"/>
    <w:p>
      <w:pPr>
        <w:spacing w:after="0" w:line="262" w:lineRule="auto"/>
        <w:rPr>
          <w:sz w:val="20"/>
          <w:szCs w:val="20"/>
          <w:color w:val="auto"/>
        </w:rPr>
      </w:pPr>
      <w:r>
        <w:rPr>
          <w:rFonts w:ascii="Arial" w:cs="Arial" w:eastAsia="Arial" w:hAnsi="Arial"/>
          <w:sz w:val="18"/>
          <w:szCs w:val="18"/>
          <w:color w:val="auto"/>
        </w:rPr>
        <w:t>cannot be reliably estimated as all of the debt is under a revolving credit facility. The interest payments on these remaining borrowings will be determined based upon the daily outstanding balance of the revolving credit facility and the prevailing interest rate during that time.</w:t>
      </w:r>
    </w:p>
    <w:p>
      <w:pPr>
        <w:spacing w:after="0" w:line="14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October 31, 2015, we had $112.9 million of standby letters of credit, primarily related to our insurance programs.</w:t>
      </w:r>
    </w:p>
    <w:p>
      <w:pPr>
        <w:spacing w:after="0" w:line="171" w:lineRule="exact"/>
        <w:rPr>
          <w:rFonts w:ascii="Arial" w:cs="Arial" w:eastAsia="Arial" w:hAnsi="Arial"/>
          <w:sz w:val="18"/>
          <w:szCs w:val="18"/>
          <w:color w:val="auto"/>
        </w:rPr>
      </w:pPr>
    </w:p>
    <w:p>
      <w:pPr>
        <w:jc w:val="both"/>
        <w:ind w:firstLine="8"/>
        <w:spacing w:after="0" w:line="254" w:lineRule="auto"/>
        <w:tabs>
          <w:tab w:leader="none" w:pos="2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use surety bonds, principally performance, payment, and insurance bonds, related to contractual obligations in the normal course of business and to collateralize self-insurance obligations. These bonds typically remain in force for one to five years and may include optional renewal periods. At October 31, 2015, outstanding surety bonds totaled $407.1 million, of which $6.7 million have an effective date starting after October 31, 2015. We do not believe that these bonds will be drawn upon by the beneficiaries.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our total liability for unrecognized tax benefits was $53.2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October 31, 2015, these surety bonds and letters of credit totaled $407.1 million and $112.9 million, respectively. Included in the total amount of surety bonds is $6.7 million of bonds with an effective date starting after October 31, 2015. None of these arrangements have a material current effect, or are reasonably likely to have a material future effect, on our financial condition, changes in financial condition, revenues or expenses, results of operations, liquidity, capital expenditures, or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our operations. In addition, from time to time we are involved in environmental matters at certain of our locations or in connection with our operations. Historically, the cost of complying with environmental laws or resolving environmental issues relating to United States locations or operations has not had a material adverse effect on our financial position, results of operations, or cash flows. We do not believe that the resolution of matters known at this time will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4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accounting principles generally accepted in the United States of America requires our management to make certain estimates that affect the reported amounts. We base our estimates on historical experience, known or expected trends, independent valuations, and various other assumptions. As future events and their effects cannot be determined with precision, actual results could differ significantly from these estimates. We believe the following critical accounting policies govern the more significant judgments and estimates used in the preparation of our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60" w:space="720"/>
            <w:col w:w="7640"/>
          </w:cols>
          <w:pgMar w:left="240" w:top="522" w:right="239" w:bottom="1440" w:gutter="0" w:footer="0" w:header="0"/>
          <w:type w:val="continuous"/>
        </w:sectPr>
      </w:pPr>
    </w:p>
    <w:p>
      <w:pPr>
        <w:spacing w:after="0" w:line="14"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We estimate the allowance for doubtful accounts based on a variety of factors, including an analysis of the historical rate of credit losses or write-offs, specific client concerns, and known or expected trends.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6"/>
          <w:szCs w:val="16"/>
          <w:color w:val="auto"/>
        </w:rPr>
        <w:t>The determination of our allowance for doubtful accounts contains uncertainties because it requires our management to make assumptions and apply judgment about future uncollectible accounts.</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Actual write-offs and adjustments could differ from the allowance estimates due to unanticipated changes in the business environment as well as factors and risks associated with specific clients.</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addition, changes in the financial condition of our clients or adverse developments in negotiations or legal proceedings to obtain payment could result in the actual loss exceeding the estimated allowance.</w:t>
      </w:r>
    </w:p>
    <w:p>
      <w:pPr>
        <w:spacing w:after="0" w:line="24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record our allowance for doubtful accounts during the past three years.</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 10% difference in our allowance for doubtful accounts as of October 31, 2015 would have affected net income by approximately $0.3 million during 2015.</w:t>
      </w:r>
    </w:p>
    <w:p>
      <w:pPr>
        <w:sectPr>
          <w:pgSz w:w="11900" w:h="16838" w:orient="portrait"/>
          <w:cols w:equalWidth="0" w:num="3">
            <w:col w:w="3520" w:space="300"/>
            <w:col w:w="3680" w:space="200"/>
            <w:col w:w="3720"/>
          </w:cols>
          <w:pgMar w:left="240" w:top="522" w:right="239" w:bottom="1440" w:gutter="0" w:footer="0" w:header="0"/>
          <w:type w:val="continuous"/>
        </w:sectPr>
      </w:pPr>
    </w:p>
    <w:bookmarkStart w:id="47" w:name="page48"/>
    <w:bookmarkEnd w:id="47"/>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b w:val="1"/>
          <w:bCs w:val="1"/>
          <w:color w:val="auto"/>
        </w:rPr>
        <w:t>Amortization and Impairment of Long-Lived Assets</w:t>
      </w:r>
    </w:p>
    <w:p>
      <w:pPr>
        <w:spacing w:after="0" w:line="14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long-lived assets include: property, plant and equipment and amortizable intangible assets.</w:t>
      </w:r>
    </w:p>
    <w:p>
      <w:pPr>
        <w:spacing w:after="0" w:line="169"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auto"/>
        </w:rPr>
        <w:t>We estimate the depreciable lives of our long-lived assets. For depreciable fixed assets, our depreciable lives are based on our accounting policy, which is intended to mirror the expected useful life of the asset.</w:t>
      </w:r>
    </w:p>
    <w:p>
      <w:pPr>
        <w:spacing w:after="0" w:line="17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determining the estimated useful life of amortizable intangible assets, such as customer contracts and relationships, we rely on our historical experience to estimate the useful life of the applicable asset and consider industry norms as a benchmark.</w:t>
      </w:r>
    </w:p>
    <w:p>
      <w:pPr>
        <w:spacing w:after="0" w:line="17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evaluate our long-lived assets for impairment whenever events or changes in circumstances indicate that the carrying amount of such assets may not be recoverable. These events and circumstances include, but are not limited to, a current expectation that a long-lived asset will be disposed of significantly before the end of its previously estimated useful life, a significant adverse change in the extent or manner in which we use a long-lived asset, or a change in its physical condition.</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When this occurs, a recoverability test is performed that compares the projected undiscounted cash flows from the use and eventual disposition of an asset or asset group to its carrying amount. If as a result of this test we conclude that the projected undiscounted cash flows are less than the carrying amount, an impairment would be recorded for the excess of the carrying amount over the estimated fair value.</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If we recognize an impairment loss, the adjusted carrying amount of the asset becomes the new cost basis.</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For a depreciable long-lived asset, the new cost basis will be depreciated (amortized) over the remaining estimated useful life of that asset.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Incorrect estimation of useful lives may result in inaccurate depreciation and amortization charges over future periods leading to future impairment.</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Any impairment loss calculations would require us to apply judgment in estimating expected future cash flows (including estimated sales, margin, and controllable expenses, and assumptions about market performance for operating locations) and estimated selling prices or lease rates for locations identified for closure.</w:t>
      </w:r>
    </w:p>
    <w:p>
      <w:pPr>
        <w:spacing w:after="0" w:line="182"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We also apply judgment in estimating asset fair values, including the selection of an appropriate discount rate for fair values determined using an income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-8890</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have not made any changes in the accounting methodology used to evaluate the impairment of long-lived assets during the last three years.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Additionally, we have not made any changes to estimated useful lives of our long-lived assets.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actual results are not consistent with our estimates and assumptions used to calculate estimated future cash flows, we may be exposed to future impairment losses that could be material.</w:t>
      </w:r>
    </w:p>
    <w:p>
      <w:pPr>
        <w:sectPr>
          <w:pgSz w:w="11900" w:h="16838" w:orient="portrait"/>
          <w:cols w:equalWidth="0" w:num="3">
            <w:col w:w="3560" w:space="220"/>
            <w:col w:w="3620" w:space="260"/>
            <w:col w:w="3660"/>
          </w:cols>
          <w:pgMar w:left="280" w:top="689" w:right="299" w:bottom="1440" w:gutter="0" w:footer="0" w:header="0"/>
        </w:sectPr>
      </w:pPr>
    </w:p>
    <w:bookmarkStart w:id="48" w:name="page49"/>
    <w:bookmarkEnd w:id="48"/>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Goodwill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elected to make the first day of our fiscal fourth quarter, August 1st, the annual impairment assessment date for goodwill. However, we could be required to evaluate the recoverability of goodwill prior to the annual assessment if we experience a significant change in the business climate, legal factors, operating performance indicators, competition, or sale or disposition of a significant portion of one of our businesses.</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test the carrying value of goodwill for impairment at a “reporting unit” level using a two-step approach.</w:t>
      </w:r>
    </w:p>
    <w:p>
      <w:pPr>
        <w:spacing w:after="0" w:line="17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first step of the process is to evaluate whether the fair value of a reporting unit is less than its carrying value, which is an indicator that the goodwill assigned to that reporting unit may be impaired.</w:t>
      </w:r>
    </w:p>
    <w:p>
      <w:pPr>
        <w:spacing w:after="0" w:line="17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 this case,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w:t>
      </w:r>
    </w:p>
    <w:p>
      <w:pPr>
        <w:spacing w:after="0" w:line="18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its carrying value, we would record an impairment for the excess of the carrying amount over the estimated fair value.</w:t>
      </w:r>
    </w:p>
    <w:p>
      <w:pPr>
        <w:spacing w:after="0" w:line="20" w:lineRule="exact"/>
        <w:rPr>
          <w:sz w:val="20"/>
          <w:szCs w:val="20"/>
          <w:color w:val="auto"/>
        </w:rPr>
      </w:pPr>
      <w:r>
        <w:rPr>
          <w:sz w:val="20"/>
          <w:szCs w:val="20"/>
          <w:color w:val="auto"/>
        </w:rPr>
        <w:br w:type="column"/>
      </w:r>
    </w:p>
    <w:p>
      <w:pPr>
        <w:jc w:val="both"/>
        <w:ind w:right="200"/>
        <w:spacing w:after="0" w:line="253"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making these estimates, weighted average cost of capital is utilized to calculate the present value of future cash flows and terminal value. Many variables go into estimating future cash flows, including our future sales growth and operating results. When estimating our projected revenue growth and future operating results, we consider industry trends, economic data, and our competitive advantage.</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market approach estimates fair value by using market comparables for reasonably similar public companies.</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the anticipated future economic and operating conditions.</w:t>
      </w:r>
    </w:p>
    <w:p>
      <w:pPr>
        <w:spacing w:after="0" w:line="20" w:lineRule="exact"/>
        <w:rPr>
          <w:sz w:val="20"/>
          <w:szCs w:val="20"/>
          <w:color w:val="auto"/>
        </w:rPr>
      </w:pPr>
      <w:r>
        <w:rPr>
          <w:sz w:val="20"/>
          <w:szCs w:val="20"/>
          <w:color w:val="auto"/>
        </w:rPr>
        <w:br w:type="column"/>
      </w:r>
    </w:p>
    <w:p>
      <w:pPr>
        <w:ind w:right="140"/>
        <w:spacing w:after="0" w:line="249" w:lineRule="auto"/>
        <w:rPr>
          <w:sz w:val="20"/>
          <w:szCs w:val="20"/>
          <w:color w:val="auto"/>
        </w:rPr>
      </w:pPr>
      <w:r>
        <w:rPr>
          <w:rFonts w:ascii="Arial" w:cs="Arial" w:eastAsia="Arial" w:hAnsi="Arial"/>
          <w:sz w:val="16"/>
          <w:szCs w:val="16"/>
          <w:color w:val="auto"/>
        </w:rPr>
        <w:t>We have not made any changes in the accounting methodology used to evaluate impairment of goodwill during the last three years, other than the creation of new reporting units relative to our acquisition of Air Serv and our segment realignment in 2013.</w:t>
      </w:r>
    </w:p>
    <w:p>
      <w:pPr>
        <w:spacing w:after="0" w:line="17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As of October 31, 2015, we had $867.5 million of goodwill. Our goodwill is included in the following segments: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$491.9 million - Janitorial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$72.6 million - Facility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$69.2 million - Parking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$146.4 million - Building &amp; Energy Solutions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$87.4 million - Other</w:t>
      </w:r>
    </w:p>
    <w:p>
      <w:pPr>
        <w:spacing w:after="0" w:line="19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 goodwill impairment analysis was performed for each of our reporting units, as well as our discontinued Security segment as of August 1, 2015, which indicated that the implied fair value of each of our reporting units was substantially in excess of its carrying value. Therefore, the second step was not necessary. A 10% decrease in the estimated fair value of our reporting units would not result in a goodwill impairment.</w:t>
      </w:r>
    </w:p>
    <w:p>
      <w:pPr>
        <w:spacing w:after="0" w:line="1523" w:lineRule="exact"/>
        <w:rPr>
          <w:sz w:val="20"/>
          <w:szCs w:val="20"/>
          <w:color w:val="auto"/>
        </w:rPr>
      </w:pPr>
    </w:p>
    <w:p>
      <w:pPr>
        <w:sectPr>
          <w:pgSz w:w="11900" w:h="16838" w:orient="portrait"/>
          <w:cols w:equalWidth="0" w:num="3">
            <w:col w:w="3580" w:space="200"/>
            <w:col w:w="3700" w:space="180"/>
            <w:col w:w="3720"/>
          </w:cols>
          <w:pgMar w:left="280" w:top="689" w:right="239" w:bottom="1440" w:gutter="0" w:footer="0" w:header="0"/>
          <w:type w:val="continuous"/>
        </w:sectPr>
      </w:pP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80" w:top="689" w:right="239" w:bottom="1440" w:gutter="0" w:footer="0" w:header="0"/>
          <w:type w:val="continuous"/>
        </w:sectPr>
      </w:pPr>
    </w:p>
    <w:bookmarkStart w:id="49" w:name="page50"/>
    <w:bookmarkEnd w:id="49"/>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automobile liability, property damage, and other insurable risks.</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“incurred but not reported” claim costs.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With the assistance of third-party professionals, we periodically review our estimate of ultimate losses for “incurred but not reported” claim costs and adjust our required self-insurance reserves as appropriate. As part of this evaluation, we review the status of existing and new claim reserves as established by our third-party claims administrators.</w:t>
      </w:r>
    </w:p>
    <w:p>
      <w:pPr>
        <w:spacing w:after="0" w:line="1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third-party administrators establish the case reserves based upon known factors related to the type and severity of the claims, demographic factors, legislative matters, and case law, as appropriate.</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compare actual trends to expected trends and monitor claims developments.</w:t>
      </w:r>
    </w:p>
    <w:p>
      <w:pPr>
        <w:spacing w:after="0" w:line="16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“incurred but not reported” claim costs.</w:t>
      </w:r>
    </w:p>
    <w:p>
      <w:pPr>
        <w:spacing w:after="0" w:line="18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utilize the independent third-party administrator’s actuarial point estimate, reviewed by our management, to adjust our carried self-insurance reserves.</w:t>
      </w:r>
    </w:p>
    <w:p>
      <w:pPr>
        <w:spacing w:after="0" w:line="20" w:lineRule="exact"/>
        <w:rPr>
          <w:sz w:val="20"/>
          <w:szCs w:val="20"/>
          <w:color w:val="auto"/>
        </w:rPr>
      </w:pPr>
      <w:r>
        <w:rPr>
          <w:sz w:val="20"/>
          <w:szCs w:val="20"/>
          <w:color w:val="auto"/>
        </w:rPr>
        <w:br w:type="column"/>
      </w:r>
    </w:p>
    <w:p>
      <w:pPr>
        <w:jc w:val="both"/>
        <w:ind w:right="200"/>
        <w:spacing w:after="0" w:line="260" w:lineRule="auto"/>
        <w:rPr>
          <w:sz w:val="20"/>
          <w:szCs w:val="20"/>
          <w:color w:val="auto"/>
        </w:rPr>
      </w:pPr>
      <w:r>
        <w:rPr>
          <w:rFonts w:ascii="Arial" w:cs="Arial" w:eastAsia="Arial" w:hAnsi="Arial"/>
          <w:sz w:val="16"/>
          <w:szCs w:val="16"/>
          <w:color w:val="auto"/>
        </w:rPr>
        <w:t>Our self-insurance liabilities contain uncertainties due to assumptions required and judgment used.</w:t>
      </w:r>
    </w:p>
    <w:p>
      <w:pPr>
        <w:spacing w:after="0" w:line="169"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Costs to settle our obligations, including legal and healthcare costs, could increase or decrease and cause estimates of our self-insurance liabilities to change.</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Incident rates, including frequency and severity, could increase or decrease and cause the estimates in our self-insurance liabilities to change.</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These estimates are subject to: changes in the regulatory environment; fluctuations in projected exposures, including payroll, revenues, and the number of vehicle units; and the frequency, lag, and severity of claims.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become fully determined for several years.</w:t>
      </w:r>
    </w:p>
    <w:p>
      <w:pPr>
        <w:spacing w:after="0" w:line="17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 addition, if the reserves related to self-insurance or high deductible programs from acquired businesses are not adequate to cover damages resulting from future accidents or other incidents, we may be exposed to substantial losses arising from future developments of the claims.</w:t>
      </w:r>
    </w:p>
    <w:p>
      <w:pPr>
        <w:spacing w:after="0" w:line="20" w:lineRule="exact"/>
        <w:rPr>
          <w:sz w:val="20"/>
          <w:szCs w:val="20"/>
          <w:color w:val="auto"/>
        </w:rPr>
      </w:pPr>
      <w:r>
        <w:rPr>
          <w:sz w:val="20"/>
          <w:szCs w:val="20"/>
          <w:color w:val="auto"/>
        </w:rPr>
        <w:br w:type="column"/>
      </w:r>
    </w:p>
    <w:p>
      <w:pPr>
        <w:jc w:val="both"/>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After analyzing the recent loss development patterns, comparing the loss developments against benchmarks, and applying actuarial projection methods to determine the estimate of ultimate losses, during 2015 we increased our reserves by $42.4 million, as a result of unfavorable developments in our insurance claims.</w:t>
      </w:r>
    </w:p>
    <w:p>
      <w:pPr>
        <w:spacing w:after="0" w:line="18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$22.7 million for 2015.</w:t>
      </w:r>
    </w:p>
    <w:p>
      <w:pPr>
        <w:spacing w:after="0" w:line="5497" w:lineRule="exact"/>
        <w:rPr>
          <w:sz w:val="20"/>
          <w:szCs w:val="20"/>
          <w:color w:val="auto"/>
        </w:rPr>
      </w:pPr>
    </w:p>
    <w:p>
      <w:pPr>
        <w:sectPr>
          <w:pgSz w:w="11900" w:h="16838" w:orient="portrait"/>
          <w:cols w:equalWidth="0" w:num="3">
            <w:col w:w="3600" w:space="180"/>
            <w:col w:w="3700" w:space="180"/>
            <w:col w:w="3720"/>
          </w:cols>
          <w:pgMar w:left="280" w:top="689" w:right="239" w:bottom="1440" w:gutter="0" w:footer="0" w:header="0"/>
          <w:type w:val="continuous"/>
        </w:sect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80" w:top="689" w:right="239" w:bottom="1440" w:gutter="0" w:footer="0" w:header="0"/>
          <w:type w:val="continuous"/>
        </w:sectPr>
      </w:pPr>
    </w:p>
    <w:bookmarkStart w:id="50" w:name="page51"/>
    <w:bookmarkEnd w:id="50"/>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Fixed-Price</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Transaction-Price</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Transaction-price arrangements are agreements in which the clients are billed for each transaction performed on a monthly basis (e.g., wheelchair passengers served, aircrafts cleaned).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Hourly</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These arrangements are contracts in which the client is billed a set hourly rate for each labor hour provided.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Cost-Plus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Tag Services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Tag work generally consists of supplemental services requested by clients outside of the standard service specification. Examples are cleanup after tenant moves, construction cleanup, flood cleanup, snow removal, and extermination services.</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i w:val="1"/>
          <w:iCs w:val="1"/>
          <w:color w:val="auto"/>
        </w:rPr>
        <w:t xml:space="preserve">Fixed-Price Repair and Refurbishment </w:t>
      </w:r>
      <w:r>
        <w:rPr>
          <w:rFonts w:ascii="Arial" w:cs="Arial" w:eastAsia="Arial" w:hAnsi="Arial"/>
          <w:sz w:val="16"/>
          <w:szCs w:val="16"/>
          <w:color w:val="auto"/>
        </w:rPr>
        <w:t>Revenue is recognized on certain fixed-price repair and refurbishment arrangements using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w:t>
      </w:r>
    </w:p>
    <w:p>
      <w:pPr>
        <w:spacing w:after="0" w:line="20" w:lineRule="exact"/>
        <w:rPr>
          <w:sz w:val="20"/>
          <w:szCs w:val="20"/>
          <w:color w:val="auto"/>
        </w:rPr>
      </w:pPr>
      <w:r>
        <w:rPr>
          <w:sz w:val="20"/>
          <w:szCs w:val="20"/>
          <w:color w:val="auto"/>
        </w:rPr>
        <w:br w:type="column"/>
      </w:r>
    </w:p>
    <w:p>
      <w:pPr>
        <w:ind w:left="3"/>
        <w:spacing w:after="0" w:line="250" w:lineRule="auto"/>
        <w:rPr>
          <w:sz w:val="20"/>
          <w:szCs w:val="20"/>
          <w:color w:val="auto"/>
        </w:rPr>
      </w:pPr>
      <w:r>
        <w:rPr>
          <w:rFonts w:ascii="Arial" w:cs="Arial" w:eastAsia="Arial" w:hAnsi="Arial"/>
          <w:sz w:val="16"/>
          <w:szCs w:val="16"/>
          <w:color w:val="auto"/>
        </w:rPr>
        <w:t>For our service contracts, the determination of the sales allowance contains uncertainties because it requires our management to make assumptions and apply judgment about the amount and timing of unknown billing errors and disputes.</w:t>
      </w:r>
    </w:p>
    <w:p>
      <w:pPr>
        <w:spacing w:after="0" w:line="176" w:lineRule="exact"/>
        <w:rPr>
          <w:sz w:val="20"/>
          <w:szCs w:val="20"/>
          <w:color w:val="auto"/>
        </w:rPr>
      </w:pPr>
    </w:p>
    <w:p>
      <w:pPr>
        <w:ind w:left="3" w:right="320"/>
        <w:spacing w:after="0" w:line="246" w:lineRule="auto"/>
        <w:rPr>
          <w:sz w:val="20"/>
          <w:szCs w:val="20"/>
          <w:color w:val="auto"/>
        </w:rPr>
      </w:pPr>
      <w:r>
        <w:rPr>
          <w:rFonts w:ascii="Arial" w:cs="Arial" w:eastAsia="Arial" w:hAnsi="Arial"/>
          <w:sz w:val="16"/>
          <w:szCs w:val="16"/>
          <w:color w:val="auto"/>
        </w:rPr>
        <w:t>For certain fixed-price repair and refurbishment arrangements for which we recognize revenue under the percentage-of-completion method, recognition of profit is dependent upon the accuracy of a variety of estimates, including:</w:t>
      </w:r>
    </w:p>
    <w:p>
      <w:pPr>
        <w:spacing w:after="0" w:line="2" w:lineRule="exact"/>
        <w:rPr>
          <w:sz w:val="20"/>
          <w:szCs w:val="20"/>
          <w:color w:val="auto"/>
        </w:rPr>
      </w:pPr>
    </w:p>
    <w:p>
      <w:pPr>
        <w:ind w:left="243" w:hanging="243"/>
        <w:spacing w:after="0"/>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engineering progress;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achievement of milestones;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incentives;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labor productivity; and</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estimates.</w:t>
      </w:r>
    </w:p>
    <w:p>
      <w:pPr>
        <w:spacing w:after="0" w:line="194" w:lineRule="exact"/>
        <w:rPr>
          <w:sz w:val="20"/>
          <w:szCs w:val="20"/>
          <w:color w:val="auto"/>
        </w:rPr>
      </w:pPr>
    </w:p>
    <w:p>
      <w:pPr>
        <w:ind w:left="3" w:right="120"/>
        <w:spacing w:after="0" w:line="251" w:lineRule="auto"/>
        <w:rPr>
          <w:sz w:val="20"/>
          <w:szCs w:val="20"/>
          <w:color w:val="auto"/>
        </w:rPr>
      </w:pPr>
      <w:r>
        <w:rPr>
          <w:rFonts w:ascii="Arial" w:cs="Arial" w:eastAsia="Arial" w:hAnsi="Arial"/>
          <w:sz w:val="16"/>
          <w:szCs w:val="16"/>
          <w:color w:val="auto"/>
        </w:rPr>
        <w:t>Such estimates are based on various professional judgments made with respect to those factors and are subject to change as each project proceeds and new information becomes available.</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For contracts where the percentage-of-completion method is used to recognize revenue, if actual cost estimates differ from our assumptions, the amount of revenue and the related gross profit recognized will also fluctuate. As the fixed-price repair and refurbishment revenue represents a small portion of our total revenue, any revisions to our estimated costs would not have a significant impact on revenue or operating profit.</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not made any changes in the accounting methodology used to record our sales allowance or to recognize revenue under the percentage-of-completion method during the past three years.</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 10% difference in our sales allowance as of October 31, 2015 would have affected net income by approximately $0.2 million during 2015.</w:t>
      </w:r>
    </w:p>
    <w:p>
      <w:pPr>
        <w:spacing w:after="0" w:line="6811" w:lineRule="exact"/>
        <w:rPr>
          <w:sz w:val="20"/>
          <w:szCs w:val="20"/>
          <w:color w:val="auto"/>
        </w:rPr>
      </w:pPr>
    </w:p>
    <w:p>
      <w:pPr>
        <w:sectPr>
          <w:pgSz w:w="11900" w:h="16838" w:orient="portrait"/>
          <w:cols w:equalWidth="0" w:num="3">
            <w:col w:w="3580" w:space="197"/>
            <w:col w:w="3703" w:space="180"/>
            <w:col w:w="3720"/>
          </w:cols>
          <w:pgMar w:left="280" w:top="689" w:right="239" w:bottom="1440" w:gutter="0" w:footer="0" w:header="0"/>
          <w:type w:val="continuous"/>
        </w:sect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80" w:top="689"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r>
        <w:trPr>
          <w:trHeight w:val="22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 Recognition (continued)</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Franchise Revenue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franchise certain engineering services under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Linc Network and TEGG brands through</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individual and area franchises.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Initial franchise fees are recognized when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have performed substantially all initial services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required by the franchise agreement.</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Royalties are recognized in income as underlying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franchisee sales occur.</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Franchise fees charged to franchisees on a flat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rate are recognized as earned.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 (incremental) costs related to new franchise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sales for which the revenue has not been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are deferred until the related revenue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is recognized.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expense costs related to continuing franchise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fees as incurred.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Parking Reimbursement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parking reimbursement arrangements,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 the parking facility for a management fee,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we pass through the revenue and expenses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associated with the facility to the owner.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 and expenses are reported in equal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for costs reimbursed from our managed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locations.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our service contracts,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periodically issue credit memos to our clients. As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such, we make estimates for potential future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losses on client receivables, which are recorded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a reduction in revenues and an increase to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allowance for billing adjustments. These credits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can result from client vacancy discounts, job</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cancellations, property damage, and other items.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sales allowance estimate is based on an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analysis of the historical rate of sales adjustments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 memos, net of re-bills) and considers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known current or expected trends.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89" w:right="239" w:bottom="1440" w:gutter="0" w:footer="0" w:header="0"/>
        </w:sectPr>
      </w:pPr>
    </w:p>
    <w:bookmarkStart w:id="52" w:name="page53"/>
    <w:bookmarkEnd w:id="52"/>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provision for income taxes is based on domestic and international statutory income tax rates in the tax jurisdictions where we operate, permanent differences between financial reporting and tax reporting, and available credits and incentives.</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recognize deferred income taxes for the future tax effects of temporary differences between financial and income tax reporting using tax rates in effect for the years in which the differences are expected to reverse.</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deferred tax assets are reduced by a valuation allowance when, in the opinion of our management, it is more likely than not that all or a portion of the deferred tax assets will not be realized.</w:t>
      </w:r>
    </w:p>
    <w:p>
      <w:pPr>
        <w:spacing w:after="0" w:line="176"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All or a portion of the benefit of income tax positions is recognized only when we have made a determination that it is more likely than not that the tax position will be sustained upon examination, based upon the technical merits of the position and other factors. For tax positions that are determined as more likely than not to be sustained upon examination, the tax benefit recognized is the largest amount of benefit that is greater than 50% likely of being realized upon ultimate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2324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21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accrue for loss contingencies when losses become probable and are reasonably estimable. If the reasonable estimate of the loss is a range and no amount within the range is a better estimate, the minimum amount of the range is recorded as a liability.</w:t>
      </w:r>
    </w:p>
    <w:p>
      <w:pPr>
        <w:spacing w:after="0" w:line="178"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w:t>
      </w:r>
    </w:p>
    <w:p>
      <w:pPr>
        <w:spacing w:after="0" w:line="20" w:lineRule="exact"/>
        <w:rPr>
          <w:sz w:val="20"/>
          <w:szCs w:val="20"/>
          <w:color w:val="auto"/>
        </w:rPr>
      </w:pPr>
      <w:r>
        <w:rPr>
          <w:sz w:val="20"/>
          <w:szCs w:val="20"/>
          <w:color w:val="auto"/>
        </w:rPr>
        <w:br w:type="column"/>
      </w:r>
    </w:p>
    <w:p>
      <w:pPr>
        <w:ind w:right="60"/>
        <w:spacing w:after="0" w:line="250" w:lineRule="auto"/>
        <w:rPr>
          <w:sz w:val="20"/>
          <w:szCs w:val="20"/>
          <w:color w:val="auto"/>
        </w:rPr>
      </w:pPr>
      <w:r>
        <w:rPr>
          <w:rFonts w:ascii="Arial" w:cs="Arial" w:eastAsia="Arial" w:hAnsi="Arial"/>
          <w:sz w:val="16"/>
          <w:szCs w:val="16"/>
          <w:color w:val="auto"/>
        </w:rPr>
        <w:t>Our calculations related to income taxes contain uncertainties due to judgment used to calculate tax liabilities in the application of complex tax laws and regulations across the tax jurisdictions where we operate.</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Changes in tax laws and rates could affect recorded total income tax expense as well as recorded deferred tax assets and liabilities in the future.</w:t>
      </w:r>
    </w:p>
    <w:p>
      <w:pPr>
        <w:spacing w:after="0" w:line="17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Changes in projected future earnings could affect the recorded valuation allowances in the future.</w:t>
      </w:r>
    </w:p>
    <w:p>
      <w:pPr>
        <w:spacing w:after="0" w:line="169"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Our analysis of unrecognized tax benefits contains uncertainties based on judgment used to apply the more-likely-than-not recognition and measurement thresholds.</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may be challenged upon review by the applicable taxing authorities, and positions we have taken may not be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967105</wp:posOffset>
            </wp:positionV>
            <wp:extent cx="2392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Litigation outcomes are difficult to predict and are often resolved over long periods of time.</w:t>
      </w:r>
    </w:p>
    <w:p>
      <w:pPr>
        <w:spacing w:after="0" w:line="16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Estimating probable and reasonably possible losses requires the analysis of multiple possible outcomes that often depend on judgments about potential actions by third parties, such as future changes in facts and circumstances, differing interpretations of the law, assessments of the amount of damages, and other factors beyond our control.</w:t>
      </w:r>
    </w:p>
    <w:p>
      <w:pPr>
        <w:spacing w:after="0" w:line="18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46"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ind w:right="120"/>
        <w:spacing w:after="0" w:line="248" w:lineRule="auto"/>
        <w:rPr>
          <w:sz w:val="20"/>
          <w:szCs w:val="20"/>
          <w:color w:val="auto"/>
        </w:rPr>
      </w:pPr>
      <w:r>
        <w:rPr>
          <w:rFonts w:ascii="Arial" w:cs="Arial" w:eastAsia="Arial" w:hAnsi="Arial"/>
          <w:sz w:val="16"/>
          <w:szCs w:val="16"/>
          <w:color w:val="auto"/>
        </w:rPr>
        <w:t>We do not believe there is a reasonable likelihood there will be a material change in our total income tax expense, tax-related balances, or valuation allowances. However, due to the complexity of some of these uncertainties, our income tax expense or income tax liabilities may be materially different from the current provision for income tax expense or the current estimate of our income tax liabilities.</w:t>
      </w:r>
    </w:p>
    <w:p>
      <w:pPr>
        <w:spacing w:after="0" w:line="18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To the extent we prevail in matters for which reserves have been established, or are required to pay amounts in excess of our recorded liabilities, our effective tax rate in a given financial statement period could be materially affected.</w:t>
      </w:r>
    </w:p>
    <w:p>
      <w:pPr>
        <w:spacing w:after="0" w:line="176"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An unfavorable tax settlement may require use of our cash and result in an increase in our effective tax rate in the period of settlement.</w:t>
      </w:r>
    </w:p>
    <w:p>
      <w:pPr>
        <w:spacing w:after="0" w:line="174"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A favorable tax settlement could be recognized as a reduction in our effective tax rate in the period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847090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Our management currently estimates the range of loss for all reasonably possible losses for which an estimate can be made is between zero and $6 million. Factors underlying this estimated range of loss may change from time to time, and actual results may vary significantly from this estimate.</w:t>
      </w:r>
    </w:p>
    <w:p>
      <w:pPr>
        <w:sectPr>
          <w:pgSz w:w="11900" w:h="16838" w:orient="portrait"/>
          <w:cols w:equalWidth="0" w:num="3">
            <w:col w:w="3600" w:space="180"/>
            <w:col w:w="3700" w:space="180"/>
            <w:col w:w="3720"/>
          </w:cols>
          <w:pgMar w:left="280" w:top="689"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Recent Accounting Pronouncements</w:t>
      </w:r>
    </w:p>
    <w:p>
      <w:pPr>
        <w:sectPr>
          <w:pgSz w:w="11900" w:h="16838" w:orient="portrait"/>
          <w:cols w:equalWidth="0" w:num="1">
            <w:col w:w="11380"/>
          </w:cols>
          <w:pgMar w:left="240" w:top="36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3" w:lineRule="exact"/>
        <w:rPr>
          <w:sz w:val="20"/>
          <w:szCs w:val="20"/>
          <w:color w:val="auto"/>
        </w:rPr>
      </w:pPr>
    </w:p>
    <w:p>
      <w:pPr>
        <w:ind w:left="40"/>
        <w:spacing w:after="0" w:line="249" w:lineRule="auto"/>
        <w:rPr>
          <w:sz w:val="20"/>
          <w:szCs w:val="20"/>
          <w:color w:val="auto"/>
        </w:rPr>
      </w:pPr>
      <w:r>
        <w:rPr>
          <w:rFonts w:ascii="Arial" w:cs="Arial" w:eastAsia="Arial" w:hAnsi="Arial"/>
          <w:sz w:val="16"/>
          <w:szCs w:val="16"/>
          <w:color w:val="auto"/>
        </w:rPr>
        <w:t xml:space="preserve">In November 2015, the Financial Accounting Standards Board (“FASB”) issued Accounting Standards Update (“ASU”) 2015-17, </w:t>
      </w:r>
      <w:r>
        <w:rPr>
          <w:rFonts w:ascii="Arial" w:cs="Arial" w:eastAsia="Arial" w:hAnsi="Arial"/>
          <w:sz w:val="16"/>
          <w:szCs w:val="16"/>
          <w:i w:val="1"/>
          <w:iCs w:val="1"/>
          <w:color w:val="auto"/>
        </w:rPr>
        <w:t>Balance Sheet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72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22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Effective Date</w:t>
            </w:r>
          </w:p>
        </w:tc>
      </w:tr>
      <w:tr>
        <w:trPr>
          <w:trHeight w:val="218"/>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This ASU eliminates the requirement for</w:t>
            </w:r>
          </w:p>
        </w:tc>
        <w:tc>
          <w:tcPr>
            <w:tcW w:w="2280" w:type="dxa"/>
            <w:vAlign w:val="bottom"/>
          </w:tcPr>
          <w:p>
            <w:pPr>
              <w:ind w:left="20"/>
              <w:spacing w:after="0"/>
              <w:rPr>
                <w:sz w:val="20"/>
                <w:szCs w:val="20"/>
                <w:color w:val="auto"/>
              </w:rPr>
            </w:pPr>
            <w:r>
              <w:rPr>
                <w:rFonts w:ascii="Arial" w:cs="Arial" w:eastAsia="Arial" w:hAnsi="Arial"/>
                <w:sz w:val="16"/>
                <w:szCs w:val="16"/>
                <w:color w:val="auto"/>
              </w:rPr>
              <w:t>November 1, 2017</w:t>
            </w:r>
          </w:p>
        </w:tc>
      </w:tr>
      <w:tr>
        <w:trPr>
          <w:trHeight w:val="189"/>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companies to present deferred tax assets and</w:t>
            </w:r>
          </w:p>
        </w:tc>
        <w:tc>
          <w:tcPr>
            <w:tcW w:w="2280" w:type="dxa"/>
            <w:vAlign w:val="bottom"/>
          </w:tcPr>
          <w:p>
            <w:pPr>
              <w:spacing w:after="0"/>
              <w:rPr>
                <w:sz w:val="16"/>
                <w:szCs w:val="16"/>
                <w:color w:val="auto"/>
              </w:rPr>
            </w:pPr>
          </w:p>
        </w:tc>
      </w:tr>
      <w:tr>
        <w:trPr>
          <w:trHeight w:val="189"/>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liabilities as current and noncurrent on the</w:t>
            </w:r>
          </w:p>
        </w:tc>
        <w:tc>
          <w:tcPr>
            <w:tcW w:w="2280" w:type="dxa"/>
            <w:vAlign w:val="bottom"/>
          </w:tcPr>
          <w:p>
            <w:pPr>
              <w:spacing w:after="0"/>
              <w:rPr>
                <w:sz w:val="16"/>
                <w:szCs w:val="16"/>
                <w:color w:val="auto"/>
              </w:rPr>
            </w:pPr>
          </w:p>
        </w:tc>
      </w:tr>
      <w:tr>
        <w:trPr>
          <w:trHeight w:val="189"/>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balance sheet. Instead, companies will be</w:t>
            </w:r>
          </w:p>
        </w:tc>
        <w:tc>
          <w:tcPr>
            <w:tcW w:w="2280" w:type="dxa"/>
            <w:vAlign w:val="bottom"/>
          </w:tcPr>
          <w:p>
            <w:pPr>
              <w:spacing w:after="0"/>
              <w:rPr>
                <w:sz w:val="16"/>
                <w:szCs w:val="16"/>
                <w:color w:val="auto"/>
              </w:rPr>
            </w:pPr>
          </w:p>
        </w:tc>
      </w:tr>
      <w:tr>
        <w:trPr>
          <w:trHeight w:val="189"/>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required to classify all deferred tax assets and</w:t>
            </w:r>
          </w:p>
        </w:tc>
        <w:tc>
          <w:tcPr>
            <w:tcW w:w="2280" w:type="dxa"/>
            <w:vAlign w:val="bottom"/>
          </w:tcPr>
          <w:p>
            <w:pPr>
              <w:spacing w:after="0"/>
              <w:rPr>
                <w:sz w:val="16"/>
                <w:szCs w:val="16"/>
                <w:color w:val="auto"/>
              </w:rPr>
            </w:pP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liabilities as noncurrent.</w:t>
            </w:r>
          </w:p>
        </w:tc>
        <w:tc>
          <w:tcPr>
            <w:tcW w:w="2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3841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Effect on the Financial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1586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do not expect the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367665</wp:posOffset>
            </wp:positionV>
            <wp:extent cx="15862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75" w:lineRule="exact"/>
        <w:rPr>
          <w:sz w:val="20"/>
          <w:szCs w:val="20"/>
          <w:color w:val="auto"/>
        </w:rPr>
      </w:pPr>
    </w:p>
    <w:p>
      <w:pPr>
        <w:sectPr>
          <w:pgSz w:w="11900" w:h="16838" w:orient="portrait"/>
          <w:cols w:equalWidth="0" w:num="3">
            <w:col w:w="2540" w:space="220"/>
            <w:col w:w="6060" w:space="120"/>
            <w:col w:w="2440"/>
          </w:cols>
          <w:pgMar w:left="240" w:top="360" w:right="279" w:bottom="1440" w:gutter="0" w:footer="0" w:header="0"/>
          <w:type w:val="continuous"/>
        </w:sectPr>
      </w:pPr>
    </w:p>
    <w:p>
      <w:pPr>
        <w:spacing w:after="0" w:line="46" w:lineRule="exact"/>
        <w:rPr>
          <w:sz w:val="20"/>
          <w:szCs w:val="20"/>
          <w:color w:val="auto"/>
        </w:rPr>
      </w:pPr>
    </w:p>
    <w:p>
      <w:pPr>
        <w:jc w:val="both"/>
        <w:ind w:left="40"/>
        <w:spacing w:after="0" w:line="253" w:lineRule="auto"/>
        <w:rPr>
          <w:sz w:val="20"/>
          <w:szCs w:val="20"/>
          <w:color w:val="auto"/>
        </w:rPr>
      </w:pPr>
      <w:r>
        <w:rPr>
          <w:rFonts w:ascii="Arial" w:cs="Arial" w:eastAsia="Arial" w:hAnsi="Arial"/>
          <w:sz w:val="16"/>
          <w:szCs w:val="16"/>
          <w:color w:val="auto"/>
        </w:rPr>
        <w:t>In September 2015, the FASB issued ASU 2015-16</w:t>
      </w:r>
      <w:r>
        <w:rPr>
          <w:rFonts w:ascii="Arial" w:cs="Arial" w:eastAsia="Arial" w:hAnsi="Arial"/>
          <w:sz w:val="16"/>
          <w:szCs w:val="16"/>
          <w:i w:val="1"/>
          <w:iCs w:val="1"/>
          <w:color w:val="auto"/>
        </w:rPr>
        <w:t>,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1447165</wp:posOffset>
            </wp:positionV>
            <wp:extent cx="1672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ASU eliminates the requirement to restate prior period financial statements for measurement period adjustments. Instead, this update requires the cumulative impact of measurement period adjustments, including the impact on prior periods, to be recognized in the reporting period in which the adjustment is identified. In addition, ASU 2015-16 also requires separate presentation on the face of the income statement, or disclosure in the notes, of the amount recorded in current-period earnings by line item that would have been recorded in previous reporting periods if the adjustment to the provisional amount had been recognized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133350</wp:posOffset>
            </wp:positionV>
            <wp:extent cx="23241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will early adopt this guidance on November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1447165</wp:posOffset>
            </wp:positionV>
            <wp:extent cx="1449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ASU will be applied prospectively to the acquisitions which require adjustments to the provisional amounts that occurred during the open measurement periods, regardless of the acquisition date. We do not expect the adoption of this guidance to have a material impact on our consolidated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271145</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4">
            <w:col w:w="2260" w:space="540"/>
            <w:col w:w="3580" w:space="180"/>
            <w:col w:w="1860" w:space="520"/>
            <w:col w:w="2440"/>
          </w:cols>
          <w:pgMar w:left="240" w:top="360" w:right="279" w:bottom="1440" w:gutter="0" w:footer="0" w:header="0"/>
          <w:type w:val="continuous"/>
        </w:sectPr>
      </w:pPr>
    </w:p>
    <w:p>
      <w:pPr>
        <w:spacing w:after="0" w:line="53" w:lineRule="exact"/>
        <w:rPr>
          <w:sz w:val="20"/>
          <w:szCs w:val="20"/>
          <w:color w:val="auto"/>
        </w:rPr>
      </w:pPr>
    </w:p>
    <w:p>
      <w:pPr>
        <w:ind w:left="40" w:right="20"/>
        <w:spacing w:after="0" w:line="253" w:lineRule="auto"/>
        <w:rPr>
          <w:sz w:val="20"/>
          <w:szCs w:val="20"/>
          <w:color w:val="auto"/>
        </w:rPr>
      </w:pPr>
      <w:r>
        <w:rPr>
          <w:rFonts w:ascii="Arial" w:cs="Arial" w:eastAsia="Arial" w:hAnsi="Arial"/>
          <w:sz w:val="16"/>
          <w:szCs w:val="16"/>
          <w:color w:val="auto"/>
        </w:rPr>
        <w:t>In June 2015, the FASB issued ASU 2015-10,</w:t>
      </w:r>
      <w:r>
        <w:rPr>
          <w:rFonts w:ascii="Arial" w:cs="Arial" w:eastAsia="Arial" w:hAnsi="Arial"/>
          <w:sz w:val="16"/>
          <w:szCs w:val="16"/>
          <w:i w:val="1"/>
          <w:iCs w:val="1"/>
          <w:color w:val="auto"/>
        </w:rPr>
        <w:t>Technical Corrections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16725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Interest—Imputation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(Subtopic 835-30): Simplifying the Presentation of Debt Issuance Costs</w:t>
      </w:r>
      <w:r>
        <w:rPr>
          <w:rFonts w:ascii="Arial" w:cs="Arial" w:eastAsia="Arial" w:hAnsi="Arial"/>
          <w:sz w:val="16"/>
          <w:szCs w:val="16"/>
          <w:color w:val="auto"/>
        </w:rPr>
        <w:t>; in August 2015,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FASB issued ASU 2015-15, </w:t>
      </w:r>
      <w:r>
        <w:rPr>
          <w:rFonts w:ascii="Arial" w:cs="Arial" w:eastAsia="Arial" w:hAnsi="Arial"/>
          <w:sz w:val="16"/>
          <w:szCs w:val="16"/>
          <w:i w:val="1"/>
          <w:iCs w:val="1"/>
          <w:color w:val="auto"/>
        </w:rPr>
        <w:t>Interest—Imputation of Interest (Subtopic 835-30): Presentation and Subsequent Measurement of Debt Issuance Costs Associated with Line-of-Credit Arrangements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72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25" w:lineRule="exact"/>
        <w:rPr>
          <w:sz w:val="20"/>
          <w:szCs w:val="20"/>
          <w:color w:val="auto"/>
        </w:rPr>
      </w:pPr>
    </w:p>
    <w:p>
      <w:pPr>
        <w:ind w:left="40"/>
        <w:spacing w:after="0" w:line="248" w:lineRule="auto"/>
        <w:rPr>
          <w:sz w:val="20"/>
          <w:szCs w:val="20"/>
          <w:color w:val="auto"/>
        </w:rPr>
      </w:pPr>
      <w:r>
        <w:rPr>
          <w:rFonts w:ascii="Arial" w:cs="Arial" w:eastAsia="Arial" w:hAnsi="Arial"/>
          <w:sz w:val="16"/>
          <w:szCs w:val="16"/>
          <w:color w:val="auto"/>
        </w:rPr>
        <w:t>In May 2014, the FASB issued ASU 2014-09</w:t>
      </w:r>
      <w:r>
        <w:rPr>
          <w:rFonts w:ascii="Arial" w:cs="Arial" w:eastAsia="Arial" w:hAnsi="Arial"/>
          <w:sz w:val="16"/>
          <w:szCs w:val="16"/>
          <w:i w:val="1"/>
          <w:iCs w:val="1"/>
          <w:color w:val="auto"/>
        </w:rPr>
        <w:t>, 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2015, the FASB issued ASU 2015-14</w:t>
      </w:r>
      <w:r>
        <w:rPr>
          <w:rFonts w:ascii="Arial" w:cs="Arial" w:eastAsia="Arial" w:hAnsi="Arial"/>
          <w:sz w:val="16"/>
          <w:szCs w:val="16"/>
          <w:i w:val="1"/>
          <w:iCs w:val="1"/>
          <w:color w:val="auto"/>
        </w:rPr>
        <w:t>, 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Deferral of the Effective Date.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amendments in this update cover a wide range of topics and include technical corrections and improvements to the Accounting Standards Codification.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247650</wp:posOffset>
            </wp:positionV>
            <wp:extent cx="23241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Together, the standard requires that debt issuance costs related to a recognized debt liability be presented in the balance sheet as a direct deduction from the carrying amount of that debt liability, consistent with the presentation of debt discounts. However, the Securities and Exchange Commission staff would not object to an entity deferring and presenting costs related to revolving debt arrangements as an asset. As our debt issuance costs are related to our revolving credit facility, we elected to continue to classify our debt issuance costs as an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13970</wp:posOffset>
            </wp:positionV>
            <wp:extent cx="23241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44" w:lineRule="exact"/>
        <w:rPr>
          <w:sz w:val="20"/>
          <w:szCs w:val="20"/>
          <w:color w:val="auto"/>
        </w:rPr>
      </w:pPr>
    </w:p>
    <w:p>
      <w:pPr>
        <w:jc w:val="both"/>
        <w:ind w:right="700"/>
        <w:spacing w:after="0" w:line="253" w:lineRule="auto"/>
        <w:rPr>
          <w:sz w:val="20"/>
          <w:szCs w:val="20"/>
          <w:color w:val="auto"/>
        </w:rPr>
      </w:pPr>
      <w:r>
        <w:rPr>
          <w:rFonts w:ascii="Arial" w:cs="Arial" w:eastAsia="Arial" w:hAnsi="Arial"/>
          <w:sz w:val="16"/>
          <w:szCs w:val="16"/>
          <w:color w:val="auto"/>
        </w:rPr>
        <w:t>Together, the guidance introduces a new principles-based framework for revenue recognition and disclosure.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those amendments in this update that require transition guidance, ASU 2015-10 is effective for us on 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127635</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early adopted this guidance for the year ended 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1087120</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do not expect the adoption of this guidance to have a material impact on our consolidated financial position, results of operations,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1586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adoption of this guidance will have no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1087120</wp:posOffset>
            </wp:positionV>
            <wp:extent cx="15862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position, results of operations, and cash flows.</w:t>
      </w:r>
    </w:p>
    <w:p>
      <w:pPr>
        <w:spacing w:after="0" w:line="572" w:lineRule="exact"/>
        <w:rPr>
          <w:sz w:val="20"/>
          <w:szCs w:val="20"/>
          <w:color w:val="auto"/>
        </w:rPr>
      </w:pPr>
    </w:p>
    <w:p>
      <w:pPr>
        <w:sectPr>
          <w:pgSz w:w="11900" w:h="16838" w:orient="portrait"/>
          <w:cols w:equalWidth="0" w:num="4">
            <w:col w:w="2620" w:space="180"/>
            <w:col w:w="3600" w:space="160"/>
            <w:col w:w="2140" w:space="240"/>
            <w:col w:w="2440"/>
          </w:cols>
          <w:pgMar w:left="240" w:top="360" w:right="279" w:bottom="1440" w:gutter="0" w:footer="0" w:header="0"/>
          <w:type w:val="continuous"/>
        </w:sectPr>
      </w:pP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360" w:right="279" w:bottom="1440" w:gutter="0" w:footer="0" w:header="0"/>
          <w:type w:val="continuous"/>
        </w:sectPr>
      </w:pPr>
    </w:p>
    <w:bookmarkStart w:id="54" w:name="page55"/>
    <w:bookmarkEnd w:id="54"/>
    <w:p>
      <w:pPr>
        <w:spacing w:after="0" w:line="189"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6725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3" w:lineRule="exact"/>
        <w:rPr>
          <w:sz w:val="20"/>
          <w:szCs w:val="20"/>
          <w:color w:val="auto"/>
        </w:rPr>
      </w:pPr>
    </w:p>
    <w:p>
      <w:pPr>
        <w:ind w:left="40"/>
        <w:spacing w:after="0" w:line="250" w:lineRule="auto"/>
        <w:rPr>
          <w:sz w:val="20"/>
          <w:szCs w:val="20"/>
          <w:color w:val="auto"/>
        </w:rPr>
      </w:pPr>
      <w:r>
        <w:rPr>
          <w:rFonts w:ascii="Arial" w:cs="Arial" w:eastAsia="Arial" w:hAnsi="Arial"/>
          <w:sz w:val="16"/>
          <w:szCs w:val="16"/>
          <w:color w:val="auto"/>
        </w:rPr>
        <w:t xml:space="preserve">In April 2014, the FASB issued ASU 2014-08, </w:t>
      </w:r>
      <w:r>
        <w:rPr>
          <w:rFonts w:ascii="Arial" w:cs="Arial" w:eastAsia="Arial" w:hAnsi="Arial"/>
          <w:sz w:val="16"/>
          <w:szCs w:val="16"/>
          <w:i w:val="1"/>
          <w:iCs w:val="1"/>
          <w:color w:val="auto"/>
        </w:rPr>
        <w:t>Reporting of 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 and Disclosures of Disposals of Components of an Entity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31750</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update provides a narrower definition of discontinued operations than existing standards. A disposal of a component of an entity or a group of components of an entity is required to be reported in discontinued operations if the disposal represents a strategic shift that has or will have a major effect on the entity’s operations or financial results. This ASU also provides guidance on the financial statement presentations and disclosures of discontinued operations.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1449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early adopted this ASU for the year ended October 31, 2015.</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6"/>
          <w:szCs w:val="16"/>
          <w:b w:val="1"/>
          <w:bCs w:val="1"/>
          <w:color w:val="auto"/>
        </w:rPr>
        <w:t>Effect on the Financial</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19050</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pronouncement did not have a material impact on our consolidated financial statements.</w:t>
      </w:r>
    </w:p>
    <w:p>
      <w:pPr>
        <w:spacing w:after="0" w:line="1519" w:lineRule="exact"/>
        <w:rPr>
          <w:sz w:val="20"/>
          <w:szCs w:val="20"/>
          <w:color w:val="auto"/>
        </w:rPr>
      </w:pPr>
    </w:p>
    <w:p>
      <w:pPr>
        <w:sectPr>
          <w:pgSz w:w="11900" w:h="16838" w:orient="portrait"/>
          <w:cols w:equalWidth="0" w:num="4">
            <w:col w:w="2620" w:space="180"/>
            <w:col w:w="3560" w:space="200"/>
            <w:col w:w="2180" w:space="200"/>
            <w:col w:w="2480"/>
          </w:cols>
          <w:pgMar w:left="240" w:top="689" w:right="2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Sensitive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market risk exposure is interest rate risk. The potential impact of adverse increases in interest rate risk is discussed below. The following sensitivity analysis does not consider the effects that an adverse change may have on the overall economy nor does it consider actions we may take to mitigate our exposure to these changes. Results of changes in actual rates may differ materially from the following hypothetical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Line of Credit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exposure to interest rate risk primarily relates to our variable rate borrowings under our $800.0 million five-year syndicated line of credit that expires in December 2018. At October 31, 2015, we had $158.0 million of outstanding LIBOR-based borrowings under our line of credit. We anticipate borrowing similar amounts for periods of one day to three months. A hypothetical 1.0% increase in interest rates would have added additional interest expense of $1.9 million on the average outstanding borrowings under our line of credit, net of the interest rate swap agreements, during 2015. See Note 13, “Line of Credit,” in the Financial Statements for additional information regarding our line of credit.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Swaps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we were a counterparty to five interest rate swap agreements totaling an underlying aggregate notional amount of $155.0 million, pursuant to which we receive variable interest payments based on LIBOR and pay fixed interest on such amounts, at rates ranging from 0.44% to 0.47%. These interest rate swap agreements, which are intended to hedge the interest rate risk associated with our floating rate, LIBOR-based borrowings under our line of credit, mature between March 2016 and April 2016. The swaps were designated and accounted for as cash flow hedges from inception.</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the fair values of the interest rate swap liabilities were $0.1 million. The effective portion of the derivative’s mark-to-market gain or loss is initially reported as a component of accumulated other comprehensive loss (“AOCL”) and subsequently reclassified into earnings when the hedged transactions occur and affect earnings. The ineffective portion of the gain or loss is reported in earnings immediately. At October 31, 2015, the amount recorded in AOCL was $0.1 million ($0.1 million, net of taxes). See Note 13, “Line of Credit,” in the Financial Statements for additional information regarding our interest rate swaps.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we held investments in auction rate securities from three different issuers having a fair value of $13.0 million. The investments are not subject to material interest rate risk. Our auction rate securities are debt instruments with stated maturities ranging from 2033 to 2050, for which the interest rate is designed to be reset through Dutch auctions approximately every thirty days based on spreads to a base rate (i.e., LIBOR). Auctions for these securities have not occurred since August 2007. A hypothetical 1.0% increase in interest rates during 2015 would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89" w:right="239" w:bottom="1440" w:gutter="0" w:footer="0" w:header="0"/>
          <w:type w:val="continuous"/>
        </w:sectPr>
      </w:pPr>
    </w:p>
    <w:bookmarkStart w:id="55" w:name="page56"/>
    <w:bookmarkEnd w:id="55"/>
    <w:p>
      <w:pPr>
        <w:spacing w:after="0" w:line="262" w:lineRule="auto"/>
        <w:rPr>
          <w:sz w:val="20"/>
          <w:szCs w:val="20"/>
          <w:color w:val="auto"/>
        </w:rPr>
      </w:pPr>
      <w:r>
        <w:rPr>
          <w:rFonts w:ascii="Arial" w:cs="Arial" w:eastAsia="Arial" w:hAnsi="Arial"/>
          <w:sz w:val="18"/>
          <w:szCs w:val="18"/>
          <w:color w:val="auto"/>
        </w:rPr>
        <w:t>have added approximately $0.2 million of additional interest income. See Note 9, “Auction Rate Securities,” in the Financial Statements for additional information regarding our auction rate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Substantially all of our operations are conducted in the United States and, as such, are not subject to material foreign currency exchange rate risk.</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4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We have audited the accompanying consolidated balance sheets of ABM Industries Incorporated and subsidiaries (“the Company”) as of October 31, 2015 and 2014, and the related consolidated statements of comprehensive income, stockholders’ equity, and cash flows for each of the years in the three-year period ended October 31, 2015. In connection with our audits of the consolidated financial statements, we have also audited the related financial statement Schedule II. We have also audited the Company’s internal control over financial reporting as of October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The Company’s management is responsible for these consolidated financial statements, the related financial statement Schedule II,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the related financial statement Schedule II and an opinion on the Company’s internal control over financial reporting based on our audits.</w:t>
      </w:r>
    </w:p>
    <w:p>
      <w:pPr>
        <w:spacing w:after="0" w:line="2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conducted our audits in accordance with the auditing standards of the Public Company Accounting Oversight Board (United States). Those standards require that we plan and perform our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ABM Industries Incorporated and subsidiaries as of October 31, 2015 and 2014, and the results of their operations and their cash flows for each of the years in the three-year period ended October 31, 2015,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 Also in our opinion, ABM Industries Incorporated and subsidiaries maintained, in all material respects, effective internal control over financial reporting as of October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December 17, 2015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2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3"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28575</wp:posOffset>
            </wp:positionV>
            <wp:extent cx="2109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$8.6 and $9.2 at October 31, 2015 and 2014,</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687.3</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64"/>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Current assets of discontinued operations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947.2</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927.2</w:t>
            </w: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3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of accumulated depreciation of $148.7 and $137.1 at October 31,</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2015 and 2014, respectively</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29"/>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intangible assets, net of accumulated amortization of $149.4 and $132.2 at October 31, 2015</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and 2014,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127.5</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854.7</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r>
      <w:tr>
        <w:trPr>
          <w:trHeight w:val="297"/>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2,149.8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2,192.9</w:t>
            </w:r>
          </w:p>
        </w:tc>
      </w:tr>
      <w:tr>
        <w:trPr>
          <w:trHeight w:val="251"/>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119.2</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105.1</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liabilities of discontinued operations</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526.4</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Line of credit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319.8</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269.7</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1,224.1</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Common stock, $0.01 par value; 100,000,000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80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56,105,761 and 55,691,350 shares issued and outstanding at October 31, 2015 and 2014,</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968.8</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2,192.9</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4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46"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October 31,</w:t>
            </w:r>
          </w:p>
        </w:tc>
        <w:tc>
          <w:tcPr>
            <w:tcW w:w="1120" w:type="dxa"/>
            <w:vAlign w:val="bottom"/>
            <w:tcBorders>
              <w:bottom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4,427.8</w:t>
            </w:r>
          </w:p>
        </w:tc>
      </w:tr>
      <w:tr>
        <w:trPr>
          <w:trHeight w:val="263"/>
        </w:trPr>
        <w:tc>
          <w:tcPr>
            <w:tcW w:w="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4,160.5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3,964.1</w:t>
            </w:r>
          </w:p>
        </w:tc>
      </w:tr>
      <w:tr>
        <w:trPr>
          <w:trHeight w:val="263"/>
        </w:trPr>
        <w:tc>
          <w:tcPr>
            <w:tcW w:w="20" w:type="dxa"/>
            <w:vAlign w:val="bottom"/>
          </w:tcPr>
          <w:p>
            <w:pPr>
              <w:spacing w:after="0"/>
              <w:rPr>
                <w:sz w:val="22"/>
                <w:szCs w:val="22"/>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330.6</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50"/>
        </w:trPr>
        <w:tc>
          <w:tcPr>
            <w:tcW w:w="2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4,824.2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4,534.9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4,322.5</w:t>
            </w:r>
          </w:p>
        </w:tc>
      </w:tr>
      <w:tr>
        <w:trPr>
          <w:trHeight w:val="257"/>
        </w:trPr>
        <w:tc>
          <w:tcPr>
            <w:tcW w:w="20" w:type="dxa"/>
            <w:vAlign w:val="bottom"/>
            <w:shd w:val="clear" w:color="auto" w:fill="CCEEFF"/>
          </w:tcPr>
          <w:p>
            <w:pPr>
              <w:spacing w:after="0"/>
              <w:rPr>
                <w:sz w:val="22"/>
                <w:szCs w:val="22"/>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r>
      <w:tr>
        <w:trPr>
          <w:trHeight w:val="263"/>
        </w:trPr>
        <w:tc>
          <w:tcPr>
            <w:tcW w:w="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98.7</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50"/>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7"/>
        </w:trPr>
        <w:tc>
          <w:tcPr>
            <w:tcW w:w="2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4"/>
        </w:trPr>
        <w:tc>
          <w:tcPr>
            <w:tcW w:w="2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7"/>
        </w:trPr>
        <w:tc>
          <w:tcPr>
            <w:tcW w:w="2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90"/>
        </w:trPr>
        <w:tc>
          <w:tcPr>
            <w:tcW w:w="2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r>
      <w:tr>
        <w:trPr>
          <w:trHeight w:val="251"/>
        </w:trPr>
        <w:tc>
          <w:tcPr>
            <w:tcW w:w="20" w:type="dxa"/>
            <w:vAlign w:val="bottom"/>
            <w:shd w:val="clear" w:color="auto" w:fill="CCEEFF"/>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97"/>
        </w:trPr>
        <w:tc>
          <w:tcPr>
            <w:tcW w:w="2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51"/>
        </w:trPr>
        <w:tc>
          <w:tcPr>
            <w:tcW w:w="20" w:type="dxa"/>
            <w:vAlign w:val="bottom"/>
            <w:shd w:val="clear" w:color="auto" w:fill="CCEEFF"/>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per common share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20" w:type="dxa"/>
            <w:vAlign w:val="bottom"/>
            <w:shd w:val="clear" w:color="auto" w:fill="CCEEFF"/>
          </w:tcPr>
          <w:p>
            <w:pPr>
              <w:spacing w:after="0"/>
              <w:rPr>
                <w:sz w:val="23"/>
                <w:szCs w:val="23"/>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97"/>
        </w:trPr>
        <w:tc>
          <w:tcPr>
            <w:tcW w:w="2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160"/>
        </w:trPr>
        <w:tc>
          <w:tcPr>
            <w:tcW w:w="20" w:type="dxa"/>
            <w:vAlign w:val="bottom"/>
            <w:shd w:val="clear" w:color="auto" w:fill="CCEEFF"/>
          </w:tcPr>
          <w:p>
            <w:pPr>
              <w:spacing w:after="0"/>
              <w:rPr>
                <w:sz w:val="13"/>
                <w:szCs w:val="13"/>
                <w:color w:val="auto"/>
              </w:rPr>
            </w:pPr>
          </w:p>
        </w:tc>
        <w:tc>
          <w:tcPr>
            <w:tcW w:w="6700" w:type="dxa"/>
            <w:vAlign w:val="bottom"/>
            <w:gridSpan w:val="2"/>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Weighted-average common and common</w:t>
            </w: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52"/>
        </w:trPr>
        <w:tc>
          <w:tcPr>
            <w:tcW w:w="20" w:type="dxa"/>
            <w:vAlign w:val="bottom"/>
            <w:shd w:val="clear" w:color="auto" w:fill="CCEEFF"/>
          </w:tcPr>
          <w:p>
            <w:pPr>
              <w:spacing w:after="0"/>
              <w:rPr>
                <w:sz w:val="21"/>
                <w:szCs w:val="21"/>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equivalent shares outstanding</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54.9</w:t>
            </w:r>
          </w:p>
        </w:tc>
      </w:tr>
      <w:tr>
        <w:trPr>
          <w:trHeight w:val="277"/>
        </w:trPr>
        <w:tc>
          <w:tcPr>
            <w:tcW w:w="20" w:type="dxa"/>
            <w:vAlign w:val="bottom"/>
            <w:shd w:val="clear" w:color="auto" w:fill="CCEEFF"/>
          </w:tcPr>
          <w:p>
            <w:pPr>
              <w:spacing w:after="0"/>
              <w:rPr>
                <w:sz w:val="24"/>
                <w:szCs w:val="24"/>
                <w:color w:val="auto"/>
              </w:rPr>
            </w:pPr>
          </w:p>
        </w:tc>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57"/>
        </w:trPr>
        <w:tc>
          <w:tcPr>
            <w:tcW w:w="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0.640</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0.620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0.600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60" w:top="454"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October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2014</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2013</w:t>
            </w:r>
          </w:p>
        </w:tc>
        <w:tc>
          <w:tcPr>
            <w:tcW w:w="840" w:type="dxa"/>
            <w:vAlign w:val="bottom"/>
            <w:tcBorders>
              <w:bottom w:val="single" w:sz="8" w:color="auto"/>
            </w:tcBorders>
          </w:tcPr>
          <w:p>
            <w:pPr>
              <w:spacing w:after="0"/>
              <w:rPr>
                <w:sz w:val="22"/>
                <w:szCs w:val="22"/>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55.7</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55.5</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54.4</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00"/>
        </w:trPr>
        <w:tc>
          <w:tcPr>
            <w:tcW w:w="4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compensation plans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234.6</w:t>
            </w:r>
          </w:p>
        </w:tc>
      </w:tr>
      <w:tr>
        <w:trPr>
          <w:trHeight w:val="194"/>
        </w:trPr>
        <w:tc>
          <w:tcPr>
            <w:tcW w:w="40" w:type="dxa"/>
            <w:vAlign w:val="bottom"/>
          </w:tcPr>
          <w:p>
            <w:pPr>
              <w:spacing w:after="0"/>
              <w:rPr>
                <w:sz w:val="16"/>
                <w:szCs w:val="16"/>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compensation plans (including incremental tax benefit)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13.9</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17"/>
                <w:szCs w:val="17"/>
                <w:color w:val="auto"/>
                <w:vertAlign w:val="superscript"/>
              </w:rPr>
              <w:t>(1)</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comprehensive (loss) income</w:t>
            </w: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617.4</w:t>
            </w: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72.9</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50"/>
        </w:trPr>
        <w:tc>
          <w:tcPr>
            <w:tcW w:w="40" w:type="dxa"/>
            <w:vAlign w:val="bottom"/>
            <w:tcBorders>
              <w:bottom w:val="single" w:sz="8" w:color="CCEEFF"/>
            </w:tcBorders>
          </w:tcPr>
          <w:p>
            <w:pPr>
              <w:spacing w:after="0"/>
              <w:rPr>
                <w:sz w:val="21"/>
                <w:szCs w:val="21"/>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736.5</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696.9</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656.8</w:t>
            </w:r>
          </w:p>
        </w:tc>
      </w:tr>
      <w:tr>
        <w:trPr>
          <w:trHeight w:val="243"/>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1,007.5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0" w:firstLine="8"/>
        <w:spacing w:after="0" w:line="237" w:lineRule="auto"/>
        <w:tabs>
          <w:tab w:leader="none" w:pos="186"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Share-based compensation included expenses, recognized in discontinued operations, of $0.3 million in 2015 and $0.5 million for both 2014 and 2013.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0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October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29"/>
        </w:trPr>
        <w:tc>
          <w:tcPr>
            <w:tcW w:w="70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76.3</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72.9</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discontinued operations, net of taxes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50"/>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54.1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62.6</w:t>
            </w:r>
          </w:p>
        </w:tc>
      </w:tr>
      <w:tr>
        <w:trPr>
          <w:trHeight w:val="182"/>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continuing</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57.0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59.4</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bad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Gain on sale of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Trade accounts receivable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264"/>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76"/>
        </w:trPr>
        <w:tc>
          <w:tcPr>
            <w:tcW w:w="4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claims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40" w:type="dxa"/>
            <w:vAlign w:val="bottom"/>
          </w:tcPr>
          <w:p>
            <w:pPr>
              <w:spacing w:after="0"/>
              <w:rPr>
                <w:sz w:val="22"/>
                <w:szCs w:val="22"/>
                <w:color w:val="auto"/>
              </w:rPr>
            </w:pPr>
          </w:p>
        </w:tc>
        <w:tc>
          <w:tcPr>
            <w:tcW w:w="704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0"/>
        </w:trPr>
        <w:tc>
          <w:tcPr>
            <w:tcW w:w="40" w:type="dxa"/>
            <w:vAlign w:val="bottom"/>
            <w:shd w:val="clear" w:color="auto" w:fill="CCEEFF"/>
          </w:tcPr>
          <w:p>
            <w:pPr>
              <w:spacing w:after="0"/>
              <w:rPr>
                <w:sz w:val="23"/>
                <w:szCs w:val="23"/>
                <w:color w:val="auto"/>
              </w:rPr>
            </w:pPr>
          </w:p>
        </w:tc>
        <w:tc>
          <w:tcPr>
            <w:tcW w:w="7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50"/>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w:t>
            </w:r>
          </w:p>
        </w:tc>
      </w:tr>
      <w:tr>
        <w:trPr>
          <w:trHeight w:val="25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continuing operating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Net cash provided by discontinued operating activities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r>
      <w:tr>
        <w:trPr>
          <w:trHeight w:val="25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r>
      <w:tr>
        <w:trPr>
          <w:trHeight w:val="258"/>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Net cash used in continuing investing activities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(225.7)</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(used in) discontinued investing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4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90.4</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(225.9)</w:t>
            </w:r>
          </w:p>
        </w:tc>
      </w:tr>
      <w:tr>
        <w:trPr>
          <w:trHeight w:val="27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Proceeds from issuance of share-based compensation awards, net of taxes withheld</w:t>
            </w:r>
          </w:p>
        </w:tc>
        <w:tc>
          <w:tcPr>
            <w:tcW w:w="32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Borrowings from line of credit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1,006.0</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(1,120.1)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(906.1)</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Changes in book cash overdrafts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7080" w:type="dxa"/>
            <w:vAlign w:val="bottom"/>
            <w:gridSpan w:val="3"/>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(216.9)</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79.7</w:t>
            </w:r>
          </w:p>
        </w:tc>
      </w:tr>
      <w:tr>
        <w:trPr>
          <w:trHeight w:val="256"/>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64"/>
        </w:trPr>
        <w:tc>
          <w:tcPr>
            <w:tcW w:w="708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r>
      <w:tr>
        <w:trPr>
          <w:trHeight w:val="243"/>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year</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22" w:right="239" w:bottom="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October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9"/>
        </w:trPr>
        <w:tc>
          <w:tcPr>
            <w:tcW w:w="64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80" w:type="dxa"/>
            <w:vAlign w:val="bottom"/>
          </w:tcPr>
          <w:p>
            <w:pPr>
              <w:spacing w:after="0"/>
              <w:rPr>
                <w:sz w:val="19"/>
                <w:szCs w:val="19"/>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data:</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Cash paid for income taxes, net of refunds received</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18.7</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paid on line of credit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2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end-to-end, integrated facility solutions that enable our clients to deliver exceptional facility experiences. ABM’s comprehensive capabilities include commercial cleaning, electrical, energy solutions, facilities engineering, HVAC, landscaping, parking, and services in support of airport operations. We provide custom facility solutions in urban, suburban, and rural areas to properties of all sizes —from schools and commercial buildings to airports, hospitals, and manufacturing plants.</w:t>
      </w:r>
    </w:p>
    <w:p>
      <w:pPr>
        <w:spacing w:after="0" w:line="346" w:lineRule="exact"/>
        <w:rPr>
          <w:sz w:val="20"/>
          <w:szCs w:val="20"/>
          <w:color w:val="auto"/>
        </w:rPr>
      </w:pPr>
    </w:p>
    <w:p>
      <w:pPr>
        <w:ind w:right="5120" w:firstLine="8"/>
        <w:spacing w:after="0" w:line="451" w:lineRule="auto"/>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accounting principles generally accepted in the United States of America (“U.S. GAAP”). Prior year amounts have been reclassified to conform with the current year presentation for amounts related to discontinued operations (see Note 4, “Discontinued Operations”) and segment reporting (see Note 19, “Segment and Geographic Information”). Unless otherwise noted, all references to years are to our fiscal year, which ends on October 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dates of acquisition. All intercompany accounts and transactions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consider all investments purchased with an original maturity of three months or less to be cash and cash equivalents. We present the change in book cash overdrafts (i.e., negative book cash balances that have not been presented to the bank for payment) as cash flows from financing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Trade accounts receivable arise from services provided to our clients and are usually due and payable on varying terms from receipt of the invoice to net ninety days, with the exception of certain U.S. Government receivables that generally have longer collection periods. Our trade accounts receivables are recorded at the invoiced amount and normally do not bear interest. In addition, our trade accounts receivable includes unbilled receivables that represent costs and estimated earnings in excess of billings on uncompleted contracts related to fixed-price repair and refurbishment arrangements.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Doubtful Accounts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estimate the allowance for doubtful accounts based on a variety of factors, including an analysis of the historical rate of credit losses or write-offs, specific client concerns, and known or expected trends. Additionally, a specific reserve is established upon the earlier of a client’s inability to meet its financial obligations or after a period of twelve months, unless our management believes such amounts will ultimately be collectible. We do not believe that we have any material exposure due to either industry or regional concentrations of credit risk. Further, no client accounted for more than 10% of our consolidated revenues during 2015, 2014, or 2013.</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our service contracts, we periodically issue credit memos to our clients. As such, we make estimates for potential future losses on client receivables, which are recorded as a reduction in revenues and an increase to the allowance for billing adjustments. These credits can result from client vacancy discounts, job cancellations, property damage, and other items. Our sales allowance estimate is based on an analysis of the historical rate of sales adjustments (credit memos, net of re-bills) and considers known current or expected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2015 and 2014, other current assets primarily consisted of other receivables and short-term insurance recoverables.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2015 and 2014, other investments primarily consisted of investments in unconsolidated affiliates and investments in auction rate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other-than-temporary. At October 31, 2015 and 2014, our investments in unconsolidated affiliates were $22.6 million and $20.0 million, respectively. In 2015, 2014, and 2013, we did not have any impairment losses.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22"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i w:val="1"/>
          <w:iCs w:val="1"/>
          <w:color w:val="auto"/>
        </w:rPr>
        <w:t>Investments in Auction Rate Securities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investments in auction rate securities are classified as available for sale. Accordingly, auction rate securities are presented at fair value with unrealized gains and losses excluded from earnings and recorded in accumulated other comprehensive loss (“AOCL”). A decline in the fair value of available-for-sale securities below their cost or amortized cost that are deemed to be other-than-temporary are reflected in earnings. The credit loss component of an other-than-temporary impairment (“OTTI”) is recorded in earnings in the period identified. We estimate the fair values utilizing a discounted cash flow model, which considers, among other factors, assumptions about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20585" cy="15176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0585" cy="151765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Assumptions</w:t>
      </w:r>
    </w:p>
    <w:p>
      <w:pPr>
        <w:spacing w:after="0" w:line="247" w:lineRule="exact"/>
        <w:rPr>
          <w:sz w:val="20"/>
          <w:szCs w:val="20"/>
          <w:color w:val="auto"/>
        </w:rPr>
      </w:pPr>
    </w:p>
    <w:p>
      <w:pPr>
        <w:ind w:left="320" w:hanging="271"/>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underlying collateral</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risks associated with the issuer</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contractual maturity</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credit enhancements associated with financial insurance guarantees, if any</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the security being re-financed by the issuer or having a successful auction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determination of whether our auction rate securities are other-than-temporarily impaired is based on an evaluation of several factors, circumstances, and known or reasonably supportable trends including, but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20585" cy="2444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0585" cy="2444115"/>
                    </a:xfrm>
                    <a:prstGeom prst="rect">
                      <a:avLst/>
                    </a:prstGeom>
                    <a:noFill/>
                  </pic:spPr>
                </pic:pic>
              </a:graphicData>
            </a:graphic>
          </wp:anchor>
        </w:drawing>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OTTI Evaluation Factors</w:t>
      </w:r>
    </w:p>
    <w:p>
      <w:pPr>
        <w:spacing w:after="0" w:line="247" w:lineRule="exact"/>
        <w:rPr>
          <w:sz w:val="20"/>
          <w:szCs w:val="20"/>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intent to hold the securities</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assessment that it is not more likely than not that we will be required to sell the securities before recovering our cost basis</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defaults</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available ratings for the securities or the underlying collateral</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rating of the associated guarantor (where applicable)</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and value of the underlying collateral expected to service the investment</w:t>
      </w:r>
    </w:p>
    <w:p>
      <w:pPr>
        <w:spacing w:after="0" w:line="211" w:lineRule="exact"/>
        <w:rPr>
          <w:rFonts w:ascii="Arial" w:cs="Arial" w:eastAsia="Arial" w:hAnsi="Arial"/>
          <w:sz w:val="18"/>
          <w:szCs w:val="18"/>
          <w:color w:val="auto"/>
        </w:rPr>
      </w:pPr>
    </w:p>
    <w:p>
      <w:pPr>
        <w:ind w:left="320" w:hanging="271"/>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historical performance of the security in servicing its obligations</w:t>
      </w:r>
    </w:p>
    <w:p>
      <w:pPr>
        <w:spacing w:after="0" w:line="211" w:lineRule="exact"/>
        <w:rPr>
          <w:rFonts w:ascii="Arial" w:cs="Arial" w:eastAsia="Arial" w:hAnsi="Arial"/>
          <w:sz w:val="18"/>
          <w:szCs w:val="18"/>
          <w:color w:val="auto"/>
        </w:rPr>
      </w:pPr>
    </w:p>
    <w:p>
      <w:pPr>
        <w:ind w:left="40" w:right="100" w:firstLine="9"/>
        <w:spacing w:after="0" w:line="246" w:lineRule="auto"/>
        <w:tabs>
          <w:tab w:leader="none" w:pos="3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actuarial experience of the underlying re-insurance arrangement (where applicable), which in certain circumstances may have preferential rights to the underlying collateral</w:t>
      </w:r>
    </w:p>
    <w:p>
      <w:pPr>
        <w:spacing w:after="0" w:line="18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determination of whether an OTTI represents a credit loss is based upon the difference between the present value of the cash flows expected to be collected and the amortized cost basis of the security. Significant assumptions include, but are not limited to: (1) default rates for the security and the mono-line insurer, if any (which are based on published historical default rates of similar securities and consideration of current market trends); and (2) the expected life of the security (which represents our view of when market efficiencies for securities may be restored). Adverse changes in any of these factors could result in additional declines in fair value and further OTTIs in the future. See Note 9, “Auction Rate Securities,” for additional information.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2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spacing w:after="0" w:line="264"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5520" w:type="dxa"/>
            <w:vAlign w:val="bottom"/>
            <w:tcBorders>
              <w:top w:val="single" w:sz="8" w:color="auto"/>
              <w:left w:val="single" w:sz="8" w:color="auto"/>
              <w:bottom w:val="single" w:sz="8" w:color="CCEEFF"/>
            </w:tcBorders>
            <w:shd w:val="clear" w:color="auto" w:fill="CCEEFF"/>
          </w:tcPr>
          <w:p>
            <w:pPr>
              <w:spacing w:after="0"/>
              <w:rPr>
                <w:sz w:val="22"/>
                <w:szCs w:val="22"/>
                <w:color w:val="auto"/>
              </w:rPr>
            </w:pPr>
          </w:p>
        </w:tc>
        <w:tc>
          <w:tcPr>
            <w:tcW w:w="272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6"/>
              </w:rPr>
              <w:t>Years*</w:t>
            </w:r>
          </w:p>
        </w:tc>
        <w:tc>
          <w:tcPr>
            <w:tcW w:w="258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50"/>
        </w:trPr>
        <w:tc>
          <w:tcPr>
            <w:tcW w:w="5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Computer equipment and software</w:t>
            </w:r>
          </w:p>
        </w:tc>
        <w:tc>
          <w:tcPr>
            <w:tcW w:w="2720" w:type="dxa"/>
            <w:vAlign w:val="bottom"/>
          </w:tcPr>
          <w:p>
            <w:pPr>
              <w:spacing w:after="0"/>
              <w:rPr>
                <w:sz w:val="21"/>
                <w:szCs w:val="21"/>
                <w:color w:val="auto"/>
              </w:rPr>
            </w:pPr>
          </w:p>
        </w:tc>
        <w:tc>
          <w:tcPr>
            <w:tcW w:w="3140" w:type="dxa"/>
            <w:vAlign w:val="bottom"/>
            <w:tcBorders>
              <w:right w:val="single" w:sz="8" w:color="auto"/>
            </w:tcBorders>
            <w:gridSpan w:val="2"/>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63"/>
        </w:trPr>
        <w:tc>
          <w:tcPr>
            <w:tcW w:w="5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2720" w:type="dxa"/>
            <w:vAlign w:val="bottom"/>
            <w:shd w:val="clear" w:color="auto" w:fill="CCEEFF"/>
          </w:tcPr>
          <w:p>
            <w:pPr>
              <w:spacing w:after="0"/>
              <w:rPr>
                <w:sz w:val="22"/>
                <w:szCs w:val="22"/>
                <w:color w:val="auto"/>
              </w:rPr>
            </w:pPr>
          </w:p>
        </w:tc>
        <w:tc>
          <w:tcPr>
            <w:tcW w:w="3140" w:type="dxa"/>
            <w:vAlign w:val="bottom"/>
            <w:tcBorders>
              <w:right w:val="single" w:sz="8" w:color="auto"/>
            </w:tcBorders>
            <w:gridSpan w:val="2"/>
            <w:shd w:val="clear" w:color="auto" w:fill="CCEEFF"/>
          </w:tcPr>
          <w:p>
            <w:pPr>
              <w:jc w:val="center"/>
              <w:ind w:right="2600"/>
              <w:spacing w:after="0"/>
              <w:rPr>
                <w:sz w:val="20"/>
                <w:szCs w:val="20"/>
                <w:color w:val="auto"/>
              </w:rPr>
            </w:pPr>
            <w:r>
              <w:rPr>
                <w:rFonts w:ascii="Arial" w:cs="Arial" w:eastAsia="Arial" w:hAnsi="Arial"/>
                <w:sz w:val="18"/>
                <w:szCs w:val="18"/>
                <w:color w:val="auto"/>
                <w:w w:val="99"/>
              </w:rPr>
              <w:t>3–5</w:t>
            </w:r>
          </w:p>
        </w:tc>
      </w:tr>
      <w:tr>
        <w:trPr>
          <w:trHeight w:val="250"/>
        </w:trPr>
        <w:tc>
          <w:tcPr>
            <w:tcW w:w="5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Transportation equipment</w:t>
            </w:r>
          </w:p>
        </w:tc>
        <w:tc>
          <w:tcPr>
            <w:tcW w:w="586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1.5–10</w:t>
            </w:r>
          </w:p>
        </w:tc>
      </w:tr>
      <w:tr>
        <w:trPr>
          <w:trHeight w:val="263"/>
        </w:trPr>
        <w:tc>
          <w:tcPr>
            <w:tcW w:w="55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2720" w:type="dxa"/>
            <w:vAlign w:val="bottom"/>
            <w:shd w:val="clear" w:color="auto" w:fill="CCEEFF"/>
          </w:tcPr>
          <w:p>
            <w:pPr>
              <w:spacing w:after="0"/>
              <w:rPr>
                <w:sz w:val="22"/>
                <w:szCs w:val="22"/>
                <w:color w:val="auto"/>
              </w:rPr>
            </w:pPr>
          </w:p>
        </w:tc>
        <w:tc>
          <w:tcPr>
            <w:tcW w:w="3140" w:type="dxa"/>
            <w:vAlign w:val="bottom"/>
            <w:tcBorders>
              <w:right w:val="single" w:sz="8" w:color="auto"/>
            </w:tcBorders>
            <w:gridSpan w:val="2"/>
            <w:shd w:val="clear" w:color="auto" w:fill="CCEEFF"/>
          </w:tcPr>
          <w:p>
            <w:pPr>
              <w:jc w:val="center"/>
              <w:ind w:right="2600"/>
              <w:spacing w:after="0"/>
              <w:rPr>
                <w:sz w:val="20"/>
                <w:szCs w:val="20"/>
                <w:color w:val="auto"/>
              </w:rPr>
            </w:pPr>
            <w:r>
              <w:rPr>
                <w:rFonts w:ascii="Arial" w:cs="Arial" w:eastAsia="Arial" w:hAnsi="Arial"/>
                <w:sz w:val="18"/>
                <w:szCs w:val="18"/>
                <w:color w:val="auto"/>
                <w:w w:val="99"/>
              </w:rPr>
              <w:t>10–40</w:t>
            </w:r>
          </w:p>
        </w:tc>
      </w:tr>
      <w:tr>
        <w:trPr>
          <w:trHeight w:val="250"/>
        </w:trPr>
        <w:tc>
          <w:tcPr>
            <w:tcW w:w="55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Furniture and fixtures</w:t>
            </w:r>
          </w:p>
        </w:tc>
        <w:tc>
          <w:tcPr>
            <w:tcW w:w="3280" w:type="dxa"/>
            <w:vAlign w:val="bottom"/>
            <w:tcBorders>
              <w:bottom w:val="single" w:sz="8" w:color="auto"/>
            </w:tcBorders>
            <w:gridSpan w:val="2"/>
          </w:tcPr>
          <w:p>
            <w:pPr>
              <w:jc w:val="center"/>
              <w:ind w:left="2610"/>
              <w:spacing w:after="0"/>
              <w:rPr>
                <w:sz w:val="20"/>
                <w:szCs w:val="20"/>
                <w:color w:val="auto"/>
              </w:rPr>
            </w:pPr>
            <w:r>
              <w:rPr>
                <w:rFonts w:ascii="Arial" w:cs="Arial" w:eastAsia="Arial" w:hAnsi="Arial"/>
                <w:sz w:val="18"/>
                <w:szCs w:val="18"/>
                <w:color w:val="auto"/>
                <w:w w:val="99"/>
              </w:rPr>
              <w:t>5</w:t>
            </w:r>
          </w:p>
        </w:tc>
        <w:tc>
          <w:tcPr>
            <w:tcW w:w="2580" w:type="dxa"/>
            <w:vAlign w:val="bottom"/>
            <w:tcBorders>
              <w:bottom w:val="single" w:sz="8" w:color="auto"/>
              <w:right w:val="single" w:sz="8" w:color="auto"/>
            </w:tcBorders>
          </w:tcPr>
          <w:p>
            <w:pPr>
              <w:spacing w:after="0"/>
              <w:rPr>
                <w:sz w:val="21"/>
                <w:szCs w:val="2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depreciate assets under capital leases and leasehold improvements over the shorter of their estimated useful lives or the remaining lease term.</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Upon retirement or the sale of an asset, we remove the cost and accumulated depreciation from the accounts. When applicable, we record corresponding gains or losses within the accompanying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or capital lease.</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 for rent expense under noncancelable operating leases with escalation clauses on a straight-line basis over the initial lease term. A deferred liability is recorded for the amount of the excess of straight-line rent expense over scheduled payments. We do not assume renewals in our determination of the lease term unless the renewals are deemed to be reasonably assured at lease inception. We may also be required to make additional payments to reimburse the lessors for operating expenses such as real estate taxes, maintenance, utilities, and insurance, which are expensed as incurred.</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Within our Parking business, we enter into leases of parking lots and garages that contain contingent payment provisions. Under these provisions, we pay contingent amounts in addition to base rent, primarily based on percentages of the gross receipts or other financial parameters attributable to the related facilities. We record contingent rent as it becomes probable that specified targets will be met.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record capital leases as an asset and an obligation at an amount that is equal to the present value of the minimum lease payments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evaluate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as a result of this test we conclude that the projected undiscounted cash flows are less than the carrying amount, an impairment would be recorded for the excess of the carrying amount over the estimated fair value.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fiscal fourth quarter, August 1st, the annual impairment assessment date for goodwill. However, we could be required to evaluate the recoverability of goodwill prior to the annual assessment if we experience a significant change in the business climate, legal factors, operating performance indicators, competition, or sale or disposition of a significant portion of one of our businesses.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test the carrying value of goodwill for impairment at a “reporting unit” level using a two-step approach. The first step of the process is to evaluate whether the fair value of a reporting unit is less than its carrying value, which is an indicator that the goodwill assigned to that reporting unit may be impaired. In this case,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its carrying value, we would record an impairment for the excess of the carrying amount over the estimated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Assets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2015 and 2014, other noncurrent assets primarily consisted of long-term insurance recoverables, insurance and other long-term deposits, prepayments to carriers for future insurance claims, and other long-term receivables.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In making our determination of the fair value measurements for our financial assets and liabilities, we consider the principal or most advantageous market in which we would transact, as well as the assumptions that market participants would use when pricing the asset or liability.</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Authoritative guidance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or liabilities in active markets;</w:t>
      </w:r>
    </w:p>
    <w:p>
      <w:pPr>
        <w:spacing w:after="0" w:line="171" w:lineRule="exact"/>
        <w:rPr>
          <w:sz w:val="20"/>
          <w:szCs w:val="20"/>
          <w:color w:val="auto"/>
        </w:rPr>
      </w:pPr>
    </w:p>
    <w:p>
      <w:pPr>
        <w:jc w:val="both"/>
        <w:ind w:left="660"/>
        <w:spacing w:after="0" w:line="269"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active markets; quoted prices for identical or similar instruments in markets that are not active; and model-derived valuations in which all significant inputs or significant value drivers are observable in active markets; and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See Note 7, “Fair Value of Financial Instruments,” for the fair value hierarchy table and for details on how we measure fair value for financial assets and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the date of acquisition, we allocate the purchase price to the assets acquired and liabilities assumed at their estimated fair values. The excess of the purchase price over the amount allocated to the assets acquired and liabilities assumed is recorded as goodwill. Acquisition-related costs are expensed as incurred.</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acquisitions may include contingent consideration that requires us to recognize the fair value of the estimated contingency at the time of the acquisition. We recognize subsequent changes in the estimate of the amount to be paid under contingent consideration arrangements in the accompanying consolidated statements of comprehensive income. We classify payments that do not exceed the acquisition-date fair value of a contingent consideration liability arrangement as cash flows used in financing activities. In contrast, we report amounts paid in excess of the original acquisition date fair value as operating activities.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 be reported within discontinued operations, we must dispose of a component or a group of components that represents a strategic shift which will have a major effect on our operations and financial results.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aggregate the results of operations for discontinued operations within a single line item on the income statement. General corporate overhead is not allocated to discontinued operations. We disclose any gain or loss that is recognized upon the disposition of a discontinued operation. Prior to disposition, we aggregate the assets and liabilities of discontinued operations and report the amounts on separate line items within the balance sheet.</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the sale of business components that do not meet the discontinued operation criteria, we record gains and losses within continuing operations, and separately disclose such amounts, if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“incurred but not reported” claim costs.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professionals, we periodically review our estimate of ultimate losses for “incurred but not reported” claim costs and adjust our required self-insurance reserves as appropriate. As part of this evaluation, we review the status of existing and new claim reserves as established by our third-party claims administrators. Our third-party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“incurred but not reported” claim costs. We utilize the independent third-party administrator’s actuarial point estimate, reviewed by our management, to adjust our carried self-insurance reserves.</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general, our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2015 and 2014, other accrued liabilities primarily consisted of accrued employee benefits, progress billings in excess of costs related to fixed-price repair and refurbishment arrangements, deferred revenue, accrued legal fees and settlements, dividends payable, and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2015 and 2014, other noncurrent liabilities primarily consisted of retirement plan liabilities, deferred compensation, and deferred rent.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2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earn revenue under various types of service contracts. In all forms of service we provide, revenue is recognized when persuasive evidence of an arrangement exists, services have been rendered, the fee is fixed or determinable, and collectability is reasonably assured. The various types of service contracts are described below.</w:t>
      </w:r>
    </w:p>
    <w:p>
      <w:pPr>
        <w:sectPr>
          <w:pgSz w:w="11900" w:h="16838" w:orient="portrait"/>
          <w:cols w:equalWidth="0" w:num="1">
            <w:col w:w="11420"/>
          </w:cols>
          <w:pgMar w:left="240" w:top="522" w:right="239" w:bottom="1440" w:gutter="0" w:footer="0" w:header="0"/>
        </w:sectPr>
      </w:pPr>
    </w:p>
    <w:p>
      <w:pPr>
        <w:spacing w:after="0" w:line="139"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color w:val="auto"/>
        </w:rPr>
        <w:t>Contract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1140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Monthly Fixed-Price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1404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Transaction-Price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1404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Hourly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140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40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404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Parking</w:t>
      </w:r>
    </w:p>
    <w:p>
      <w:pPr>
        <w:jc w:val="center"/>
        <w:ind w:left="120"/>
        <w:spacing w:after="0"/>
        <w:rPr>
          <w:sz w:val="20"/>
          <w:szCs w:val="20"/>
          <w:color w:val="auto"/>
        </w:rPr>
      </w:pPr>
      <w:r>
        <w:rPr>
          <w:rFonts w:ascii="Arial" w:cs="Arial" w:eastAsia="Arial" w:hAnsi="Arial"/>
          <w:sz w:val="18"/>
          <w:szCs w:val="18"/>
          <w:color w:val="auto"/>
        </w:rPr>
        <w:t>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140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0" w:right="40" w:firstLine="15"/>
        <w:spacing w:after="0" w:line="275" w:lineRule="auto"/>
        <w:rPr>
          <w:sz w:val="20"/>
          <w:szCs w:val="20"/>
          <w:color w:val="auto"/>
        </w:rPr>
      </w:pPr>
      <w:r>
        <w:rPr>
          <w:rFonts w:ascii="Arial" w:cs="Arial" w:eastAsia="Arial" w:hAnsi="Arial"/>
          <w:sz w:val="17"/>
          <w:szCs w:val="17"/>
          <w:color w:val="auto"/>
        </w:rPr>
        <w:t>Fixed-Price Repair and Refurbishment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1140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Franchise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28575</wp:posOffset>
            </wp:positionV>
            <wp:extent cx="59086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65"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9525</wp:posOffset>
            </wp:positionV>
            <wp:extent cx="59086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196"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These arrangements are agreements in which the clients are billed for each transaction performed on a monthly basis (e.g., wheelchair passengers served, aircrafts cleaned).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wp:posOffset>
            </wp:positionV>
            <wp:extent cx="59086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contracts in which the client is billed a set hourly rate for each labor hour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59086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43"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9525</wp:posOffset>
            </wp:positionV>
            <wp:extent cx="59086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3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Examples are cleanup after tenant moves, construction cleanup, flood cleanup, snow removal, and extermination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9525</wp:posOffset>
            </wp:positionV>
            <wp:extent cx="59086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34"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Under parking reimbursement arrangements, we manage the parking facility for a management fee, and we pass through the revenue and expenses associated with the facility to the owner. Revenues and expenses are reported in equal amounts for costs reimbursed from our managed locations. During 2015, 2014, and 2013, such amounts totaled $305.9 million, $306.1 million, and $302.4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137160</wp:posOffset>
            </wp:positionV>
            <wp:extent cx="59086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36" w:lineRule="exact"/>
        <w:rPr>
          <w:sz w:val="20"/>
          <w:szCs w:val="20"/>
          <w:color w:val="auto"/>
        </w:rPr>
      </w:pPr>
    </w:p>
    <w:p>
      <w:pPr>
        <w:jc w:val="both"/>
        <w:ind w:right="220"/>
        <w:spacing w:after="0" w:line="236" w:lineRule="auto"/>
        <w:rPr>
          <w:sz w:val="20"/>
          <w:szCs w:val="20"/>
          <w:color w:val="auto"/>
        </w:rPr>
      </w:pPr>
      <w:r>
        <w:rPr>
          <w:rFonts w:ascii="Arial" w:cs="Arial" w:eastAsia="Arial" w:hAnsi="Arial"/>
          <w:sz w:val="18"/>
          <w:szCs w:val="18"/>
          <w:color w:val="auto"/>
        </w:rPr>
        <w:t>These arrangements are accounted for under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 Under the percentage -of-completion method, recognition of profit is dependent upon the accuracy of a variety of estimates, including engineering progress, achievement of milestones, incentives, labor productivity, and cost estimates. Such estimates are based on various professional judgments made with respect to those factors and are subject to change as each project proceeds and new information becomes available. Revenue and gross profit are adjusted periodically for revisions in estimated total contract costs and values. Estimated losses are recorded when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12065</wp:posOffset>
            </wp:positionV>
            <wp:extent cx="59086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01"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We franchise certain engineering services under the Linc Network and TEGG brands through individual and area franchises.</w:t>
      </w:r>
    </w:p>
    <w:p>
      <w:pPr>
        <w:spacing w:after="0" w:line="143"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Initial franchise fees are recognized when we have performed substantially all initial services required by the franchise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Royalties are recognized in income as underlying franchisee sales occur.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Franchise fees charged to franchisees on a flat rate are recognized as earned.</w:t>
      </w:r>
    </w:p>
    <w:p>
      <w:pPr>
        <w:spacing w:after="0" w:line="158"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Direct (incremental) costs related to new franchise sales for which the revenue has not been recognized are deferred until the related revenue is recognized.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expense costs related to continuing franchise royalty fees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478155</wp:posOffset>
            </wp:positionV>
            <wp:extent cx="7126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260"/>
            <w:col w:w="9460"/>
          </w:cols>
          <w:pgMar w:left="240" w:top="5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22"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Exit and Disposal Activities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Exit and disposal activities primarily consist of various actions to terminate employees, exit certain contractual obligations, and dispose of certain assets. Our methodology used to record these expenses are described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We recognize severance costs using the provisions of Accounting Standards Codification (“ASC”) ASC 712, </w:t>
      </w:r>
      <w:r>
        <w:rPr>
          <w:rFonts w:ascii="Arial" w:cs="Arial" w:eastAsia="Arial" w:hAnsi="Arial"/>
          <w:sz w:val="18"/>
          <w:szCs w:val="18"/>
          <w:i w:val="1"/>
          <w:iCs w:val="1"/>
          <w:color w:val="auto"/>
        </w:rPr>
        <w:t>Nonretirement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Postemployment Benefits, </w:t>
      </w:r>
      <w:r>
        <w:rPr>
          <w:rFonts w:ascii="Arial" w:cs="Arial" w:eastAsia="Arial" w:hAnsi="Arial"/>
          <w:sz w:val="18"/>
          <w:szCs w:val="18"/>
          <w:color w:val="auto"/>
        </w:rPr>
        <w:t>and ASC 420,</w:t>
      </w:r>
      <w:r>
        <w:rPr>
          <w:rFonts w:ascii="Arial" w:cs="Arial" w:eastAsia="Arial" w:hAnsi="Arial"/>
          <w:sz w:val="18"/>
          <w:szCs w:val="18"/>
          <w:i w:val="1"/>
          <w:iCs w:val="1"/>
          <w:color w:val="auto"/>
        </w:rPr>
        <w:t xml:space="preserve"> Exit or Disposal Cost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ASC 712 relates to ongoing benefit arrangements. As we do not have a past history of consistently providing severance benefits that would constitute a substantive plan, we typically apply this accounting to executives with employment agreements. As such, we accrue for these separation liabilities when it is probable that the impacted executives will be entitled to the benefits and the amount can be reasonably estimated.</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contrast, ASC 420 relates to one-time termination benefits. This accounting normally applies to employees who do not have formal employment agreements. Under ASC 420, severance costs are recognized when management with the proper level of authority has committed to a restructuring plan and communicated those actions to employees. In addition, if employees are required to render service beyond the minimum retention period until they are terminated in order to receive the benefits, a liability is recognized ratably over the future service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Noncancelable Leases and Contractual Obligations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apply the provisions of ASC 420 for noncancelable leases and contractual obligations. As such, we record liabilities when we terminate a contract in accordance with the contract terms or when we exit the leased space. The expense for these items is determined based on the fair value of remaining lease rentals reduced by the fair value of estimated sublease rentals that could reasonably be obtained for the property, estimated using a present value technique.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w:t>
      </w:r>
    </w:p>
    <w:p>
      <w:pPr>
        <w:spacing w:after="0" w:line="24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For other costs associated with exit and disposal activities, we apply the provisions of ASC 420. We recognize an expense at fair value in the period in which the liability is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Advertising costs are expensed as incurred. During 2015, 2014, and 2013, advertising expense was $2.8 million, $6.8 million, and $7.1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outstanding share-based awards principally consist of restricted stock units (“RSUs”), stock options, and various performance share awards. The fair value of RSUs, stock options, and total shareholder return (“TSR”) performance share awards are expensed over the requisite service period. Other performance share awards are expensed over the requisite service period based on the probability of achievement of performance criteria. The fair value of RSUs and certain performance share awards is determined based on the fair value of our stock price on the date of grant. We use the Black-Scholes option pricing model to determine the fair value of our stock option grants. Since our TSR performance share awards are performance awards with a market condition, the fair value of these awards are determined using a Monte Carlo simulation valuation model. We record share-based compensation expense within selling, general and administrative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Clients and Remitted to Governmental Agencies</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Our provision for income taxes is based on domestic and international statutory income tax rates in the tax jurisdictions where we operate, permanent differences between financial reporting and tax reporting, and available credits and incentives.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22" w:right="239" w:bottom="1440" w:gutter="0" w:footer="0" w:header="0"/>
        </w:sectPr>
      </w:pPr>
    </w:p>
    <w:bookmarkStart w:id="70" w:name="page71"/>
    <w:bookmarkEnd w:id="70"/>
    <w:p>
      <w:pPr>
        <w:jc w:val="both"/>
        <w:ind w:firstLine="648"/>
        <w:spacing w:after="0" w:line="256" w:lineRule="auto"/>
        <w:rPr>
          <w:sz w:val="20"/>
          <w:szCs w:val="20"/>
          <w:color w:val="auto"/>
        </w:rPr>
      </w:pPr>
      <w:r>
        <w:rPr>
          <w:rFonts w:ascii="Arial" w:cs="Arial" w:eastAsia="Arial" w:hAnsi="Arial"/>
          <w:sz w:val="18"/>
          <w:szCs w:val="18"/>
          <w:color w:val="auto"/>
        </w:rPr>
        <w:t>We recognize deferred income taxes for the future tax effects of temporary differences between financial and income tax reporting using tax rates in effect for the years in which the differences are expected to reverse. Deferred tax assets are reviewed for recoverability quarterly. We classify the deferred income taxes as current or long-term based on the classification of the related asset or liability.</w:t>
      </w:r>
    </w:p>
    <w:p>
      <w:pPr>
        <w:spacing w:after="0" w:line="31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Our deferred tax assets are reduced by a valuation allowance when, in the opinion of our management, it is more likely than not that all or a portion of the deferred tax assets will not be realized.</w:t>
      </w:r>
    </w:p>
    <w:p>
      <w:pPr>
        <w:spacing w:after="0" w:line="3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or a portion of the benefit of income tax positions is recognized only when we have made a determination that it is more likely than not that the tax position will be sustained upon examination, based upon the technical merits of the position and other factors. For tax positions that are determined as more likely than not to be sustained upon examination, the tax benefit recognized is the largest amount of benefit that is greater than 50% likely of being realized upon ultimate settlement. We include interest and penalties related to unrecognized tax benefits in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3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conversion of RSUs, vesting of performance shares, and exercise of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3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4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On September 2, 2015, our Board of Directors approved a comprehensive strategy intended to have a positive transformative effect on ABM (the “2020 Vision”). The 2020 Vision identified a number of key priorities to differentiate ABM in the marketplace, improve our margin profile, and accelerate revenue growth. We also reviewed all service lines and investments to assess whether ABM is positioned to continue to competitively offer value added services to clients over the long-term. As a result of our 2020 Vision, we recorded a total charge of $12.7 million in 2015. These restructuring and related costs were primarily related to employee severance, external support fees, asset impairment, and other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Restructuring and Related Cost Accrual</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Employee</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External Support</w:t>
            </w:r>
          </w:p>
        </w:tc>
        <w:tc>
          <w:tcPr>
            <w:tcW w:w="20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Asset</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2"/>
        </w:trPr>
        <w:tc>
          <w:tcPr>
            <w:tcW w:w="29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8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Fees</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2" w:lineRule="exact"/>
              <w:rPr>
                <w:sz w:val="20"/>
                <w:szCs w:val="20"/>
                <w:color w:val="auto"/>
              </w:rPr>
            </w:pPr>
            <w:r>
              <w:rPr>
                <w:rFonts w:ascii="Arial" w:cs="Arial" w:eastAsia="Arial" w:hAnsi="Arial"/>
                <w:sz w:val="18"/>
                <w:szCs w:val="18"/>
                <w:b w:val="1"/>
                <w:bCs w:val="1"/>
                <w:color w:val="auto"/>
                <w:w w:val="96"/>
              </w:rPr>
              <w:t>Impairment</w:t>
            </w:r>
            <w:r>
              <w:rPr>
                <w:rFonts w:ascii="Arial" w:cs="Arial" w:eastAsia="Arial" w:hAnsi="Arial"/>
                <w:sz w:val="21"/>
                <w:szCs w:val="21"/>
                <w:b w:val="1"/>
                <w:bCs w:val="1"/>
                <w:color w:val="auto"/>
                <w:w w:val="96"/>
                <w:vertAlign w:val="superscript"/>
              </w:rPr>
              <w:t>(2)</w:t>
            </w:r>
          </w:p>
        </w:tc>
        <w:tc>
          <w:tcPr>
            <w:tcW w:w="34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November 1, 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recognized</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29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Non-cash charges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October 31, 2015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r>
    </w:tbl>
    <w:p>
      <w:pPr>
        <w:spacing w:after="0" w:line="161" w:lineRule="exact"/>
        <w:rPr>
          <w:sz w:val="20"/>
          <w:szCs w:val="20"/>
          <w:color w:val="auto"/>
        </w:rPr>
      </w:pPr>
    </w:p>
    <w:p>
      <w:pPr>
        <w:jc w:val="both"/>
        <w:ind w:firstLine="8"/>
        <w:spacing w:after="0" w:line="254" w:lineRule="auto"/>
        <w:tabs>
          <w:tab w:leader="none" w:pos="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costs were recorded in selling, general and administrative on the accompanying consolidated statements of comprehensive income. The results by segment, as disclosed in Note 19, “Segment Information,” exclude these costs, which is consistent with the manner by which management evaluates the performance of each reportable segment based on its respective operating profit results. As such, these costs are included with Corporate expenses.</w:t>
      </w:r>
    </w:p>
    <w:p>
      <w:pPr>
        <w:spacing w:after="0" w:line="150"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our 2020 Vision, we wrote down our investment in certain proprietary task management software in the fourth quarter.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2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4. DISCONTINUED OPERATIONS</w:t>
      </w:r>
    </w:p>
    <w:p>
      <w:pPr>
        <w:spacing w:after="0" w:line="193" w:lineRule="exact"/>
        <w:rPr>
          <w:sz w:val="20"/>
          <w:szCs w:val="20"/>
          <w:color w:val="auto"/>
        </w:rPr>
      </w:pPr>
    </w:p>
    <w:p>
      <w:pPr>
        <w:jc w:val="both"/>
        <w:ind w:firstLine="281"/>
        <w:spacing w:after="0" w:line="256" w:lineRule="auto"/>
        <w:rPr>
          <w:sz w:val="20"/>
          <w:szCs w:val="20"/>
          <w:color w:val="auto"/>
        </w:rPr>
      </w:pPr>
      <w:r>
        <w:rPr>
          <w:rFonts w:ascii="Arial" w:cs="Arial" w:eastAsia="Arial" w:hAnsi="Arial"/>
          <w:sz w:val="18"/>
          <w:szCs w:val="18"/>
          <w:color w:val="auto"/>
        </w:rPr>
        <w:t>In connection with our 2020 Vision, on October 26, 2015, we sold substantially all of the assets of our Security business for cash proceeds of $131.0 million, subject to a working capital adjustment, to Universal Protection Service, LP (“UPS”). As such, we have reclassified all assets, liabilities, and results of operations for this business to discontinued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Classes of Assets and Liabilities of the Discontinued Security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October 31,</w:t>
            </w: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63"/>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 of discontinued operations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63.4</w:t>
            </w:r>
          </w:p>
        </w:tc>
      </w:tr>
      <w:tr>
        <w:trPr>
          <w:trHeight w:val="331"/>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63"/>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63"/>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Noncurrent assets of discontinued operations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331"/>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63"/>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Accrued taxes—other than income</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63"/>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446"/>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Summarized Operating Results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left="990"/>
              <w:spacing w:after="0"/>
              <w:rPr>
                <w:sz w:val="20"/>
                <w:szCs w:val="20"/>
                <w:color w:val="auto"/>
              </w:rPr>
            </w:pPr>
            <w:r>
              <w:rPr>
                <w:rFonts w:ascii="Arial" w:cs="Arial" w:eastAsia="Arial" w:hAnsi="Arial"/>
                <w:sz w:val="18"/>
                <w:szCs w:val="18"/>
                <w:b w:val="1"/>
                <w:bCs w:val="1"/>
                <w:color w:val="auto"/>
                <w:w w:val="99"/>
              </w:rPr>
              <w:t>Years Ended October 31,</w:t>
            </w:r>
          </w:p>
        </w:tc>
        <w:tc>
          <w:tcPr>
            <w:tcW w:w="1400" w:type="dxa"/>
            <w:vAlign w:val="bottom"/>
            <w:tcBorders>
              <w:bottom w:val="single" w:sz="8" w:color="auto"/>
            </w:tcBorders>
          </w:tcPr>
          <w:p>
            <w:pPr>
              <w:spacing w:after="0"/>
              <w:rPr>
                <w:sz w:val="24"/>
                <w:szCs w:val="24"/>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r>
      <w:tr>
        <w:trPr>
          <w:trHeight w:val="270"/>
        </w:trPr>
        <w:tc>
          <w:tcPr>
            <w:tcW w:w="40" w:type="dxa"/>
            <w:vAlign w:val="bottom"/>
          </w:tcPr>
          <w:p>
            <w:pPr>
              <w:spacing w:after="0"/>
              <w:rPr>
                <w:sz w:val="23"/>
                <w:szCs w:val="23"/>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64"/>
        </w:trPr>
        <w:tc>
          <w:tcPr>
            <w:tcW w:w="40" w:type="dxa"/>
            <w:vAlign w:val="bottom"/>
            <w:shd w:val="clear" w:color="auto" w:fill="CCEEFF"/>
          </w:tcPr>
          <w:p>
            <w:pPr>
              <w:spacing w:after="0"/>
              <w:rPr>
                <w:sz w:val="22"/>
                <w:szCs w:val="22"/>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50"/>
        </w:trPr>
        <w:tc>
          <w:tcPr>
            <w:tcW w:w="40" w:type="dxa"/>
            <w:vAlign w:val="bottom"/>
            <w:tcBorders>
              <w:bottom w:val="single" w:sz="8" w:color="CCEEFF"/>
            </w:tcBorders>
          </w:tcPr>
          <w:p>
            <w:pPr>
              <w:spacing w:after="0"/>
              <w:rPr>
                <w:sz w:val="21"/>
                <w:szCs w:val="21"/>
                <w:color w:val="auto"/>
              </w:rPr>
            </w:pPr>
          </w:p>
        </w:tc>
        <w:tc>
          <w:tcPr>
            <w:tcW w:w="63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369.3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367.8</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Gain on sale before income taxes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discontinued operations, net of taxes</w:t>
            </w:r>
            <w:r>
              <w:rPr>
                <w:rFonts w:ascii="Arial" w:cs="Arial" w:eastAsia="Arial" w:hAnsi="Arial"/>
                <w:sz w:val="21"/>
                <w:szCs w:val="21"/>
                <w:b w:val="1"/>
                <w:bCs w:val="1"/>
                <w:color w:val="auto"/>
                <w:vertAlign w:val="superscript"/>
              </w:rPr>
              <w:t>(3)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bl>
    <w:p>
      <w:pPr>
        <w:spacing w:after="0" w:line="215" w:lineRule="exact"/>
        <w:rPr>
          <w:sz w:val="20"/>
          <w:szCs w:val="20"/>
          <w:color w:val="auto"/>
        </w:rPr>
      </w:pPr>
    </w:p>
    <w:p>
      <w:pPr>
        <w:jc w:val="both"/>
        <w:ind w:firstLine="8"/>
        <w:spacing w:after="0" w:line="233" w:lineRule="auto"/>
        <w:tabs>
          <w:tab w:leader="none" w:pos="2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Includes amounts that were directly related to the operations of the former Security business, including certain costs that were previously recorded in Corporate expenses. In addition, see Note 19, “Segment and Geographic Information,” for information regarding certain expenses that were previously allocated to Security and are now allocated back to Corporate expenses and the Janitorial segment.</w:t>
      </w:r>
    </w:p>
    <w:p>
      <w:pPr>
        <w:spacing w:after="0" w:line="180"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Includes a $1.6 million unfavorable legal settlement related to our former Lighting segment, which we disposed of in 2008.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22" w:right="239" w:bottom="1440" w:gutter="0" w:footer="0" w:header="0"/>
        </w:sectPr>
      </w:pPr>
    </w:p>
    <w:bookmarkStart w:id="73" w:name="page74"/>
    <w:bookmarkEnd w:id="73"/>
    <w:p>
      <w:pPr>
        <w:jc w:val="both"/>
        <w:ind w:right="20" w:firstLine="8"/>
        <w:spacing w:after="0" w:line="233" w:lineRule="auto"/>
        <w:tabs>
          <w:tab w:leader="none" w:pos="189" w:val="left"/>
        </w:tabs>
        <w:numPr>
          <w:ilvl w:val="0"/>
          <w:numId w:val="31"/>
        </w:numPr>
        <w:rPr>
          <w:rFonts w:ascii="Arial" w:cs="Arial" w:eastAsia="Arial" w:hAnsi="Arial"/>
          <w:sz w:val="22"/>
          <w:szCs w:val="22"/>
          <w:color w:val="auto"/>
          <w:vertAlign w:val="superscript"/>
        </w:rPr>
      </w:pPr>
      <w:r>
        <w:rPr>
          <w:rFonts w:ascii="Arial" w:cs="Arial" w:eastAsia="Arial" w:hAnsi="Arial"/>
          <w:sz w:val="18"/>
          <w:szCs w:val="18"/>
          <w:color w:val="auto"/>
        </w:rPr>
        <w:t>Discontinued operations includes both costs related to ongoing legal cases and insurance reserves associated with the former Security business. We will continue to reflect these types of costs within discontinued operations in future periods. Refer to Note 15, “Commitments and Contingencies,” and Note 12, “Insurance,” for further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Common Share Calculations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CCEEFF"/>
          </w:tcPr>
          <w:p>
            <w:pPr>
              <w:spacing w:after="0"/>
              <w:rPr>
                <w:sz w:val="21"/>
                <w:szCs w:val="21"/>
                <w:color w:val="auto"/>
              </w:rPr>
            </w:pPr>
          </w:p>
        </w:tc>
      </w:tr>
      <w:tr>
        <w:trPr>
          <w:trHeight w:val="264"/>
        </w:trPr>
        <w:tc>
          <w:tcPr>
            <w:tcW w:w="63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auto"/>
            </w:tcBorders>
          </w:tcPr>
          <w:p>
            <w:pPr>
              <w:spacing w:after="0"/>
              <w:rPr>
                <w:sz w:val="22"/>
                <w:szCs w:val="22"/>
                <w:color w:val="auto"/>
              </w:rPr>
            </w:pPr>
          </w:p>
        </w:tc>
      </w:tr>
      <w:tr>
        <w:trPr>
          <w:trHeight w:val="257"/>
        </w:trPr>
        <w:tc>
          <w:tcPr>
            <w:tcW w:w="63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638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2"/>
        </w:trPr>
        <w:tc>
          <w:tcPr>
            <w:tcW w:w="40" w:type="dxa"/>
            <w:vAlign w:val="bottom"/>
            <w:shd w:val="clear" w:color="auto" w:fill="CCEEFF"/>
          </w:tcPr>
          <w:p>
            <w:pPr>
              <w:spacing w:after="0"/>
              <w:rPr>
                <w:sz w:val="21"/>
                <w:szCs w:val="21"/>
                <w:color w:val="auto"/>
              </w:rPr>
            </w:pPr>
          </w:p>
        </w:tc>
        <w:tc>
          <w:tcPr>
            <w:tcW w:w="634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—Basic</w:t>
            </w:r>
          </w:p>
        </w:tc>
        <w:tc>
          <w:tcPr>
            <w:tcW w:w="22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21"/>
                <w:szCs w:val="21"/>
                <w:color w:val="auto"/>
              </w:rPr>
            </w:pPr>
          </w:p>
        </w:tc>
      </w:tr>
      <w:tr>
        <w:trPr>
          <w:trHeight w:val="263"/>
        </w:trPr>
        <w:tc>
          <w:tcPr>
            <w:tcW w:w="6380" w:type="dxa"/>
            <w:vAlign w:val="bottom"/>
            <w:gridSpan w:val="5"/>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spacing w:after="0"/>
              <w:rPr>
                <w:sz w:val="24"/>
                <w:szCs w:val="24"/>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6340" w:type="dxa"/>
            <w:vAlign w:val="bottom"/>
            <w:gridSpan w:val="4"/>
          </w:tcPr>
          <w:p>
            <w:pPr>
              <w:ind w:left="3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2"/>
                <w:szCs w:val="22"/>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auto"/>
            </w:tcBorders>
            <w:shd w:val="clear" w:color="auto" w:fill="CCEEFF"/>
          </w:tcPr>
          <w:p>
            <w:pPr>
              <w:spacing w:after="0"/>
              <w:rPr>
                <w:sz w:val="24"/>
                <w:szCs w:val="24"/>
                <w:color w:val="auto"/>
              </w:rPr>
            </w:pPr>
          </w:p>
        </w:tc>
      </w:tr>
      <w:tr>
        <w:trPr>
          <w:trHeight w:val="187"/>
        </w:trPr>
        <w:tc>
          <w:tcPr>
            <w:tcW w:w="6380" w:type="dxa"/>
            <w:vAlign w:val="bottom"/>
            <w:gridSpan w:val="5"/>
          </w:tcPr>
          <w:p>
            <w:pPr>
              <w:ind w:left="40"/>
              <w:spacing w:after="0" w:line="187" w:lineRule="exact"/>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634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60" w:type="dxa"/>
            <w:vAlign w:val="bottom"/>
            <w:tcBorders>
              <w:bottom w:val="single" w:sz="8" w:color="auto"/>
            </w:tcBorders>
          </w:tcPr>
          <w:p>
            <w:pPr>
              <w:spacing w:after="0"/>
              <w:rPr>
                <w:sz w:val="24"/>
                <w:szCs w:val="24"/>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3"/>
        </w:trPr>
        <w:tc>
          <w:tcPr>
            <w:tcW w:w="638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0" w:type="dxa"/>
            <w:vAlign w:val="bottom"/>
            <w:tcBorders>
              <w:bottom w:val="single" w:sz="8" w:color="auto"/>
            </w:tcBorders>
          </w:tcPr>
          <w:p>
            <w:pPr>
              <w:spacing w:after="0"/>
              <w:rPr>
                <w:sz w:val="22"/>
                <w:szCs w:val="2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638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340" w:type="dxa"/>
            <w:vAlign w:val="bottom"/>
            <w:gridSpan w:val="4"/>
          </w:tcPr>
          <w:p>
            <w:pPr>
              <w:ind w:left="3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tcBorders>
              <w:bottom w:val="single" w:sz="8" w:color="auto"/>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340" w:type="dxa"/>
            <w:vAlign w:val="bottom"/>
            <w:gridSpan w:val="4"/>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59"/>
        </w:trPr>
        <w:tc>
          <w:tcPr>
            <w:tcW w:w="8500" w:type="dxa"/>
            <w:vAlign w:val="bottom"/>
            <w:gridSpan w:val="11"/>
          </w:tcPr>
          <w:p>
            <w:pPr>
              <w:spacing w:after="0"/>
              <w:rPr>
                <w:sz w:val="20"/>
                <w:szCs w:val="20"/>
                <w:color w:val="auto"/>
              </w:rPr>
            </w:pPr>
            <w:r>
              <w:rPr>
                <w:rFonts w:ascii="Arial" w:cs="Arial" w:eastAsia="Arial" w:hAnsi="Arial"/>
                <w:sz w:val="18"/>
                <w:szCs w:val="18"/>
                <w:b w:val="1"/>
                <w:bCs w:val="1"/>
                <w:i w:val="1"/>
                <w:iCs w:val="1"/>
                <w:color w:val="auto"/>
                <w:w w:val="99"/>
              </w:rPr>
              <w:t>Outstanding Stock Awards Issued Under Share-Based Compensation Plans that were Anti-Dilutive:</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ind w:left="1060"/>
              <w:spacing w:after="0"/>
              <w:rPr>
                <w:sz w:val="20"/>
                <w:szCs w:val="20"/>
                <w:color w:val="auto"/>
              </w:rPr>
            </w:pPr>
            <w:r>
              <w:rPr>
                <w:rFonts w:ascii="Arial" w:cs="Arial" w:eastAsia="Arial" w:hAnsi="Arial"/>
                <w:sz w:val="18"/>
                <w:szCs w:val="18"/>
                <w:b w:val="1"/>
                <w:bCs w:val="1"/>
                <w:color w:val="auto"/>
              </w:rPr>
              <w:t>Years Ended October 31,</w:t>
            </w: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380" w:type="dxa"/>
            <w:vAlign w:val="bottom"/>
            <w:gridSpan w:val="5"/>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9"/>
                <w:szCs w:val="19"/>
                <w:color w:val="auto"/>
              </w:rPr>
            </w:pPr>
          </w:p>
        </w:tc>
        <w:tc>
          <w:tcPr>
            <w:tcW w:w="11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38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2"/>
                <w:szCs w:val="2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May 1, 2015, we acquired certain assets and assumed certain liabilities of CTS Services/Facility Support Services (“CTS”), a provider of HVAC services and energy solutions in government, commercial, and industrial buildings, for a purchase price of $18.8 million, subject to post-closing adjustments. The purchase price includes $3.8 million of contingent consideration that is based on the expected achievement of certain pre-established revenue goals. See Note 7, “Fair Value of Financial Instruments,” regarding the valuation of the contingent consideration liability.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8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2014 Acquisitions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2014, we completed acquisitions for an aggregate purchase price of $52.9 million, which includes $3.3 million of contingent consideration. As of October 31, 2015, the remaining balance of this contingent consideration is $2.8 million. There were no material purchase price allocation adjustments recognized in the current period related to business combinations that occurred in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Serv Acquisition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 2012, we acquired all of the outstanding stock of Air Serv Corporation (“Air Serv”) for an aggregate purchase price of $162.9 million in cash (the “Air Serv Acquisition”). Air Serv provides facility solutions for airlines, airports, and freight companies at airports primarily in the United States. This acquisition allowed us to significantly expand our vertical market expertise in servicing the comprehensive needs of airline and airport authorities, which resulted in the allocation of a significant portion of the purchase price to goodwill. As such, we recorded goodwill and intangible assets associated with this acquisition of $89.2 million and $44.6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2013, we completed other acquisitions for an aggregate purchase price of $49.9 million, which includes $1.6 million of contingent consideration. The contingent consideration was adjusted by $0.2 million in 2014 to reflect the probable achievement of the final settlement of the contingent consideration liability. This adjustment was recorded in selling, general and administrative on the accompanying consolidated statements of comprehensive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Other Supplemental Financial Information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as these acquisitions are not considered material business combinations individually or on a combined basis.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2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October 31, 2015</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31, 2014</w:t>
            </w:r>
          </w:p>
        </w:tc>
      </w:t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69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Hierarchy</w:t>
            </w:r>
          </w:p>
        </w:tc>
        <w:tc>
          <w:tcPr>
            <w:tcW w:w="160" w:type="dxa"/>
            <w:vAlign w:val="bottom"/>
          </w:tcPr>
          <w:p>
            <w:pPr>
              <w:spacing w:after="0"/>
              <w:rPr>
                <w:sz w:val="14"/>
                <w:szCs w:val="14"/>
                <w:color w:val="auto"/>
              </w:rPr>
            </w:pPr>
          </w:p>
        </w:tc>
        <w:tc>
          <w:tcPr>
            <w:tcW w:w="3120" w:type="dxa"/>
            <w:vAlign w:val="bottom"/>
            <w:gridSpan w:val="4"/>
          </w:tcPr>
          <w:p>
            <w:pPr>
              <w:jc w:val="right"/>
              <w:ind w:right="1208"/>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 measured at fair value on a recurring basis</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940" w:type="dxa"/>
            <w:vAlign w:val="bottom"/>
            <w:gridSpan w:val="2"/>
          </w:tcPr>
          <w:p>
            <w:pPr>
              <w:ind w:left="340"/>
              <w:spacing w:after="0"/>
              <w:rPr>
                <w:sz w:val="20"/>
                <w:szCs w:val="20"/>
                <w:color w:val="auto"/>
              </w:rPr>
            </w:pPr>
            <w:r>
              <w:rPr>
                <w:rFonts w:ascii="Arial" w:cs="Arial" w:eastAsia="Arial" w:hAnsi="Arial"/>
                <w:sz w:val="14"/>
                <w:szCs w:val="14"/>
                <w:color w:val="auto"/>
              </w:rPr>
              <w:t>Assets held in funded deferred compensation plan</w:t>
            </w:r>
            <w:r>
              <w:rPr>
                <w:rFonts w:ascii="Arial" w:cs="Arial" w:eastAsia="Arial" w:hAnsi="Arial"/>
                <w:sz w:val="17"/>
                <w:szCs w:val="17"/>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40" w:type="dxa"/>
            <w:vAlign w:val="bottom"/>
            <w:shd w:val="clear" w:color="auto" w:fill="CCEEFF"/>
          </w:tcPr>
          <w:p>
            <w:pPr>
              <w:spacing w:after="0"/>
              <w:rPr>
                <w:sz w:val="23"/>
                <w:szCs w:val="23"/>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Investments in auction rate securities</w:t>
            </w:r>
            <w:r>
              <w:rPr>
                <w:rFonts w:ascii="Arial" w:cs="Arial" w:eastAsia="Arial" w:hAnsi="Arial"/>
                <w:sz w:val="17"/>
                <w:szCs w:val="17"/>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70"/>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Other select financial assets</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940" w:type="dxa"/>
            <w:vAlign w:val="bottom"/>
            <w:gridSpan w:val="2"/>
          </w:tcPr>
          <w:p>
            <w:pPr>
              <w:ind w:left="340"/>
              <w:spacing w:after="0"/>
              <w:rPr>
                <w:sz w:val="20"/>
                <w:szCs w:val="20"/>
                <w:color w:val="auto"/>
              </w:rPr>
            </w:pPr>
            <w:r>
              <w:rPr>
                <w:rFonts w:ascii="Arial" w:cs="Arial" w:eastAsia="Arial" w:hAnsi="Arial"/>
                <w:sz w:val="14"/>
                <w:szCs w:val="14"/>
                <w:color w:val="auto"/>
              </w:rPr>
              <w:t>Cash and cash equivalents</w:t>
            </w:r>
            <w:r>
              <w:rPr>
                <w:rFonts w:ascii="Arial" w:cs="Arial" w:eastAsia="Arial" w:hAnsi="Arial"/>
                <w:sz w:val="17"/>
                <w:szCs w:val="17"/>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36.7</w:t>
            </w:r>
          </w:p>
        </w:tc>
      </w:tr>
      <w:tr>
        <w:trPr>
          <w:trHeight w:val="270"/>
        </w:trPr>
        <w:tc>
          <w:tcPr>
            <w:tcW w:w="40" w:type="dxa"/>
            <w:vAlign w:val="bottom"/>
            <w:shd w:val="clear" w:color="auto" w:fill="CCEEFF"/>
          </w:tcPr>
          <w:p>
            <w:pPr>
              <w:spacing w:after="0"/>
              <w:rPr>
                <w:sz w:val="23"/>
                <w:szCs w:val="23"/>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deposits</w:t>
            </w:r>
            <w:r>
              <w:rPr>
                <w:rFonts w:ascii="Arial" w:cs="Arial" w:eastAsia="Arial" w:hAnsi="Arial"/>
                <w:sz w:val="17"/>
                <w:szCs w:val="17"/>
                <w:color w:val="auto"/>
                <w:vertAlign w:val="superscript"/>
              </w:rPr>
              <w:t>(4)</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Financial liabilities measured at fair value on a recurring basis</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940" w:type="dxa"/>
            <w:vAlign w:val="bottom"/>
            <w:gridSpan w:val="2"/>
          </w:tcPr>
          <w:p>
            <w:pPr>
              <w:ind w:left="340"/>
              <w:spacing w:after="0"/>
              <w:rPr>
                <w:sz w:val="20"/>
                <w:szCs w:val="20"/>
                <w:color w:val="auto"/>
              </w:rPr>
            </w:pPr>
            <w:r>
              <w:rPr>
                <w:rFonts w:ascii="Arial" w:cs="Arial" w:eastAsia="Arial" w:hAnsi="Arial"/>
                <w:sz w:val="14"/>
                <w:szCs w:val="14"/>
                <w:color w:val="auto"/>
              </w:rPr>
              <w:t>Interest rate swaps</w:t>
            </w:r>
            <w:r>
              <w:rPr>
                <w:rFonts w:ascii="Arial" w:cs="Arial" w:eastAsia="Arial" w:hAnsi="Arial"/>
                <w:sz w:val="17"/>
                <w:szCs w:val="17"/>
                <w:color w:val="auto"/>
                <w:vertAlign w:val="superscript"/>
              </w:rPr>
              <w:t>(5)</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40" w:type="dxa"/>
            <w:vAlign w:val="bottom"/>
            <w:shd w:val="clear" w:color="auto" w:fill="CCEEFF"/>
          </w:tcPr>
          <w:p>
            <w:pPr>
              <w:spacing w:after="0"/>
              <w:rPr>
                <w:sz w:val="23"/>
                <w:szCs w:val="23"/>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Contingent consideration liability</w:t>
            </w:r>
            <w:r>
              <w:rPr>
                <w:rFonts w:ascii="Arial" w:cs="Arial" w:eastAsia="Arial" w:hAnsi="Arial"/>
                <w:sz w:val="17"/>
                <w:szCs w:val="17"/>
                <w:color w:val="auto"/>
                <w:vertAlign w:val="superscript"/>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33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select financial liability</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69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3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56" w:lineRule="auto"/>
        <w:tabs>
          <w:tab w:leader="none" w:pos="3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one of our deferred compensation plans, which we include in “Other noncurrent assets” on the accompanying consolidated balance sheets. The fair value of the assets held in the funded deferred compensation plan is based on quoted market prices. See Note 14, “Employee Benefit Plans,” for further information.</w:t>
      </w:r>
    </w:p>
    <w:p>
      <w:pPr>
        <w:spacing w:after="0" w:line="147" w:lineRule="exact"/>
        <w:rPr>
          <w:rFonts w:ascii="Arial" w:cs="Arial" w:eastAsia="Arial" w:hAnsi="Arial"/>
          <w:sz w:val="18"/>
          <w:szCs w:val="18"/>
          <w:color w:val="auto"/>
        </w:rPr>
      </w:pPr>
    </w:p>
    <w:p>
      <w:pPr>
        <w:jc w:val="both"/>
        <w:ind w:firstLine="8"/>
        <w:spacing w:after="0" w:line="256" w:lineRule="auto"/>
        <w:tabs>
          <w:tab w:leader="none" w:pos="3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are based on discounted cash flow valuation models, primarily utilizing unobservable inputs, which we include in “Other investments” on the accompanying consolidated balance sheets. See Note 9, “Auction Rate Securities,” for further information.</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171" w:lineRule="exact"/>
        <w:rPr>
          <w:rFonts w:ascii="Arial" w:cs="Arial" w:eastAsia="Arial" w:hAnsi="Arial"/>
          <w:sz w:val="18"/>
          <w:szCs w:val="18"/>
          <w:color w:val="auto"/>
        </w:rPr>
      </w:pPr>
    </w:p>
    <w:p>
      <w:pPr>
        <w:jc w:val="both"/>
        <w:ind w:firstLine="8"/>
        <w:spacing w:after="0" w:line="256" w:lineRule="auto"/>
        <w:tabs>
          <w:tab w:leader="none" w:pos="2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are included in “Other noncurrent assets” on the accompanying consolidated balance sheets. See Note 12, “Insurance,” for further information.</w:t>
      </w:r>
    </w:p>
    <w:p>
      <w:pPr>
        <w:spacing w:after="0" w:line="147" w:lineRule="exact"/>
        <w:rPr>
          <w:rFonts w:ascii="Arial" w:cs="Arial" w:eastAsia="Arial" w:hAnsi="Arial"/>
          <w:sz w:val="18"/>
          <w:szCs w:val="18"/>
          <w:color w:val="auto"/>
        </w:rPr>
      </w:pPr>
    </w:p>
    <w:p>
      <w:pPr>
        <w:jc w:val="both"/>
        <w:ind w:firstLine="8"/>
        <w:spacing w:after="0" w:line="253"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are included in “Other accrued liabilities” for 2015 and “Other noncurrent liabilities” for 2014, on the accompanying consolidated balance sheets. See Note 13, “Line of Credit,” for more information.</w:t>
      </w:r>
    </w:p>
    <w:p>
      <w:pPr>
        <w:spacing w:after="0" w:line="151" w:lineRule="exact"/>
        <w:rPr>
          <w:rFonts w:ascii="Arial" w:cs="Arial" w:eastAsia="Arial" w:hAnsi="Arial"/>
          <w:sz w:val="18"/>
          <w:szCs w:val="18"/>
          <w:color w:val="auto"/>
        </w:rPr>
      </w:pPr>
    </w:p>
    <w:p>
      <w:pPr>
        <w:jc w:val="both"/>
        <w:ind w:firstLine="8"/>
        <w:spacing w:after="0" w:line="254" w:lineRule="auto"/>
        <w:tabs>
          <w:tab w:leader="none" w:pos="2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of our acquisitions involve the payment of contingent consideration. Depending on the structure of the contingent consideration arrangement, the fair value of the liability is based on either (i) the expected achievement of certain pre-established revenue goals or (ii) pre-defined forecasted adjusted income from operations using a probability weighted income approach. Our contingent consideration liabilities are included in “Other accrued liabilities” and “Other noncurrent liabilities” on the accompanying consolidated balance sheets.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22" w:right="239" w:bottom="1440" w:gutter="0" w:footer="0" w:header="0"/>
        </w:sectPr>
      </w:pPr>
    </w:p>
    <w:bookmarkStart w:id="76" w:name="page77"/>
    <w:bookmarkEnd w:id="76"/>
    <w:p>
      <w:pPr>
        <w:ind w:right="20" w:firstLine="8"/>
        <w:spacing w:after="0" w:line="262" w:lineRule="auto"/>
        <w:tabs>
          <w:tab w:leader="none" w:pos="2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13, “Line of Credit,” for further information.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triggering events occur, or if an annual impairment test is required, we would evaluate the non-financial assets for impairment. If an impairment were to occur, the asset would be recorded at the estimated fair value, which is determined using discounted future cash flows for goodwill or undiscounted future cash flows for long-lived assets. During 2015, we wrote down our investment in certain proprietary task management software in the fourth quarter. See Note 3, “Restructuring and Related Costs,” for further information.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and 2014,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ADVANCES TO JOINT VENTURES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make various advances to our unconsolidated joint ventures to provide working capital for the joint ventures’ operations, which are not collateralized, do not carry interest, and have no specific repayment terms. At October 31, 2015 and 2014, the aggregate amounts of these advances were $1.1 million and $1.2 million, respectively, and are included in “Other noncurrent assets” on the accompanying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2015 and 2014, we held investments in auction rate securities from three different issuers having an aggregate original principal amount of $15.0 million and an amortized cost basis of $13.0 million. At October 31, 2015 and 2014, the fair value of these securities was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We have classified all our auction rate security investments as noncurrent, as we do not reasonably expect to liquidate the securities for cash within the next twelve months.</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2015 and 2014, there were no unrealized gains or losses included in AOCL and the total amount of other-than-temporary impairment credit loss on our auction rate security investments included in our retained earnings was $2.0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2015</w:t>
            </w:r>
          </w:p>
        </w:tc>
        <w:tc>
          <w:tcPr>
            <w:tcW w:w="10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2014</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+ 0.38% – L + 2.13%</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 + 0.28% – L + 4.06%</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tcPr>
          <w:p>
            <w:pPr>
              <w:jc w:val="center"/>
              <w:spacing w:after="0"/>
              <w:rPr>
                <w:sz w:val="20"/>
                <w:szCs w:val="20"/>
                <w:color w:val="auto"/>
              </w:rPr>
            </w:pPr>
            <w:r>
              <w:rPr>
                <w:rFonts w:ascii="Arial" w:cs="Arial" w:eastAsia="Arial" w:hAnsi="Arial"/>
                <w:sz w:val="18"/>
                <w:szCs w:val="18"/>
                <w:color w:val="auto"/>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 – 10 years</w:t>
            </w:r>
          </w:p>
        </w:tc>
      </w:tr>
      <w:tr>
        <w:trPr>
          <w:trHeight w:val="378"/>
        </w:trPr>
        <w:tc>
          <w:tcPr>
            <w:tcW w:w="3780" w:type="dxa"/>
            <w:vAlign w:val="bottom"/>
            <w:gridSpan w:val="2"/>
          </w:tcPr>
          <w:p>
            <w:pPr>
              <w:spacing w:after="0"/>
              <w:rPr>
                <w:sz w:val="20"/>
                <w:szCs w:val="20"/>
                <w:color w:val="auto"/>
              </w:rPr>
            </w:pPr>
            <w:r>
              <w:rPr>
                <w:rFonts w:ascii="Arial" w:cs="Arial" w:eastAsia="Arial" w:hAnsi="Arial"/>
                <w:sz w:val="18"/>
                <w:szCs w:val="18"/>
                <w:color w:val="auto"/>
              </w:rPr>
              <w:t>L -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Pr>
          <w:p>
            <w:pPr>
              <w:jc w:val="right"/>
              <w:ind w:right="167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77" w:name="page78"/>
    <w:bookmarkEnd w:id="77"/>
    <w:p>
      <w:pPr>
        <w:ind w:right="7880" w:firstLine="8"/>
        <w:spacing w:after="0" w:line="517" w:lineRule="auto"/>
        <w:tabs>
          <w:tab w:leader="none" w:pos="3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 Property, Plant and Equipmen</w:t>
      </w:r>
      <w:r>
        <w:rPr>
          <w:rFonts w:ascii="Arial" w:cs="Arial" w:eastAsia="Arial" w:hAnsi="Arial"/>
          <w:sz w:val="17"/>
          <w:szCs w:val="17"/>
          <w:color w:val="auto"/>
        </w:rPr>
        <w:t>t</w:t>
      </w:r>
    </w:p>
    <w:p>
      <w:pPr>
        <w:spacing w:after="0" w:line="90" w:lineRule="exact"/>
        <w:rPr>
          <w:sz w:val="20"/>
          <w:szCs w:val="20"/>
          <w:color w:val="auto"/>
        </w:rPr>
      </w:pPr>
    </w:p>
    <w:p>
      <w:pPr>
        <w:jc w:val="right"/>
        <w:ind w:right="1360"/>
        <w:spacing w:after="0"/>
        <w:rPr>
          <w:sz w:val="20"/>
          <w:szCs w:val="20"/>
          <w:color w:val="auto"/>
        </w:rPr>
      </w:pPr>
      <w:r>
        <w:rPr>
          <w:rFonts w:ascii="Arial" w:cs="Arial" w:eastAsia="Arial" w:hAnsi="Arial"/>
          <w:sz w:val="18"/>
          <w:szCs w:val="18"/>
          <w:b w:val="1"/>
          <w:bCs w:val="1"/>
          <w:color w:val="auto"/>
        </w:rPr>
        <w:t>As of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28575</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Computer equipment and software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other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Leasehold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Transportation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fixtures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Accumulated depreciation*</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2015</w:t>
            </w:r>
          </w:p>
        </w:tc>
      </w:tr>
      <w:tr>
        <w:trPr>
          <w:trHeight w:val="243"/>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89.1</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7"/>
        </w:trPr>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222.7</w:t>
            </w:r>
          </w:p>
        </w:tc>
      </w:tr>
      <w:tr>
        <w:trPr>
          <w:trHeight w:val="277"/>
        </w:trPr>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148.7</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-1740535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-1397000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-1054100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-711200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-368300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43"/>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90.4</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0"/>
        </w:trPr>
        <w:tc>
          <w:tcPr>
            <w:tcW w:w="48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7"/>
        </w:trPr>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220.1</w:t>
            </w:r>
          </w:p>
        </w:tc>
      </w:tr>
      <w:tr>
        <w:trPr>
          <w:trHeight w:val="277"/>
        </w:trPr>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3">
            <w:col w:w="6460" w:space="720"/>
            <w:col w:w="2060" w:space="120"/>
            <w:col w:w="2060"/>
          </w:cols>
          <w:pgMar w:left="240" w:top="5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 For 2015, 2014, and 2013, depreciation expense was $32.8 million, $30.2 million, and $31.6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 Included in Property, Plant and Equipment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64"/>
        </w:trPr>
        <w:tc>
          <w:tcPr>
            <w:tcW w:w="71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57"/>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4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64"/>
        </w:trPr>
        <w:tc>
          <w:tcPr>
            <w:tcW w:w="71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50"/>
        </w:trPr>
        <w:tc>
          <w:tcPr>
            <w:tcW w:w="7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7100" w:firstLine="8"/>
        <w:spacing w:after="0" w:line="475" w:lineRule="auto"/>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Building &amp;</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Janitorial</w:t>
            </w:r>
          </w:p>
        </w:tc>
        <w:tc>
          <w:tcPr>
            <w:tcW w:w="2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Parking</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November 1, 2013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822.5</w:t>
            </w:r>
          </w:p>
        </w:tc>
      </w:tr>
      <w:tr>
        <w:trPr>
          <w:trHeight w:val="264"/>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Acquisitions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32.4</w:t>
            </w:r>
          </w:p>
        </w:tc>
      </w:tr>
      <w:tr>
        <w:trPr>
          <w:trHeight w:val="27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83"/>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Balance at November 1,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488.4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854.7</w:t>
            </w:r>
          </w:p>
        </w:tc>
      </w:tr>
      <w:tr>
        <w:trPr>
          <w:trHeight w:val="224"/>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Acquisitions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4000" w:type="dxa"/>
            <w:vAlign w:val="bottom"/>
            <w:gridSpan w:val="3"/>
          </w:tcPr>
          <w:p>
            <w:pPr>
              <w:ind w:left="40"/>
              <w:spacing w:after="0"/>
              <w:rPr>
                <w:sz w:val="20"/>
                <w:szCs w:val="20"/>
                <w:color w:val="auto"/>
              </w:rPr>
            </w:pPr>
            <w:r>
              <w:rPr>
                <w:rFonts w:ascii="Arial" w:cs="Arial" w:eastAsia="Arial" w:hAnsi="Arial"/>
                <w:sz w:val="14"/>
                <w:szCs w:val="14"/>
                <w:color w:val="auto"/>
              </w:rPr>
              <w:t>Foreign currency translation and other</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43"/>
        </w:trPr>
        <w:tc>
          <w:tcPr>
            <w:tcW w:w="40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October 31, 2015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867.5</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hanging="158"/>
        <w:spacing w:after="0"/>
        <w:tabs>
          <w:tab w:leader="none" w:pos="220" w:val="left"/>
        </w:tabs>
        <w:numPr>
          <w:ilvl w:val="0"/>
          <w:numId w:val="36"/>
        </w:numPr>
        <w:rPr>
          <w:rFonts w:ascii="Arial" w:cs="Arial" w:eastAsia="Arial" w:hAnsi="Arial"/>
          <w:sz w:val="19"/>
          <w:szCs w:val="19"/>
          <w:color w:val="auto"/>
          <w:vertAlign w:val="superscript"/>
        </w:rPr>
      </w:pPr>
      <w:r>
        <w:rPr>
          <w:rFonts w:ascii="Arial" w:cs="Arial" w:eastAsia="Arial" w:hAnsi="Arial"/>
          <w:sz w:val="16"/>
          <w:szCs w:val="16"/>
          <w:color w:val="auto"/>
        </w:rPr>
        <w:t>Goodwill primarily increased due to the acquisition of CTS. See Note 6, “Acquisitions,” for additional information related to this acquisition.</w:t>
      </w:r>
    </w:p>
    <w:p>
      <w:pPr>
        <w:spacing w:after="0" w:line="228" w:lineRule="exact"/>
        <w:rPr>
          <w:rFonts w:ascii="Arial" w:cs="Arial" w:eastAsia="Arial" w:hAnsi="Arial"/>
          <w:sz w:val="19"/>
          <w:szCs w:val="19"/>
          <w:color w:val="auto"/>
          <w:vertAlign w:val="superscript"/>
        </w:rPr>
      </w:pPr>
    </w:p>
    <w:p>
      <w:pPr>
        <w:ind w:left="5620"/>
        <w:spacing w:after="0"/>
        <w:rPr>
          <w:rFonts w:ascii="Arial" w:cs="Arial" w:eastAsia="Arial" w:hAnsi="Arial"/>
          <w:sz w:val="19"/>
          <w:szCs w:val="19"/>
          <w:color w:val="auto"/>
          <w:vertAlign w:val="superscript"/>
        </w:rPr>
      </w:pPr>
      <w:r>
        <w:rPr>
          <w:rFonts w:ascii="Arial" w:cs="Arial" w:eastAsia="Arial" w:hAnsi="Arial"/>
          <w:sz w:val="18"/>
          <w:szCs w:val="18"/>
          <w:color w:val="auto"/>
        </w:rPr>
        <w:t>75</w:t>
      </w:r>
    </w:p>
    <w:p>
      <w:pPr>
        <w:sectPr>
          <w:pgSz w:w="11900" w:h="16838" w:orient="portrait"/>
          <w:cols w:equalWidth="0" w:num="1">
            <w:col w:w="11420"/>
          </w:cols>
          <w:pgMar w:left="240" w:top="522"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Other Intangible Assets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October 31, 2015</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October 31, 2014</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Customer contracts and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126.2</w:t>
            </w: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Trademarks and trade names</w:t>
            </w: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Contract rights and other</w:t>
            </w: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127.5</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60"/>
        <w:spacing w:after="0" w:line="449" w:lineRule="auto"/>
        <w:rPr>
          <w:sz w:val="20"/>
          <w:szCs w:val="20"/>
          <w:color w:val="auto"/>
        </w:rPr>
      </w:pPr>
      <w:r>
        <w:rPr>
          <w:rFonts w:ascii="Arial" w:cs="Arial" w:eastAsia="Arial" w:hAnsi="Arial"/>
          <w:sz w:val="18"/>
          <w:szCs w:val="18"/>
          <w:color w:val="auto"/>
        </w:rPr>
        <w:t xml:space="preserve">* These intangible assets are being amortized over the expected period of benefit, with a weighted average life of approximately 13 years. </w:t>
      </w:r>
      <w:r>
        <w:rPr>
          <w:rFonts w:ascii="Arial" w:cs="Arial" w:eastAsia="Arial" w:hAnsi="Arial"/>
          <w:sz w:val="18"/>
          <w:szCs w:val="18"/>
          <w:b w:val="1"/>
          <w:bCs w:val="1"/>
          <w:i w:val="1"/>
          <w:iCs w:val="1"/>
          <w:color w:val="auto"/>
        </w:rPr>
        <w:t>Estimated Annual Amortization Expense For Each of the Next Five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Pr>
          <w:p>
            <w:pPr>
              <w:spacing w:after="0"/>
              <w:rPr>
                <w:sz w:val="14"/>
                <w:szCs w:val="14"/>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Estimated amortization expense*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bl>
    <w:p>
      <w:pPr>
        <w:spacing w:after="0" w:line="161" w:lineRule="exact"/>
        <w:rPr>
          <w:sz w:val="20"/>
          <w:szCs w:val="20"/>
          <w:color w:val="auto"/>
        </w:rPr>
      </w:pPr>
    </w:p>
    <w:p>
      <w:pPr>
        <w:ind w:firstLine="8"/>
        <w:spacing w:after="0" w:line="262" w:lineRule="auto"/>
        <w:tabs>
          <w:tab w:leader="none" w:pos="1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may vary as acquisitions of additional intangible assets occur in the future and as purchase price allocations are finalized for existing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between $1.0 million and $5.0 million per occurrence. To cover general liability losses above these primary limits, we maintain commercial insurance umbrella policies that provide aggregate limits of $200.0 million. Our insurance policies generally cover workers’ compensation losses to the full extent of statutory requirements. Additionally, to cover property damage risks above our retained limits, we maintain policies that provide limits of $75.0 million.</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2015, our annual actuarial evaluations were performed for the majority of our casualty insurance programs, including those related to certain previously acquired businesses. For 2015, the actuarial evaluations showed unfavorable developments in our estimate of ultimate losses related to certain general liability, workers’ compensation, and automobile liability claims, as explained below. These evaluations indicated that previously estimated decreases in our average claim cost and the anticipated reduction in the total number of claims have not occurred at the pace contemplated in the 2014 evaluations.</w:t>
      </w:r>
    </w:p>
    <w:p>
      <w:pPr>
        <w:spacing w:after="0" w:line="1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General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actuarial evaluations showed that while the total number of general liability claims has remained relatively stable,</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ratio of alleged bodily injury claims as compared to the total number of general liability claims has increased. The shift in the claim-type mix, coupled with an increase in the number of premises liability claims from earlier years reported to us subsequent to the 2014 actuarial evaluations, resulted in increases to our estimate of ultimate losses.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workers’ compensation claim development patterns in the majority of states in which we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coupled with an increase in claims frequency in California, also warranted increases to our estimate of ultimate losses. This adverse development can be attributed to an increase in the statutory benefits paid to the claimants as well as to increases in administrative and legal expenses associated with claims in which settlements cannot be quickly attained.</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u w:val="single" w:color="auto"/>
          <w:color w:val="auto"/>
        </w:rPr>
        <w:t>Automobile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We operate a fleet of passenger vehicles, service vans, and shuttle buses associated with our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service contracts. Subsequent to last year’s actuarial review, the adverse development trend of the claims related to operating these vehicles was primarily attributable to three large multi-party claims that occurred in the 2013 policy year. Additionally, during the last 12 months, the claims frequency associated with our continuing fleet operations trended unfavorably versus the actuarial expectations.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22" w:right="239" w:bottom="1440" w:gutter="0" w:footer="0" w:header="0"/>
        </w:sectPr>
      </w:pPr>
    </w:p>
    <w:bookmarkStart w:id="79" w:name="page80"/>
    <w:bookmarkEnd w:id="79"/>
    <w:p>
      <w:pPr>
        <w:jc w:val="both"/>
        <w:ind w:firstLine="648"/>
        <w:spacing w:after="0" w:line="256" w:lineRule="auto"/>
        <w:rPr>
          <w:sz w:val="20"/>
          <w:szCs w:val="20"/>
          <w:color w:val="auto"/>
        </w:rPr>
      </w:pPr>
      <w:r>
        <w:rPr>
          <w:rFonts w:ascii="Arial" w:cs="Arial" w:eastAsia="Arial" w:hAnsi="Arial"/>
          <w:sz w:val="18"/>
          <w:szCs w:val="18"/>
          <w:color w:val="auto"/>
        </w:rPr>
        <w:t>After analyzing the recent loss development patterns, comparing the loss developments against benchmarks, and applying actuarial projection methods to determine the estimate of ultimate losses, we increased our total reserves by $42.4 million during 2015. For 2014 and 2013, insurance reserve adjustments resulting from periodic actuarial evaluations totaled $4.7 million and $9.5 million, respectively.</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self-insured for certain employee medical and dental plans. We retain up to $0.4 million of exposure on a per-participant per-year basis with respect to claims under our medical plan. During 2015, actuarial evaluations were completed for our medical and dental plans for the calendar year ended December 31, 2014. The results of the actuarial evaluations indicated a higher than expected incurred but not reported liability for medical and dental claims. As a result, we increased our reserves by $3.0 million in 2015, which was recorded as part of Corporate expenses.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2015 and 2014, we had insurance claim reserves totaling $387.4 million and $349.7 million, respectively, which include $8.1 million and $4.8 million in reserves, respectively, related to our medical and dental self-insured plans. At October 31, 2015 and 2014, we also had insurance recoverables, which we include in “Other current assets” and “Other noncurrent assets” on the accompanying consolidated balance sheets, totaling $65.9 million and $66.4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October 31,</w:t>
            </w:r>
          </w:p>
        </w:tc>
        <w:tc>
          <w:tcPr>
            <w:tcW w:w="1340" w:type="dxa"/>
            <w:vAlign w:val="bottom"/>
            <w:tcBorders>
              <w:bottom w:val="single" w:sz="8" w:color="auto"/>
            </w:tcBorders>
          </w:tcPr>
          <w:p>
            <w:pPr>
              <w:spacing w:after="0"/>
              <w:rPr>
                <w:sz w:val="21"/>
                <w:szCs w:val="21"/>
                <w:color w:val="auto"/>
              </w:rPr>
            </w:pPr>
          </w:p>
        </w:tc>
      </w:tr>
      <w:tr>
        <w:trPr>
          <w:trHeight w:val="230"/>
        </w:trPr>
        <w:tc>
          <w:tcPr>
            <w:tcW w:w="7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6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46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57"/>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LINE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five-year syndicated credit agreement pursuant to which we obtained an unsecured revolving credit facility (the “Facility”). This credit agreement, as amended from time to time, is referred to as the “Credit Agreement.” The aggregate amount of the Credit Agreement is $800.0 million, and the current maturity date of the Facility is December 11, 2018. At our option, we may increase the size of the Facility to $1.0 billion at any time prior to the expiration date (subject to receipt of commitments for the increased amount from existing and new lenders).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Credit Agreement contains certain leverage and financial covenants that require us to maintain a maximum leverage ratio of 3.25 to 1.0 at the end of each fiscal quarter (except as described below),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On September 2, 2015, we entered into an amendment to our Credit Agreement to update the definition of Consolidated EBITDA that is used in the calculation of certain leverage and financial covenants. The revised definition of Consolidated EBITDA provides addbacks for: (i) restructuring and related charges arising out of our 2020 Vision, (ii) adjustments with respect to insurance liabilities for periods prior to 2015, and (iii) costs arising from the consolidation of locations, subject to the limitation that the aggregate amount of all addbacks does not exceed $75.0 million. In addition, the amendment permits us to dispose of certain assets and to repurchase our common stock without regard to a cap so long as certain leverage tests are met. As of October 31, 2015, we were in compliance with these covenants.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44" w:right="239" w:bottom="1440" w:gutter="0" w:footer="0" w:header="0"/>
        </w:sectPr>
      </w:pPr>
    </w:p>
    <w:bookmarkStart w:id="80" w:name="page81"/>
    <w:bookmarkEnd w:id="80"/>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 obligations.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At October 31, 2015, the total outstanding amounts under the Facility in the form of cash borrowings and standby letters of credit were $158.0 million and $112.9 million, respectively. At October 31, 2014, the total outstanding amounts under the Facility in the form of cash borrowings and standby letters of credit were $319.8 million and $114.9 million, respectively.</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2015 and 2014, we had up to $529.1 million and $365.3 million borrowing capacity, respectively, under the Facility, the availability of which was subject to, and limited by, compliance with the covenants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on such amounts, at rates ranging from 0.44% to 0.47%. These interest rate swap agreements will mature between March 18, 2016 and April 11, 2016 and are intended to hedge the interest rate risk associated with our floating-rate, LIBOR-based borrowings under our Facility. The swaps were designated and accounted for as cash flow hedges from inception.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all interest rate swaps on the accompanying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7, “Fair Value of Financial Instruments,” for more information.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2015 and 2014, the amounts recorded in AOCL were $0.1 million ($0.1 million, net of taxes) and $0.2 million ($0.1 million, net of taxes), respectively. At October 31, 2015, the amount expected to be reclassified from AOCL to earnings during the next twelve months was $0.1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44" w:right="239" w:bottom="1440" w:gutter="0" w:footer="0" w:header="0"/>
        </w:sectPr>
      </w:pPr>
    </w:p>
    <w:bookmarkStart w:id="81" w:name="page82"/>
    <w:bookmarkEnd w:id="81"/>
    <w:p>
      <w:pPr>
        <w:ind w:right="8640" w:firstLine="8"/>
        <w:spacing w:after="0" w:line="451" w:lineRule="auto"/>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Plans</w:t>
      </w:r>
    </w:p>
    <w:p>
      <w:pPr>
        <w:jc w:val="both"/>
        <w:ind w:firstLine="648"/>
        <w:spacing w:after="0" w:line="252"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 At October 31, 2015 and 2014, we recorded aggregate net obligations of $7.4 million and $8.2 million, respectively, for the Plans. At October 31, 2015 and 2014, the projected benefit obligations in the aggregate for the Plans was $ 15.6 million and $16.0 million, respectively. The fair value of the Plans’ assets was $8.2 million and $7.8 million, at October 31, 2015 and 2014, respectively. At October 31, 2015, approximately 53% of the Plan assets were invested in equities, 30% in fixed income, and 17% in cash. The expected return on assets was $0.5 million during both of 2015 and 2014 and $0.4 million for 2013. The aggregate net periodic benefit cost for all the Plans was $0.2 million for 2015 and $0.4 million for both 2014 and 2013. Future benefit payments in the aggregate are expected to be $13.6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various deferred compensation plans that permit eligible employees and directors to defer a portion of their compensation. At October 31, 2015 and 2014, the total liability of all deferred compensation was $ 19.5 million and $20.0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2015 and 2014, the fair value of these assets was $5.3 million and $5.4 million, respectively, and was included in “Other noncurrent assets” on the accompanying consolidated balance sheets. Aggregate expense recognized under these deferred compensation plans was $0.5 million for both 2015 and 2014 and $0.4 million for 2013.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three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2015, 2014, and 2013, we made matching contributions required by the plans of $12.1 million, $10.0 million, and $9.3 million, respectively.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2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Multiemployer Pension and Postretirement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which generally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if we withdraw from a multiemployer pension plan, under applicable law we potentially could incur material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Information for Individually Significant Multiemployer Defined Benefit Pension Plans</w:t>
      </w:r>
      <w:r>
        <w:rPr>
          <w:rFonts w:ascii="Arial" w:cs="Arial" w:eastAsia="Arial" w:hAnsi="Arial"/>
          <w:sz w:val="21"/>
          <w:szCs w:val="21"/>
          <w:b w:val="1"/>
          <w:bCs w:val="1"/>
          <w:i w:val="1"/>
          <w:iCs w:val="1"/>
          <w:color w:val="auto"/>
          <w:vertAlign w:val="superscript"/>
        </w:rPr>
        <w:t>(1)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6"/>
              </w:rPr>
              <w:t>Pension Protection Act Zone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42"/>
        </w:trPr>
        <w:tc>
          <w:tcPr>
            <w:tcW w:w="2380" w:type="dxa"/>
            <w:vAlign w:val="bottom"/>
            <w:gridSpan w:val="3"/>
          </w:tcPr>
          <w:p>
            <w:pPr>
              <w:ind w:left="40"/>
              <w:spacing w:after="0" w:line="135" w:lineRule="exact"/>
              <w:rPr>
                <w:sz w:val="20"/>
                <w:szCs w:val="20"/>
                <w:color w:val="auto"/>
              </w:rPr>
            </w:pPr>
            <w:r>
              <w:rPr>
                <w:rFonts w:ascii="Arial" w:cs="Arial" w:eastAsia="Arial" w:hAnsi="Arial"/>
                <w:sz w:val="12"/>
                <w:szCs w:val="12"/>
                <w:i w:val="1"/>
                <w:iCs w:val="1"/>
                <w:color w:val="auto"/>
              </w:rPr>
              <w:t>(in millions)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rPr>
              <w:t>Status</w:t>
            </w:r>
            <w:r>
              <w:rPr>
                <w:rFonts w:ascii="Arial" w:cs="Arial" w:eastAsia="Arial" w:hAnsi="Arial"/>
                <w:sz w:val="8"/>
                <w:szCs w:val="8"/>
                <w:b w:val="1"/>
                <w:bCs w:val="1"/>
                <w:color w:val="auto"/>
              </w:rPr>
              <w:t>(3)</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FIP/RP Status</w:t>
            </w:r>
            <w:r>
              <w:rPr>
                <w:rFonts w:ascii="Arial" w:cs="Arial" w:eastAsia="Arial" w:hAnsi="Arial"/>
                <w:sz w:val="8"/>
                <w:szCs w:val="8"/>
                <w:b w:val="1"/>
                <w:bCs w:val="1"/>
                <w:color w:val="auto"/>
                <w:w w:val="98"/>
              </w:rPr>
              <w:t>(4)</w:t>
            </w:r>
          </w:p>
        </w:tc>
        <w:tc>
          <w:tcPr>
            <w:tcW w:w="160" w:type="dxa"/>
            <w:vAlign w:val="bottom"/>
          </w:tcPr>
          <w:p>
            <w:pPr>
              <w:spacing w:after="0"/>
              <w:rPr>
                <w:sz w:val="12"/>
                <w:szCs w:val="12"/>
                <w:color w:val="auto"/>
              </w:rPr>
            </w:pPr>
          </w:p>
        </w:tc>
        <w:tc>
          <w:tcPr>
            <w:tcW w:w="2100" w:type="dxa"/>
            <w:vAlign w:val="bottom"/>
            <w:gridSpan w:val="7"/>
          </w:tcPr>
          <w:p>
            <w:pPr>
              <w:jc w:val="right"/>
              <w:ind w:right="397"/>
              <w:spacing w:after="0" w:line="135" w:lineRule="exact"/>
              <w:rPr>
                <w:sz w:val="20"/>
                <w:szCs w:val="20"/>
                <w:color w:val="auto"/>
              </w:rPr>
            </w:pPr>
            <w:r>
              <w:rPr>
                <w:rFonts w:ascii="Arial" w:cs="Arial" w:eastAsia="Arial" w:hAnsi="Arial"/>
                <w:sz w:val="13"/>
                <w:szCs w:val="13"/>
                <w:b w:val="1"/>
                <w:bCs w:val="1"/>
                <w:color w:val="auto"/>
              </w:rPr>
              <w:t>Contributions by ABM</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Dates of</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Collective</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Pension Fund</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Pending/</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Surcharge</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Bargaining</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EIN/PN</w:t>
            </w:r>
            <w:r>
              <w:rPr>
                <w:rFonts w:ascii="Arial" w:cs="Arial" w:eastAsia="Arial" w:hAnsi="Arial"/>
                <w:sz w:val="8"/>
                <w:szCs w:val="8"/>
                <w:b w:val="1"/>
                <w:bCs w:val="1"/>
                <w:color w:val="auto"/>
                <w:w w:val="97"/>
              </w:rPr>
              <w:t>(2)</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2015</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2014</w:t>
            </w:r>
          </w:p>
        </w:tc>
        <w:tc>
          <w:tcPr>
            <w:tcW w:w="12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Implemented</w:t>
            </w:r>
          </w:p>
        </w:tc>
        <w:tc>
          <w:tcPr>
            <w:tcW w:w="160" w:type="dxa"/>
            <w:vAlign w:val="bottom"/>
          </w:tcPr>
          <w:p>
            <w:pPr>
              <w:spacing w:after="0"/>
              <w:rPr>
                <w:sz w:val="15"/>
                <w:szCs w:val="15"/>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Imposed</w:t>
            </w:r>
            <w:r>
              <w:rPr>
                <w:rFonts w:ascii="Arial" w:cs="Arial" w:eastAsia="Arial" w:hAnsi="Arial"/>
                <w:sz w:val="8"/>
                <w:szCs w:val="8"/>
                <w:b w:val="1"/>
                <w:bCs w:val="1"/>
                <w:color w:val="auto"/>
                <w:w w:val="97"/>
              </w:rPr>
              <w:t>(5)</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5"/>
              </w:rPr>
              <w:t>Agreements</w:t>
            </w: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7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380" w:type="dxa"/>
            <w:vAlign w:val="bottom"/>
            <w:gridSpan w:val="3"/>
            <w:vMerge w:val="restart"/>
          </w:tcPr>
          <w:p>
            <w:pPr>
              <w:ind w:left="40"/>
              <w:spacing w:after="0"/>
              <w:rPr>
                <w:sz w:val="20"/>
                <w:szCs w:val="20"/>
                <w:color w:val="auto"/>
              </w:rPr>
            </w:pPr>
            <w:r>
              <w:rPr>
                <w:rFonts w:ascii="Arial" w:cs="Arial" w:eastAsia="Arial" w:hAnsi="Arial"/>
                <w:sz w:val="13"/>
                <w:szCs w:val="13"/>
                <w:color w:val="auto"/>
              </w:rPr>
              <w:t>Building Service 32BJ Pension Fund</w:t>
            </w:r>
          </w:p>
        </w:tc>
        <w:tc>
          <w:tcPr>
            <w:tcW w:w="128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13-1879376 / 001</w:t>
            </w:r>
          </w:p>
        </w:tc>
        <w:tc>
          <w:tcPr>
            <w:tcW w:w="1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Red</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Red</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6"/>
              </w:rPr>
              <w:t>No</w:t>
            </w:r>
          </w:p>
        </w:tc>
        <w:tc>
          <w:tcPr>
            <w:tcW w:w="1000" w:type="dxa"/>
            <w:vAlign w:val="bottom"/>
          </w:tcPr>
          <w:p>
            <w:pPr>
              <w:jc w:val="center"/>
              <w:spacing w:after="0"/>
              <w:rPr>
                <w:sz w:val="20"/>
                <w:szCs w:val="20"/>
                <w:color w:val="auto"/>
              </w:rPr>
            </w:pPr>
            <w:r>
              <w:rPr>
                <w:rFonts w:ascii="Arial" w:cs="Arial" w:eastAsia="Arial" w:hAnsi="Arial"/>
                <w:sz w:val="13"/>
                <w:szCs w:val="13"/>
                <w:color w:val="auto"/>
                <w:w w:val="97"/>
              </w:rPr>
              <w:t>12/31/2015-</w:t>
            </w:r>
          </w:p>
        </w:tc>
        <w:tc>
          <w:tcPr>
            <w:tcW w:w="0" w:type="dxa"/>
            <w:vAlign w:val="bottom"/>
          </w:tcPr>
          <w:p>
            <w:pPr>
              <w:spacing w:after="0"/>
              <w:rPr>
                <w:sz w:val="1"/>
                <w:szCs w:val="1"/>
                <w:color w:val="auto"/>
              </w:rPr>
            </w:pPr>
          </w:p>
        </w:tc>
      </w:tr>
      <w:tr>
        <w:trPr>
          <w:trHeight w:val="85"/>
        </w:trPr>
        <w:tc>
          <w:tcPr>
            <w:tcW w:w="23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6/30/2016</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6/30/2015</w:t>
            </w: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8"/>
              </w:rPr>
              <w:t>12/31/2016</w:t>
            </w: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3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Central Pension Fund of the IUOE &amp;</w:t>
            </w:r>
          </w:p>
        </w:tc>
        <w:tc>
          <w:tcPr>
            <w:tcW w:w="1280" w:type="dxa"/>
            <w:vAlign w:val="bottom"/>
            <w:vMerge w:val="restart"/>
            <w:shd w:val="clear" w:color="auto" w:fill="CCEEFF"/>
          </w:tcPr>
          <w:p>
            <w:pPr>
              <w:jc w:val="center"/>
              <w:ind w:right="17"/>
              <w:spacing w:after="0"/>
              <w:rPr>
                <w:sz w:val="20"/>
                <w:szCs w:val="20"/>
                <w:color w:val="auto"/>
              </w:rPr>
            </w:pPr>
            <w:r>
              <w:rPr>
                <w:rFonts w:ascii="Arial" w:cs="Arial" w:eastAsia="Arial" w:hAnsi="Arial"/>
                <w:sz w:val="13"/>
                <w:szCs w:val="13"/>
                <w:color w:val="auto"/>
                <w:w w:val="98"/>
              </w:rPr>
              <w:t>36-6052390 / 001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Green</w:t>
            </w: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7"/>
              </w:rPr>
              <w:t>N/A*</w:t>
            </w: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12/31/2015-</w:t>
            </w:r>
          </w:p>
        </w:tc>
        <w:tc>
          <w:tcPr>
            <w:tcW w:w="0" w:type="dxa"/>
            <w:vAlign w:val="bottom"/>
          </w:tcPr>
          <w:p>
            <w:pPr>
              <w:spacing w:after="0"/>
              <w:rPr>
                <w:sz w:val="1"/>
                <w:szCs w:val="1"/>
                <w:color w:val="auto"/>
              </w:rPr>
            </w:pPr>
          </w:p>
        </w:tc>
      </w:tr>
      <w:tr>
        <w:trPr>
          <w:trHeight w:val="85"/>
        </w:trPr>
        <w:tc>
          <w:tcPr>
            <w:tcW w:w="238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Participating Employers</w:t>
            </w:r>
          </w:p>
        </w:tc>
        <w:tc>
          <w:tcPr>
            <w:tcW w:w="12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1/31/2015</w:t>
            </w: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1/31/2014</w:t>
            </w:r>
          </w:p>
        </w:tc>
        <w:tc>
          <w:tcPr>
            <w:tcW w:w="12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6/30/2018</w:t>
            </w:r>
          </w:p>
        </w:tc>
        <w:tc>
          <w:tcPr>
            <w:tcW w:w="0" w:type="dxa"/>
            <w:vAlign w:val="bottom"/>
          </w:tcPr>
          <w:p>
            <w:pPr>
              <w:spacing w:after="0"/>
              <w:rPr>
                <w:sz w:val="1"/>
                <w:szCs w:val="1"/>
                <w:color w:val="auto"/>
              </w:rPr>
            </w:pPr>
          </w:p>
        </w:tc>
      </w:tr>
      <w:tr>
        <w:trPr>
          <w:trHeight w:val="84"/>
        </w:trPr>
        <w:tc>
          <w:tcPr>
            <w:tcW w:w="2380" w:type="dxa"/>
            <w:vAlign w:val="bottom"/>
            <w:gridSpan w:val="3"/>
            <w:vMerge w:val="continue"/>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80" w:type="dxa"/>
            <w:vAlign w:val="bottom"/>
            <w:gridSpan w:val="3"/>
          </w:tcPr>
          <w:p>
            <w:pPr>
              <w:ind w:left="40"/>
              <w:spacing w:after="0"/>
              <w:rPr>
                <w:sz w:val="20"/>
                <w:szCs w:val="20"/>
                <w:color w:val="auto"/>
              </w:rPr>
            </w:pPr>
            <w:r>
              <w:rPr>
                <w:rFonts w:ascii="Arial" w:cs="Arial" w:eastAsia="Arial" w:hAnsi="Arial"/>
                <w:sz w:val="13"/>
                <w:szCs w:val="13"/>
                <w:color w:val="auto"/>
              </w:rPr>
              <w:t>Local 25 SEIU &amp; Participating</w:t>
            </w:r>
          </w:p>
        </w:tc>
        <w:tc>
          <w:tcPr>
            <w:tcW w:w="128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36-6486542 / 001</w:t>
            </w:r>
          </w:p>
        </w:tc>
        <w:tc>
          <w:tcPr>
            <w:tcW w:w="1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Green</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60" w:type="dxa"/>
            <w:vAlign w:val="bottom"/>
          </w:tcPr>
          <w:p>
            <w:pPr>
              <w:spacing w:after="0"/>
              <w:rPr>
                <w:sz w:val="13"/>
                <w:szCs w:val="13"/>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4"/>
              </w:rPr>
              <w:t>4/8/2018</w:t>
            </w:r>
          </w:p>
        </w:tc>
        <w:tc>
          <w:tcPr>
            <w:tcW w:w="0" w:type="dxa"/>
            <w:vAlign w:val="bottom"/>
          </w:tcPr>
          <w:p>
            <w:pPr>
              <w:spacing w:after="0"/>
              <w:rPr>
                <w:sz w:val="1"/>
                <w:szCs w:val="1"/>
                <w:color w:val="auto"/>
              </w:rPr>
            </w:pPr>
          </w:p>
        </w:tc>
      </w:tr>
      <w:tr>
        <w:trPr>
          <w:trHeight w:val="85"/>
        </w:trPr>
        <w:tc>
          <w:tcPr>
            <w:tcW w:w="2380" w:type="dxa"/>
            <w:vAlign w:val="bottom"/>
            <w:gridSpan w:val="3"/>
            <w:vMerge w:val="restart"/>
          </w:tcPr>
          <w:p>
            <w:pPr>
              <w:ind w:left="40"/>
              <w:spacing w:after="0"/>
              <w:rPr>
                <w:sz w:val="20"/>
                <w:szCs w:val="20"/>
                <w:color w:val="auto"/>
              </w:rPr>
            </w:pPr>
            <w:r>
              <w:rPr>
                <w:rFonts w:ascii="Arial" w:cs="Arial" w:eastAsia="Arial" w:hAnsi="Arial"/>
                <w:sz w:val="13"/>
                <w:szCs w:val="13"/>
                <w:color w:val="auto"/>
              </w:rPr>
              <w:t>Employers Pension Trust</w:t>
            </w: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9/30/2014</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6"/>
              </w:rPr>
              <w:t>9/30/2013</w:t>
            </w: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38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S.E.I.U. National Industry Pension Fund</w:t>
            </w:r>
          </w:p>
        </w:tc>
        <w:tc>
          <w:tcPr>
            <w:tcW w:w="1280" w:type="dxa"/>
            <w:vAlign w:val="bottom"/>
            <w:vMerge w:val="restart"/>
            <w:shd w:val="clear" w:color="auto" w:fill="CCEEFF"/>
          </w:tcPr>
          <w:p>
            <w:pPr>
              <w:jc w:val="center"/>
              <w:ind w:right="17"/>
              <w:spacing w:after="0"/>
              <w:rPr>
                <w:sz w:val="20"/>
                <w:szCs w:val="20"/>
                <w:color w:val="auto"/>
              </w:rPr>
            </w:pPr>
            <w:r>
              <w:rPr>
                <w:rFonts w:ascii="Arial" w:cs="Arial" w:eastAsia="Arial" w:hAnsi="Arial"/>
                <w:sz w:val="13"/>
                <w:szCs w:val="13"/>
                <w:color w:val="auto"/>
                <w:w w:val="98"/>
              </w:rPr>
              <w:t>52-6148540 / 001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Red</w:t>
            </w:r>
          </w:p>
        </w:tc>
        <w:tc>
          <w:tcPr>
            <w:tcW w:w="10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Red</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9"/>
              </w:rPr>
              <w:t>Yes</w:t>
            </w: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12/31/2015-</w:t>
            </w:r>
          </w:p>
        </w:tc>
        <w:tc>
          <w:tcPr>
            <w:tcW w:w="0" w:type="dxa"/>
            <w:vAlign w:val="bottom"/>
          </w:tcPr>
          <w:p>
            <w:pPr>
              <w:spacing w:after="0"/>
              <w:rPr>
                <w:sz w:val="1"/>
                <w:szCs w:val="1"/>
                <w:color w:val="auto"/>
              </w:rPr>
            </w:pPr>
          </w:p>
        </w:tc>
      </w:tr>
      <w:tr>
        <w:trPr>
          <w:trHeight w:val="85"/>
        </w:trPr>
        <w:tc>
          <w:tcPr>
            <w:tcW w:w="2380" w:type="dxa"/>
            <w:vAlign w:val="bottom"/>
            <w:gridSpan w:val="3"/>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5"/>
              </w:rPr>
              <w:t>12/31/2013</w:t>
            </w:r>
          </w:p>
        </w:tc>
        <w:tc>
          <w:tcPr>
            <w:tcW w:w="12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12/31/2016</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80" w:type="dxa"/>
            <w:vAlign w:val="bottom"/>
            <w:gridSpan w:val="3"/>
          </w:tcPr>
          <w:p>
            <w:pPr>
              <w:ind w:left="40"/>
              <w:spacing w:after="0"/>
              <w:rPr>
                <w:sz w:val="20"/>
                <w:szCs w:val="20"/>
                <w:color w:val="auto"/>
              </w:rPr>
            </w:pPr>
            <w:r>
              <w:rPr>
                <w:rFonts w:ascii="Arial" w:cs="Arial" w:eastAsia="Arial" w:hAnsi="Arial"/>
                <w:sz w:val="13"/>
                <w:szCs w:val="13"/>
                <w:color w:val="auto"/>
              </w:rPr>
              <w:t>IUOE Stationary Engineers Local 39</w:t>
            </w:r>
          </w:p>
        </w:tc>
        <w:tc>
          <w:tcPr>
            <w:tcW w:w="1280" w:type="dxa"/>
            <w:vAlign w:val="bottom"/>
            <w:vMerge w:val="restart"/>
          </w:tcPr>
          <w:p>
            <w:pPr>
              <w:jc w:val="center"/>
              <w:ind w:right="17"/>
              <w:spacing w:after="0"/>
              <w:rPr>
                <w:sz w:val="20"/>
                <w:szCs w:val="20"/>
                <w:color w:val="auto"/>
              </w:rPr>
            </w:pPr>
            <w:r>
              <w:rPr>
                <w:rFonts w:ascii="Arial" w:cs="Arial" w:eastAsia="Arial" w:hAnsi="Arial"/>
                <w:sz w:val="13"/>
                <w:szCs w:val="13"/>
                <w:color w:val="auto"/>
                <w:w w:val="98"/>
              </w:rPr>
              <w:t>94-6118939 / 001</w:t>
            </w:r>
          </w:p>
        </w:tc>
        <w:tc>
          <w:tcPr>
            <w:tcW w:w="12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Green</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Green</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N/A*</w:t>
            </w:r>
          </w:p>
        </w:tc>
        <w:tc>
          <w:tcPr>
            <w:tcW w:w="160" w:type="dxa"/>
            <w:vAlign w:val="bottom"/>
          </w:tcPr>
          <w:p>
            <w:pPr>
              <w:spacing w:after="0"/>
              <w:rPr>
                <w:sz w:val="13"/>
                <w:szCs w:val="13"/>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1/31/2016-</w:t>
            </w:r>
          </w:p>
        </w:tc>
        <w:tc>
          <w:tcPr>
            <w:tcW w:w="0" w:type="dxa"/>
            <w:vAlign w:val="bottom"/>
          </w:tcPr>
          <w:p>
            <w:pPr>
              <w:spacing w:after="0"/>
              <w:rPr>
                <w:sz w:val="1"/>
                <w:szCs w:val="1"/>
                <w:color w:val="auto"/>
              </w:rPr>
            </w:pPr>
          </w:p>
        </w:tc>
      </w:tr>
      <w:tr>
        <w:trPr>
          <w:trHeight w:val="85"/>
        </w:trPr>
        <w:tc>
          <w:tcPr>
            <w:tcW w:w="2380" w:type="dxa"/>
            <w:vAlign w:val="bottom"/>
            <w:gridSpan w:val="3"/>
            <w:vMerge w:val="restart"/>
          </w:tcPr>
          <w:p>
            <w:pPr>
              <w:ind w:left="40"/>
              <w:spacing w:after="0"/>
              <w:rPr>
                <w:sz w:val="20"/>
                <w:szCs w:val="20"/>
                <w:color w:val="auto"/>
              </w:rPr>
            </w:pPr>
            <w:r>
              <w:rPr>
                <w:rFonts w:ascii="Arial" w:cs="Arial" w:eastAsia="Arial" w:hAnsi="Arial"/>
                <w:sz w:val="13"/>
                <w:szCs w:val="13"/>
                <w:color w:val="auto"/>
              </w:rPr>
              <w:t>Pension Fund</w:t>
            </w:r>
          </w:p>
        </w:tc>
        <w:tc>
          <w:tcPr>
            <w:tcW w:w="1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12/31/2013</w:t>
            </w: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6"/>
              </w:rPr>
              <w:t>2/28/2018</w:t>
            </w:r>
          </w:p>
        </w:tc>
        <w:tc>
          <w:tcPr>
            <w:tcW w:w="0" w:type="dxa"/>
            <w:vAlign w:val="bottom"/>
          </w:tcPr>
          <w:p>
            <w:pPr>
              <w:spacing w:after="0"/>
              <w:rPr>
                <w:sz w:val="1"/>
                <w:szCs w:val="1"/>
                <w:color w:val="auto"/>
              </w:rPr>
            </w:pPr>
          </w:p>
        </w:tc>
      </w:tr>
      <w:tr>
        <w:trPr>
          <w:trHeight w:val="76"/>
        </w:trPr>
        <w:tc>
          <w:tcPr>
            <w:tcW w:w="23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380" w:type="dxa"/>
            <w:vAlign w:val="bottom"/>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Local 68 Engineers Union Pension Plan</w:t>
            </w:r>
          </w:p>
        </w:tc>
        <w:tc>
          <w:tcPr>
            <w:tcW w:w="1280" w:type="dxa"/>
            <w:vAlign w:val="bottom"/>
            <w:vMerge w:val="restart"/>
            <w:shd w:val="clear" w:color="auto" w:fill="CCEEFF"/>
          </w:tcPr>
          <w:p>
            <w:pPr>
              <w:jc w:val="center"/>
              <w:ind w:right="17"/>
              <w:spacing w:after="0"/>
              <w:rPr>
                <w:sz w:val="20"/>
                <w:szCs w:val="20"/>
                <w:color w:val="auto"/>
              </w:rPr>
            </w:pPr>
            <w:r>
              <w:rPr>
                <w:rFonts w:ascii="Arial" w:cs="Arial" w:eastAsia="Arial" w:hAnsi="Arial"/>
                <w:sz w:val="13"/>
                <w:szCs w:val="13"/>
                <w:color w:val="auto"/>
                <w:w w:val="98"/>
              </w:rPr>
              <w:t>51-0176618 / 001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Yellow</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Yellow</w:t>
            </w:r>
          </w:p>
        </w:tc>
        <w:tc>
          <w:tcPr>
            <w:tcW w:w="1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5"/>
              </w:rPr>
              <w:t>Implemented</w:t>
            </w: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8/31/2018</w:t>
            </w:r>
          </w:p>
        </w:tc>
        <w:tc>
          <w:tcPr>
            <w:tcW w:w="0" w:type="dxa"/>
            <w:vAlign w:val="bottom"/>
          </w:tcPr>
          <w:p>
            <w:pPr>
              <w:spacing w:after="0"/>
              <w:rPr>
                <w:sz w:val="1"/>
                <w:szCs w:val="1"/>
                <w:color w:val="auto"/>
              </w:rPr>
            </w:pPr>
          </w:p>
        </w:tc>
      </w:tr>
      <w:tr>
        <w:trPr>
          <w:trHeight w:val="85"/>
        </w:trPr>
        <w:tc>
          <w:tcPr>
            <w:tcW w:w="2380" w:type="dxa"/>
            <w:vAlign w:val="bottom"/>
            <w:gridSpan w:val="3"/>
            <w:vMerge w:val="continue"/>
            <w:shd w:val="clear" w:color="auto" w:fill="CCEEFF"/>
          </w:tcPr>
          <w:p>
            <w:pPr>
              <w:spacing w:after="0"/>
              <w:rPr>
                <w:sz w:val="7"/>
                <w:szCs w:val="7"/>
                <w:color w:val="auto"/>
              </w:rPr>
            </w:pPr>
          </w:p>
        </w:tc>
        <w:tc>
          <w:tcPr>
            <w:tcW w:w="12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6/30/2014</w:t>
            </w:r>
          </w:p>
        </w:tc>
        <w:tc>
          <w:tcPr>
            <w:tcW w:w="12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6"/>
              </w:rPr>
              <w:t>6/30/2013</w:t>
            </w:r>
          </w:p>
        </w:tc>
        <w:tc>
          <w:tcPr>
            <w:tcW w:w="12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80" w:type="dxa"/>
            <w:vAlign w:val="bottom"/>
            <w:gridSpan w:val="3"/>
          </w:tcPr>
          <w:p>
            <w:pPr>
              <w:ind w:left="40"/>
              <w:spacing w:after="0"/>
              <w:rPr>
                <w:sz w:val="20"/>
                <w:szCs w:val="20"/>
                <w:color w:val="auto"/>
              </w:rPr>
            </w:pPr>
            <w:r>
              <w:rPr>
                <w:rFonts w:ascii="Arial" w:cs="Arial" w:eastAsia="Arial" w:hAnsi="Arial"/>
                <w:sz w:val="13"/>
                <w:szCs w:val="13"/>
                <w:color w:val="auto"/>
              </w:rPr>
              <w:t>Service Employees International Union</w:t>
            </w: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3"/>
              </w:rPr>
              <w:t>Yellow</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3"/>
              </w:rPr>
              <w:t>Yellow</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7"/>
              </w:rPr>
              <w:t>10/15/2015-</w:t>
            </w:r>
          </w:p>
        </w:tc>
        <w:tc>
          <w:tcPr>
            <w:tcW w:w="0" w:type="dxa"/>
            <w:vAlign w:val="bottom"/>
          </w:tcPr>
          <w:p>
            <w:pPr>
              <w:spacing w:after="0"/>
              <w:rPr>
                <w:sz w:val="1"/>
                <w:szCs w:val="1"/>
                <w:color w:val="auto"/>
              </w:rPr>
            </w:pPr>
          </w:p>
        </w:tc>
      </w:tr>
      <w:tr>
        <w:trPr>
          <w:trHeight w:val="68"/>
        </w:trPr>
        <w:tc>
          <w:tcPr>
            <w:tcW w:w="2380" w:type="dxa"/>
            <w:vAlign w:val="bottom"/>
            <w:gridSpan w:val="3"/>
            <w:vMerge w:val="restart"/>
          </w:tcPr>
          <w:p>
            <w:pPr>
              <w:ind w:left="40"/>
              <w:spacing w:after="0" w:line="135" w:lineRule="exact"/>
              <w:rPr>
                <w:sz w:val="20"/>
                <w:szCs w:val="20"/>
                <w:color w:val="auto"/>
              </w:rPr>
            </w:pPr>
            <w:r>
              <w:rPr>
                <w:rFonts w:ascii="Arial" w:cs="Arial" w:eastAsia="Arial" w:hAnsi="Arial"/>
                <w:sz w:val="13"/>
                <w:szCs w:val="13"/>
                <w:color w:val="auto"/>
              </w:rPr>
              <w:t>Local 32BJ, District 36 Building</w:t>
            </w:r>
          </w:p>
        </w:tc>
        <w:tc>
          <w:tcPr>
            <w:tcW w:w="1280" w:type="dxa"/>
            <w:vAlign w:val="bottom"/>
            <w:vMerge w:val="restart"/>
          </w:tcPr>
          <w:p>
            <w:pPr>
              <w:jc w:val="center"/>
              <w:ind w:right="17"/>
              <w:spacing w:after="0" w:line="135" w:lineRule="exact"/>
              <w:rPr>
                <w:sz w:val="20"/>
                <w:szCs w:val="20"/>
                <w:color w:val="auto"/>
              </w:rPr>
            </w:pPr>
            <w:r>
              <w:rPr>
                <w:rFonts w:ascii="Arial" w:cs="Arial" w:eastAsia="Arial" w:hAnsi="Arial"/>
                <w:sz w:val="13"/>
                <w:szCs w:val="13"/>
                <w:color w:val="auto"/>
                <w:w w:val="98"/>
              </w:rPr>
              <w:t>23-6546776 / 001</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95"/>
              </w:rPr>
              <w:t>Implemented</w:t>
            </w:r>
          </w:p>
        </w:tc>
        <w:tc>
          <w:tcPr>
            <w:tcW w:w="160" w:type="dxa"/>
            <w:vAlign w:val="bottom"/>
          </w:tcPr>
          <w:p>
            <w:pPr>
              <w:spacing w:after="0"/>
              <w:rPr>
                <w:sz w:val="5"/>
                <w:szCs w:val="5"/>
                <w:color w:val="auto"/>
              </w:rPr>
            </w:pPr>
          </w:p>
        </w:tc>
        <w:tc>
          <w:tcPr>
            <w:tcW w:w="540" w:type="dxa"/>
            <w:vAlign w:val="bottom"/>
            <w:vMerge w:val="restart"/>
          </w:tcPr>
          <w:p>
            <w:pPr>
              <w:jc w:val="right"/>
              <w:ind w:right="57"/>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right"/>
              <w:ind w:right="37"/>
              <w:spacing w:after="0" w:line="135"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jc w:val="right"/>
              <w:ind w:right="57"/>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color w:val="auto"/>
                <w:w w:val="97"/>
              </w:rPr>
              <w:t>N/A*</w:t>
            </w: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80" w:type="dxa"/>
            <w:vAlign w:val="bottom"/>
            <w:gridSpan w:val="3"/>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8"/>
              </w:rPr>
              <w:t>10/15/2016</w:t>
            </w:r>
          </w:p>
        </w:tc>
        <w:tc>
          <w:tcPr>
            <w:tcW w:w="0" w:type="dxa"/>
            <w:vAlign w:val="bottom"/>
          </w:tcPr>
          <w:p>
            <w:pPr>
              <w:spacing w:after="0"/>
              <w:rPr>
                <w:sz w:val="1"/>
                <w:szCs w:val="1"/>
                <w:color w:val="auto"/>
              </w:rPr>
            </w:pPr>
          </w:p>
        </w:tc>
      </w:tr>
      <w:tr>
        <w:trPr>
          <w:trHeight w:val="85"/>
        </w:trPr>
        <w:tc>
          <w:tcPr>
            <w:tcW w:w="2380" w:type="dxa"/>
            <w:vAlign w:val="bottom"/>
            <w:gridSpan w:val="3"/>
            <w:vMerge w:val="restart"/>
          </w:tcPr>
          <w:p>
            <w:pPr>
              <w:ind w:left="40"/>
              <w:spacing w:after="0"/>
              <w:rPr>
                <w:sz w:val="20"/>
                <w:szCs w:val="20"/>
                <w:color w:val="auto"/>
              </w:rPr>
            </w:pPr>
            <w:r>
              <w:rPr>
                <w:rFonts w:ascii="Arial" w:cs="Arial" w:eastAsia="Arial" w:hAnsi="Arial"/>
                <w:sz w:val="13"/>
                <w:szCs w:val="13"/>
                <w:color w:val="auto"/>
              </w:rPr>
              <w:t>Operators Pension Trust Fund</w:t>
            </w: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3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238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All Other Plans:</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3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Contributions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54.2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Not applicable</w:t>
      </w:r>
    </w:p>
    <w:p>
      <w:pPr>
        <w:spacing w:after="0" w:line="266" w:lineRule="exact"/>
        <w:rPr>
          <w:sz w:val="20"/>
          <w:szCs w:val="20"/>
          <w:color w:val="auto"/>
        </w:rPr>
      </w:pPr>
    </w:p>
    <w:p>
      <w:pPr>
        <w:ind w:left="340" w:hanging="332"/>
        <w:spacing w:after="0" w:line="26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individually significant plans, we evaluated several factors, including our total contributions to the plan, our significance to the plan in terms of participating employees and contributions, and the funded status of the plan.</w:t>
      </w:r>
    </w:p>
    <w:p>
      <w:pPr>
        <w:spacing w:after="0" w:line="196"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“EIN/PN” column provides the Employer Identification Number and the three-digit plan number assigned to the plan by the Internal Revenue Service (“IRS”).</w:t>
      </w:r>
    </w:p>
    <w:p>
      <w:pPr>
        <w:spacing w:after="0" w:line="196"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Pension Protection Act Zone Status columns provide the two most recent Pension Protection Act zone statuses available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spacing w:after="0" w:line="20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whether a Financial Improvement Plan (“FIP”) for yellow zone plans or a Rehabilitation Plan (“RP”) for red zone plans is pending or implemented.</w:t>
      </w:r>
    </w:p>
    <w:p>
      <w:pPr>
        <w:spacing w:after="0" w:line="196"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whether our contribution rate in 2015 included an amount in addition to the contribution rate specified in the applicable collective bargaining agreement as imposed by a plan in the red zone.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2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Multiemployer Pension Plans for which ABM is a Significant Contributor</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per most currently available Forms 5500</w:t>
            </w:r>
          </w:p>
        </w:tc>
      </w:tr>
      <w:tr>
        <w:trPr>
          <w:trHeight w:val="276"/>
        </w:trPr>
        <w:tc>
          <w:tcPr>
            <w:tcW w:w="61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Borders>
              <w:bottom w:val="single" w:sz="8" w:color="CCEEFF"/>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r>
      <w:tr>
        <w:trPr>
          <w:trHeight w:val="25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 Sheet Metal Pension Trust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6/30/2014</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6/30/2014, 6/30/2013 and 6/30/2012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4/30/2014, 4/30/2013 and 4/30/2012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IUOE Local 30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IUOE Stationary Engineers Local 39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Local 1102 Amalgamated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210’s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Local 25 SEIU &amp; Participating Employers Pension Trust</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9/30/2014, 9/30/2013 and 9/30/2012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Massachusetts Service Employees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0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shd w:val="clear" w:color="auto" w:fill="CCEEFF"/>
          </w:tcPr>
          <w:p>
            <w:pPr>
              <w:spacing w:after="0"/>
              <w:rPr>
                <w:sz w:val="17"/>
                <w:szCs w:val="17"/>
                <w:color w:val="auto"/>
              </w:rPr>
            </w:pPr>
          </w:p>
        </w:tc>
      </w:tr>
      <w:tr>
        <w:trPr>
          <w:trHeight w:val="184"/>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12/31/2014, 12/31/2013 and 12/31/2012</w:t>
            </w:r>
          </w:p>
        </w:tc>
      </w:tr>
      <w:tr>
        <w:trPr>
          <w:trHeight w:val="258"/>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2/28/2014, 2/28/2013 and 2/29/2012</w:t>
            </w:r>
          </w:p>
        </w:tc>
      </w:tr>
    </w:tbl>
    <w:p>
      <w:pPr>
        <w:spacing w:after="0" w:line="173" w:lineRule="exact"/>
        <w:rPr>
          <w:sz w:val="20"/>
          <w:szCs w:val="20"/>
          <w:color w:val="auto"/>
        </w:rPr>
      </w:pPr>
    </w:p>
    <w:p>
      <w:pPr>
        <w:ind w:firstLine="8"/>
        <w:spacing w:after="0" w:line="262" w:lineRule="auto"/>
        <w:tabs>
          <w:tab w:leader="none" w:pos="1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plans are not separately listed in our multiemployer table as they represent an insignificant portion of our total multiemployer pension plan contributions.</w:t>
      </w:r>
    </w:p>
    <w:p>
      <w:pPr>
        <w:spacing w:after="0" w:line="142"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There have been no significant changes that affect the comparability of total contributions for any of the periods presented. </w:t>
      </w:r>
      <w:r>
        <w:rPr>
          <w:rFonts w:ascii="Arial" w:cs="Arial" w:eastAsia="Arial" w:hAnsi="Arial"/>
          <w:sz w:val="18"/>
          <w:szCs w:val="18"/>
          <w:b w:val="1"/>
          <w:bCs w:val="1"/>
          <w:i w:val="1"/>
          <w:iCs w:val="1"/>
          <w:color w:val="auto"/>
        </w:rPr>
        <w:t>Multiemployer Defined Contribution Plans</w:t>
      </w:r>
    </w:p>
    <w:p>
      <w:pPr>
        <w:spacing w:after="0" w:line="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addition to contributions noted above, we also make contributions to defined contribution plans. During 2015, 2014, and 2013, our contributions to the defined contribution plans were $6.8 million, $5.1 million, and $3.8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Other Postretirement Benefit Plans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ABM contributes to several multiemployer plans that provide other postretirement benefits based on obligations arising under collective bargaining agreements covering union-represented employees. These plans may provide medical, pharmacy, dental, vision, mental health, and other benefits to active employees as determined by the trustees of each plan. During 2015, 2014, and 2013, our contributions to such plans were $216.8 million, $213.1 million, and $197.0 million, respectively. There have been no significant changes that affect the comparability of total contributions for any of the periods presented.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4" w:name="page85"/>
    <w:bookmarkEnd w:id="84"/>
    <w:p>
      <w:pPr>
        <w:ind w:right="7760" w:firstLine="8"/>
        <w:spacing w:after="0" w:line="438" w:lineRule="auto"/>
        <w:tabs>
          <w:tab w:leader="none" w:pos="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Payments Under Our Noncancelable Operating and Capital Lease Agreements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1"/>
                <w:szCs w:val="21"/>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1"/>
                <w:szCs w:val="21"/>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Operating</w:t>
            </w:r>
            <w:r>
              <w:rPr>
                <w:rFonts w:ascii="Arial" w:cs="Arial" w:eastAsia="Arial" w:hAnsi="Arial"/>
                <w:sz w:val="21"/>
                <w:szCs w:val="21"/>
                <w:b w:val="1"/>
                <w:bCs w:val="1"/>
                <w:color w:val="auto"/>
                <w:w w:val="98"/>
                <w:vertAlign w:val="superscript"/>
              </w:rPr>
              <w:t>(1)(2)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2017</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2018</w:t>
            </w:r>
          </w:p>
        </w:tc>
        <w:tc>
          <w:tcPr>
            <w:tcW w:w="3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2019</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2020</w:t>
            </w:r>
          </w:p>
        </w:tc>
        <w:tc>
          <w:tcPr>
            <w:tcW w:w="3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64"/>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57"/>
        </w:trPr>
        <w:tc>
          <w:tcPr>
            <w:tcW w:w="78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Sublease rental income was immaterial for all periods presented and is expected to be immaterial in the future.</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total future minimum operating lease commitments, $139.6 million relates to our Parking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Expense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Contingent rentals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 and Letters of Credit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surety bonds and letters of credit to secure certain commitments related to insurance programs and for other purposes. As of October 31, 2015, these surety bonds and letters of credit totaled approximately $ 407.1 million and $112.9 million, respectively. Included in the total amount of surety bonds is $6.7 million of bonds with an effective date starting after October 31,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October 31, 2015 and 2014, total guarantees were $91.1 million and $39.3 million, respectively, and extend through 2030 and 2029, respectively. We accrue for the estimated cost of guarantees when it is probable that a liability has been incurred and the amount can be reasonably estimated. Historically, we have not incurred any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2018. Annual revenues relating to the underlying contracts are approximately $35.0 million. Should the joint venture be unable to perform under these contracts, the joint venture partners would be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Primarily, these agreements are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The terms of these indemnification arrangements are generally perpetual. Although we attempt to place limits on this indemnification reasonably related to the size of the contract, the maximum obligation may not be explicitly stated 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2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as a result, the maximum potential amount of future payments we could be required to make under these arrangements is not determinable.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against liabilities that may arise by reason of their status as such and to advance their expenses incurred as a result of any legal proceeding against them as to which they could be indemnified. The overall amount of these obligations cannot be reasonably estimated; however, we believe that any loss under these obligations would not have a material adverse effect on our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 At October 31, 2015, the total amount accrued for all probable litigation losses where a reasonable estimate of the loss could be made was $8.6 million.</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the range of loss for all reasonably possible losses for which an estimate can be made is between zero and $6 million, which excludes the individual cases discussed below.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these matters will not have a material adverse effect on our consolidated financial statements,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Augustus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 approximately 30% of the $89.7 million common fund.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Plaintiffs requested rehearing of the Appeals Court’s decision to reverse the judgment in favor of plaintiffs and vacate the damages award. On January 29, 2015, the Appeals Court denied the plaintiffs’ request for rehearing, modified its December 31, 2014 opinion, and certified the opinion for publication. The Appeals Court opinion held that “on-call rest breaks are permissible” and remaining on call during rest breaks does not render the rest breaks invalid under California law. The Appeals Court explained that “although on-call hours constitute ‘hours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4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worked,’ remaining available to work is not the same as performing work.... Section 226.7 proscribes only work on a rest break.” The plaintiffs</w:t>
      </w:r>
    </w:p>
    <w:p>
      <w:pPr>
        <w:spacing w:after="0" w:line="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filed a petition for review with the California Supreme Court on March 4, 2015, and on April 29, 2015, the California Supreme Court granted the plaintiffs’ petition. No date has been set for oral argument. We expect that oral argument will not be scheduled before 2016. We believe that the Appeals Court correctly ruled in our favor, and we look forward to presenting our arguments to the California Supreme Court.</w:t>
      </w:r>
    </w:p>
    <w:p>
      <w:pPr>
        <w:spacing w:after="0" w:line="130"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w:t>
      </w:r>
      <w:r>
        <w:rPr>
          <w:rFonts w:ascii="Arial" w:cs="Arial" w:eastAsia="Arial" w:hAnsi="Arial"/>
          <w:sz w:val="18"/>
          <w:szCs w:val="18"/>
          <w:color w:val="auto"/>
        </w:rPr>
        <w:t>–</w:t>
      </w:r>
      <w:r>
        <w:rPr>
          <w:rFonts w:ascii="Arial" w:cs="Arial" w:eastAsia="Arial" w:hAnsi="Arial"/>
          <w:sz w:val="18"/>
          <w:szCs w:val="18"/>
          <w:i w:val="1"/>
          <w:iCs w:val="1"/>
          <w:color w:val="auto"/>
        </w:rPr>
        <w:t>Northern California, Inc., filed on January 13, 2010, in the San Francisco Superior Court (the “Bojorquez case”)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previously reported Bojorquez case, the plaintiff brought suit for sexual harassment, retaliation, and failure to prevent harassment and discrimination. On May 17, 2012, a jury awarded the plaintiff approximately $ 0.8 million in damages. We appealed this decision. On April 11, 2013, the San Francisco Superior Court awarded plaintiff attorneys’ fees in the amount of $2.5 million. Oral argument relating to the appeal took place before the State of California Court of Appeal, First Appellate District (“Court of Appeal”), on May 14, 2015. On June 23, 2015, the Court of Appeal issued an order vacating the submission of the case and requesting supplemental briefing on various issues in the appeal. Pursuant to the Court of Appeal’s June 23, 2015 order, the case was resubmitted for decision on August 13, 2015. Subsequent to the resubmission of the case on August 13, 2015, the parties agreed to mediate the case. The mediation took place on September 10, 2015. The parties have agreed to a settlement in an amount that is not material.</w:t>
      </w:r>
    </w:p>
    <w:p>
      <w:pPr>
        <w:spacing w:after="0" w:line="134"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3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i w:val="1"/>
          <w:iCs w:val="1"/>
          <w:color w:val="auto"/>
        </w:rPr>
        <w:t>Plaintiffs Evelia Davila, Elizabeth Marcos, and Angelica Aguilar v. ABM Janitorial Services, Inc., ABM, Jeremias Rivera, and Rene Quintanar, filed on April 6, 2012 in the Superior Court of Los Angeles County, California (the “Davila” case). A Second Amended Complaint was filed on August 13, 2012.</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defendant in the Davila case. Plaintiffs are three former janitors who have made various allegations of sexual harassment and discrimination, assault and battery, retaliation, wrongful discharge, discrimination based on disability and age, and related claims against ABM, a former co-worker, and a former ABM human resources representative. The Court scheduled a mandatory settlement conference to take place on January 15, 2016, and trial is set to begin February 16, 2016. We have employment practices liability insurance that we believe would cover us for this case, subject to our negotiated retention.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Securities and Exchange Commission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4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16. PREFERRED AND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approved a share repurchase program authorizing us to repurchase shares of our common stock amounting to $200.0 million. This authorization replaced our previous $50.0 million share repurchase program, which had $10.0 million of authorization remaining. As was the case with the previous program, these purchases may take place on the open market or otherwise, and all or part of the repurchases may be made pursuant to the terms of a Rule 10b5-1 plan or in privately negotiated transactions. In addition, such purchases will be made at such times and for such prices as we shall determine at our discretion. Repurchased shares are retired and returned to an authorized but unissued status. The repurchase program may be suspended or discontinued at any time without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185"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28575</wp:posOffset>
            </wp:positionV>
            <wp:extent cx="2538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3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440" w:type="dxa"/>
            <w:vAlign w:val="bottom"/>
          </w:tcPr>
          <w:p>
            <w:pPr>
              <w:spacing w:after="0"/>
              <w:rPr>
                <w:sz w:val="18"/>
                <w:szCs w:val="18"/>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0"/>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number of shares repurchased</w:t>
            </w: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63"/>
        </w:trPr>
        <w:tc>
          <w:tcPr>
            <w:tcW w:w="7360" w:type="dxa"/>
            <w:vAlign w:val="bottom"/>
            <w:gridSpan w:val="3"/>
          </w:tcPr>
          <w:p>
            <w:pPr>
              <w:ind w:left="20"/>
              <w:spacing w:after="0"/>
              <w:rPr>
                <w:sz w:val="20"/>
                <w:szCs w:val="20"/>
                <w:color w:val="auto"/>
              </w:rPr>
            </w:pPr>
            <w:r>
              <w:rPr>
                <w:rFonts w:ascii="Arial" w:cs="Arial" w:eastAsia="Arial" w:hAnsi="Arial"/>
                <w:sz w:val="18"/>
                <w:szCs w:val="18"/>
                <w:color w:val="auto"/>
              </w:rPr>
              <w:t>Average price paid per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26.20</w:t>
            </w:r>
          </w:p>
        </w:tc>
      </w:tr>
      <w:tr>
        <w:trPr>
          <w:trHeight w:val="277"/>
        </w:trPr>
        <w:tc>
          <w:tcPr>
            <w:tcW w:w="7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paid for share repurchases</w:t>
            </w:r>
            <w:r>
              <w:rPr>
                <w:rFonts w:ascii="Arial" w:cs="Arial" w:eastAsia="Arial" w:hAnsi="Arial"/>
                <w:sz w:val="21"/>
                <w:szCs w:val="21"/>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bl>
    <w:p>
      <w:pPr>
        <w:spacing w:after="0" w:line="161" w:lineRule="exact"/>
        <w:rPr>
          <w:sz w:val="20"/>
          <w:szCs w:val="20"/>
          <w:color w:val="auto"/>
        </w:rPr>
      </w:pPr>
    </w:p>
    <w:p>
      <w:pPr>
        <w:ind w:left="5620" w:right="900" w:hanging="5612"/>
        <w:spacing w:after="0"/>
        <w:tabs>
          <w:tab w:leader="none" w:pos="166" w:val="left"/>
        </w:tabs>
        <w:numPr>
          <w:ilvl w:val="0"/>
          <w:numId w:val="43"/>
        </w:numPr>
        <w:rPr>
          <w:rFonts w:ascii="Arial" w:cs="Arial" w:eastAsia="Arial" w:hAnsi="Arial"/>
          <w:sz w:val="19"/>
          <w:szCs w:val="19"/>
          <w:color w:val="auto"/>
          <w:vertAlign w:val="superscript"/>
        </w:rPr>
      </w:pPr>
      <w:r>
        <w:rPr>
          <w:rFonts w:ascii="Arial" w:cs="Arial" w:eastAsia="Arial" w:hAnsi="Arial"/>
          <w:sz w:val="16"/>
          <w:szCs w:val="16"/>
          <w:color w:val="auto"/>
        </w:rPr>
        <w:t>At October 31, 2015, authorization for $188.6 million of share repurchases remained under our current share repurchase program. 85</w:t>
      </w:r>
    </w:p>
    <w:p>
      <w:pPr>
        <w:sectPr>
          <w:pgSz w:w="11900" w:h="16838" w:orient="portrait"/>
          <w:cols w:equalWidth="0" w:num="1">
            <w:col w:w="11420"/>
          </w:cols>
          <w:pgMar w:left="240" w:top="44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17. SHARE-BASED COMPENSATION PLANS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various performance shares, and stock options.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2014, we began issuing TSR-based performance share awards in lieu of stock options. These TSR awards will be earned on the basis of our total shareholder return measured against the total shareholder return of companies in the Standard &amp; Poor’s Small Cap 600 Index (“S&amp;P 600”) over a three-year period.</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2006 Equity Plan was amended in March 2015 to increase the total shares of common stock authorized for issuance to 11,679,265. At October 31, 2015, 2,311,075 shares of common stock were available for grant for future equity-based compensation awards under the plan. In addition, there are certain plans under which we can no longer issue awards, although awards outstanding under these plans may still vest and be exercised.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maintain an employee stock purchase plan, which our stockholders approved on March 9, 2004 (the “2004 Employee Stock Purchase Plan”). The 2004 Employee Stock Purchase Plan was amended in March 2010 to increase the total shares of common stock authorized for issuance to 3,000,000. Effective May 1, 2006, the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2015, 241,148 shares remained unissued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by Type of Award and Related Income Tax Benefit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Performance shares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 net of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and Dividend Equivalent Rights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based on service. In general, the receipt of RSUs is subject to the Grantee’s continuing employment or service as a director, as the case may be. RSUs granted to eligible employees generally vest with respect to 50% of the underlying award on the second and fourth anniversary of the award. RSUs granted to directors vest over three years.</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2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RSU Activity</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2"/>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2014</w:t>
            </w: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w:t>
            </w:r>
          </w:p>
        </w:tc>
      </w:tr>
      <w:tr>
        <w:trPr>
          <w:trHeight w:val="25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October 31, 2015</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2015, total unrecognized compensation cost, net of estimated forfeitures, related to RSUs was $18.9 million, which is expected to be recognized ratably over a weighted-average vesting period of 1.7 years. In 2015, 2014, and 2013, the weighted-average grant date fair value per share of awards granted was $29.3, $ 27.8, and $24.9, respectively. In 2015, 2014, and 2013, the total fair value of RSUs that vested was $9.4 million, $5.4 million, and $5.1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the date of grant. However terms of stock options can vary, and certain stock options granted on January 10, 2011 will vest on the fifth anniversary of the award. Options typically expire seven years after the date of grant. No stock options were granted in 2015 and 2014. All option grants provide for an option exercise price equal to the closing market value of the common stock on the date of grant.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Weighted-Average</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Number of Shares</w:t>
            </w:r>
          </w:p>
        </w:tc>
        <w:tc>
          <w:tcPr>
            <w:tcW w:w="160" w:type="dxa"/>
            <w:vAlign w:val="bottom"/>
          </w:tcPr>
          <w:p>
            <w:pPr>
              <w:spacing w:after="0"/>
              <w:rPr>
                <w:sz w:val="17"/>
                <w:szCs w:val="17"/>
                <w:color w:val="auto"/>
              </w:rPr>
            </w:pPr>
          </w:p>
        </w:tc>
        <w:tc>
          <w:tcPr>
            <w:tcW w:w="19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 Term (in</w:t>
            </w:r>
          </w:p>
        </w:tc>
        <w:tc>
          <w:tcPr>
            <w:tcW w:w="120" w:type="dxa"/>
            <w:vAlign w:val="bottom"/>
          </w:tcPr>
          <w:p>
            <w:pPr>
              <w:spacing w:after="0"/>
              <w:rPr>
                <w:sz w:val="17"/>
                <w:szCs w:val="17"/>
                <w:color w:val="auto"/>
              </w:rPr>
            </w:pPr>
          </w:p>
        </w:tc>
        <w:tc>
          <w:tcPr>
            <w:tcW w:w="18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9"/>
              </w:rPr>
              <w:t>Aggregate Intrinsic</w:t>
            </w:r>
          </w:p>
        </w:tc>
      </w:tr>
      <w:tr>
        <w:trPr>
          <w:trHeight w:val="252"/>
        </w:trPr>
        <w:tc>
          <w:tcPr>
            <w:tcW w:w="334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(in millions)</w:t>
            </w:r>
          </w:p>
        </w:tc>
        <w:tc>
          <w:tcPr>
            <w:tcW w:w="160" w:type="dxa"/>
            <w:vAlign w:val="bottom"/>
          </w:tcPr>
          <w:p>
            <w:pPr>
              <w:spacing w:after="0"/>
              <w:rPr>
                <w:sz w:val="21"/>
                <w:szCs w:val="21"/>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Share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years)</w:t>
            </w:r>
            <w:r>
              <w:rPr>
                <w:rFonts w:ascii="Arial" w:cs="Arial" w:eastAsia="Arial" w:hAnsi="Arial"/>
                <w:sz w:val="21"/>
                <w:szCs w:val="21"/>
                <w:b w:val="1"/>
                <w:bCs w:val="1"/>
                <w:color w:val="auto"/>
                <w:w w:val="94"/>
                <w:vertAlign w:val="superscript"/>
              </w:rPr>
              <w:t>(2)</w:t>
            </w:r>
          </w:p>
        </w:tc>
        <w:tc>
          <w:tcPr>
            <w:tcW w:w="120" w:type="dxa"/>
            <w:vAlign w:val="bottom"/>
          </w:tcPr>
          <w:p>
            <w:pPr>
              <w:spacing w:after="0"/>
              <w:rPr>
                <w:sz w:val="21"/>
                <w:szCs w:val="21"/>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Value</w:t>
            </w:r>
            <w:r>
              <w:rPr>
                <w:rFonts w:ascii="Arial" w:cs="Arial" w:eastAsia="Arial" w:hAnsi="Arial"/>
                <w:sz w:val="21"/>
                <w:szCs w:val="21"/>
                <w:b w:val="1"/>
                <w:bCs w:val="1"/>
                <w:color w:val="auto"/>
                <w:w w:val="96"/>
                <w:vertAlign w:val="superscript"/>
              </w:rPr>
              <w:t>(1)</w:t>
            </w:r>
            <w:r>
              <w:rPr>
                <w:rFonts w:ascii="Arial" w:cs="Arial" w:eastAsia="Arial" w:hAnsi="Arial"/>
                <w:sz w:val="18"/>
                <w:szCs w:val="18"/>
                <w:b w:val="1"/>
                <w:bCs w:val="1"/>
                <w:color w:val="auto"/>
                <w:w w:val="96"/>
              </w:rPr>
              <w:t xml:space="preserve"> (in millions)</w:t>
            </w:r>
          </w:p>
        </w:tc>
      </w:tr>
      <w:tr>
        <w:trPr>
          <w:trHeight w:val="264"/>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2014</w:t>
            </w:r>
          </w:p>
        </w:tc>
        <w:tc>
          <w:tcPr>
            <w:tcW w:w="1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3"/>
        </w:trPr>
        <w:tc>
          <w:tcPr>
            <w:tcW w:w="33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spacing w:after="0"/>
              <w:rPr>
                <w:sz w:val="23"/>
                <w:szCs w:val="23"/>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October 31, 2015</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October 31, 2015</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bl>
    <w:p>
      <w:pPr>
        <w:spacing w:after="0" w:line="179"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22"/>
          <w:szCs w:val="22"/>
          <w:color w:val="auto"/>
          <w:vertAlign w:val="superscript"/>
        </w:rPr>
      </w:pPr>
      <w:r>
        <w:rPr>
          <w:rFonts w:ascii="Arial" w:cs="Arial" w:eastAsia="Arial" w:hAnsi="Arial"/>
          <w:sz w:val="18"/>
          <w:szCs w:val="18"/>
          <w:color w:val="auto"/>
        </w:rPr>
        <w:t>Amount by which the current market price of our common stock on October 31, 2015 exceeds the exercise price.</w:t>
      </w:r>
    </w:p>
    <w:p>
      <w:pPr>
        <w:spacing w:after="0" w:line="190"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7"/>
          <w:szCs w:val="17"/>
          <w:color w:val="auto"/>
        </w:rPr>
        <w:t>Excludes contractual terms associated with plans prior to the 2006 Equity Plan due to the uncertainty of expiration.</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total unrecognized compensation cost, net of estimated forfeitures, related to stock option grants was $0.8 million, which is expected to be recognized ratably over a weighted-average vesting period of 1.6 years. For 2015, 2014, and 2013, the total intrinsic value of stock options exercised was $8.8 million, $3.8 million, and $4.1 million, respectively. In 2013, the weighted-average grant date fair value per share of awards granted was $7.5. In 2015, 2014, and 2013, the total fair value of options that vested was $2.1 million, $1.5 million, and $1.4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 Including TSR Performance Shares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22" w:right="239" w:bottom="1440" w:gutter="0" w:footer="0" w:header="0"/>
        </w:sectPr>
      </w:pPr>
    </w:p>
    <w:bookmarkStart w:id="90" w:name="page91"/>
    <w:bookmarkEnd w:id="90"/>
    <w:p>
      <w:pPr>
        <w:jc w:val="both"/>
        <w:ind w:firstLine="648"/>
        <w:spacing w:after="0" w:line="254"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For TSR awards, the number of performance shares that will vest is based on our total shareholder return relative to the S&amp;P 600 at the time of grant over the respective three-year performance period. Vesting of 0% to 150% of the awards originally granted may occur depending on the respective performance metrics under both award types.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Activity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Average Grant</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Shares (in</w:t>
            </w: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Date Fair Value</w:t>
            </w:r>
          </w:p>
        </w:tc>
      </w:tr>
      <w:tr>
        <w:trPr>
          <w:trHeight w:val="246"/>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2014</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Performance 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October 31, 2015</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October 31, 2015, total unrecognized compensation cost related to performance stock awards was $10.0 million, which is expected to be recognized ratably over a weighted-average vesting period of 1.3 years. Except for TSR performance shares, these costs are based on estimated achievement of performance targets and estimated costs will be reevaluated periodically. For our TSR performance shares, these costs are based on the fair value of awards at the grant date and are recognized on a straight-line basis over the service period of 3 years.</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2015, 2014, and 2013, the weighted-average grant date fair value per share of awards granted was $29.8, $27.7, and $20.5, respectively. The total fair value of performance shares that vested was $5.0 million in both 2015 and 2014 and $2.2 million in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Accounting and Our Assumptions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2015 and 2014, we used the Monte Carlo simulation valuation technique to estimate the fair value of TSR performance share grants. In the year where stock options were granted, we used the Black-Scholes options-pricing model to estimate the grant date fair value of stock option grants.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26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Monte Carlo</w:t>
            </w:r>
          </w:p>
        </w:tc>
        <w:tc>
          <w:tcPr>
            <w:tcW w:w="24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Black-Scholes</w:t>
            </w:r>
          </w:p>
        </w:tc>
      </w:tr>
      <w:tr>
        <w:trPr>
          <w:trHeight w:val="277"/>
        </w:trPr>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 years</w:t>
            </w:r>
          </w:p>
        </w:tc>
        <w:tc>
          <w:tcPr>
            <w:tcW w:w="2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 years</w:t>
            </w:r>
          </w:p>
        </w:tc>
        <w:tc>
          <w:tcPr>
            <w:tcW w:w="2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5.37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Weighted average fair value of option grants</w:t>
            </w:r>
          </w:p>
        </w:tc>
        <w:tc>
          <w:tcPr>
            <w:tcW w:w="280" w:type="dxa"/>
            <w:vAlign w:val="bottom"/>
          </w:tcPr>
          <w:p>
            <w:pPr>
              <w:spacing w:after="0"/>
              <w:rPr>
                <w:sz w:val="22"/>
                <w:szCs w:val="22"/>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2"/>
                <w:szCs w:val="22"/>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7.5</w:t>
            </w:r>
          </w:p>
        </w:tc>
      </w:tr>
    </w:tbl>
    <w:p>
      <w:pPr>
        <w:spacing w:after="0" w:line="350" w:lineRule="exact"/>
        <w:rPr>
          <w:sz w:val="20"/>
          <w:szCs w:val="20"/>
          <w:color w:val="auto"/>
        </w:rPr>
      </w:pPr>
    </w:p>
    <w:p>
      <w:pPr>
        <w:ind w:left="460" w:hanging="34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both"/>
        <w:ind w:left="60" w:firstLine="2"/>
        <w:spacing w:after="0" w:line="256" w:lineRule="auto"/>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TSR awards valued under the Monte Carlo simulation model, the expected life represents the remaining performance period of the awards. For stock options valued under the Black-Scholes options-pricing model, the expected life is based on observed historical exercise patterns of the previously granted options adjusted to reflect the change in vesting and expiration dates.</w:t>
      </w:r>
    </w:p>
    <w:p>
      <w:pPr>
        <w:spacing w:after="0" w:line="147" w:lineRule="exact"/>
        <w:rPr>
          <w:rFonts w:ascii="Arial" w:cs="Arial" w:eastAsia="Arial" w:hAnsi="Arial"/>
          <w:sz w:val="18"/>
          <w:szCs w:val="18"/>
          <w:color w:val="auto"/>
        </w:rPr>
      </w:pPr>
    </w:p>
    <w:p>
      <w:pPr>
        <w:ind w:left="60" w:firstLine="2"/>
        <w:spacing w:after="0" w:line="262" w:lineRule="auto"/>
        <w:tabs>
          <w:tab w:leader="none" w:pos="3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Monte Carlo simulation model, the expected volatility for each grant is determined based on the historical volatility of our common stock over a period equal to the remaining term of the performance period from the date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44" w:right="239" w:bottom="1440" w:gutter="0" w:footer="0" w:header="0"/>
        </w:sectPr>
      </w:pPr>
    </w:p>
    <w:bookmarkStart w:id="91" w:name="page92"/>
    <w:bookmarkEnd w:id="91"/>
    <w:p>
      <w:pPr>
        <w:ind w:left="20" w:right="20"/>
        <w:spacing w:after="0" w:line="262" w:lineRule="auto"/>
        <w:rPr>
          <w:sz w:val="20"/>
          <w:szCs w:val="20"/>
          <w:color w:val="auto"/>
        </w:rPr>
      </w:pPr>
      <w:r>
        <w:rPr>
          <w:rFonts w:ascii="Arial" w:cs="Arial" w:eastAsia="Arial" w:hAnsi="Arial"/>
          <w:sz w:val="18"/>
          <w:szCs w:val="18"/>
          <w:color w:val="auto"/>
        </w:rPr>
        <w:t>grant for all awards. For the Black-Scholes options-pricing model, the expected volatility is based on considerations of implied volatility from publicly traded and quoted options on our common stock and the historical volatility of our common stock.</w:t>
      </w:r>
    </w:p>
    <w:p>
      <w:pPr>
        <w:spacing w:after="0" w:line="142" w:lineRule="exact"/>
        <w:rPr>
          <w:sz w:val="20"/>
          <w:szCs w:val="20"/>
          <w:color w:val="auto"/>
        </w:rPr>
      </w:pPr>
    </w:p>
    <w:p>
      <w:pPr>
        <w:ind w:left="300" w:hanging="278"/>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dividend yield is based on the historical dividend yield over the expected life of the awards granted.</w:t>
      </w:r>
    </w:p>
    <w:p>
      <w:pPr>
        <w:spacing w:after="0" w:line="171" w:lineRule="exact"/>
        <w:rPr>
          <w:rFonts w:ascii="Arial" w:cs="Arial" w:eastAsia="Arial" w:hAnsi="Arial"/>
          <w:sz w:val="18"/>
          <w:szCs w:val="18"/>
          <w:color w:val="auto"/>
        </w:rPr>
      </w:pPr>
    </w:p>
    <w:p>
      <w:pPr>
        <w:jc w:val="both"/>
        <w:ind w:left="20" w:firstLine="2"/>
        <w:spacing w:after="0" w:line="253" w:lineRule="auto"/>
        <w:tabs>
          <w:tab w:leader="none" w:pos="3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Monte Carlo simulation and Black-Scholes options-pricing models, the risk-free interest rate is based on the continuous compounded yield on U.S. Treasury Constant Maturity Rates with varying remaining terms. For TSR awards valued under the Monte Carlo simulation model, the remaining term is determined over a period of time that is commensurate with the performance period from the grant date. For stock option awards valued under the Black-Scholes options-pricing models, the remaining term is equal to the expected term of the option.</w:t>
      </w:r>
    </w:p>
    <w:p>
      <w:pPr>
        <w:spacing w:after="0" w:line="151" w:lineRule="exact"/>
        <w:rPr>
          <w:rFonts w:ascii="Arial" w:cs="Arial" w:eastAsia="Arial" w:hAnsi="Arial"/>
          <w:sz w:val="18"/>
          <w:szCs w:val="18"/>
          <w:color w:val="auto"/>
        </w:rPr>
      </w:pPr>
    </w:p>
    <w:p>
      <w:pPr>
        <w:ind w:left="300" w:hanging="278"/>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stock price is the closing price of our common stock on the valuation date.</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333"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28575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granted purchase rights per share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63"/>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Common stock issued</w:t>
            </w: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7"/>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Fair value of common stock issued per share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57"/>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Aggregate purchases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85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80"/>
          </w:cols>
          <w:pgMar w:left="280" w:top="54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18.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Income Tax Provision from Continuing Operations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4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2"/>
                <w:szCs w:val="22"/>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54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Reconciliation of the U.S. Statutory Tax Rate to Annual Effective Tax Rate</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right"/>
              <w:ind w:right="230"/>
              <w:spacing w:after="0"/>
              <w:rPr>
                <w:sz w:val="20"/>
                <w:szCs w:val="20"/>
                <w:color w:val="auto"/>
              </w:rPr>
            </w:pPr>
            <w:r>
              <w:rPr>
                <w:rFonts w:ascii="Arial" w:cs="Arial" w:eastAsia="Arial" w:hAnsi="Arial"/>
                <w:sz w:val="18"/>
                <w:szCs w:val="18"/>
                <w:b w:val="1"/>
                <w:bCs w:val="1"/>
                <w:color w:val="auto"/>
              </w:rPr>
              <w:t>Years Ended October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54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Tax rate reconciliation:</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Statutory rate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 and state tax credits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Impact of foreign operations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Changes in uncertain tax positions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expenses and other, net</w:t>
            </w:r>
          </w:p>
        </w:tc>
        <w:tc>
          <w:tcPr>
            <w:tcW w:w="2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57"/>
        </w:trPr>
        <w:tc>
          <w:tcPr>
            <w:tcW w:w="6380" w:type="dxa"/>
            <w:vAlign w:val="bottom"/>
            <w:gridSpan w:val="4"/>
          </w:tcPr>
          <w:p>
            <w:pPr>
              <w:ind w:left="40"/>
              <w:spacing w:after="0"/>
              <w:rPr>
                <w:sz w:val="20"/>
                <w:szCs w:val="20"/>
                <w:color w:val="auto"/>
              </w:rPr>
            </w:pPr>
            <w:r>
              <w:rPr>
                <w:rFonts w:ascii="Arial" w:cs="Arial" w:eastAsia="Arial" w:hAnsi="Arial"/>
                <w:sz w:val="18"/>
                <w:szCs w:val="18"/>
                <w:b w:val="1"/>
                <w:bCs w:val="1"/>
                <w:color w:val="auto"/>
              </w:rPr>
              <w:t>Annual effective tax rate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2015 and 2014 were 25.3% and 39.5%, respectively. The effective tax rate for 2015 was lower than the rate for 2014 principally due to: (i) $2.8 million of additional Work Opportunity Tax Credits (“WOTC”) primarily from the retroactive reinstatement of WOTC for calendar year 2014; (ii) $1.9 million of tax benefits for tax deductions on energy efficient government buildings; (iii) $1.6 million of state employment-based tax credits; and (iv) $1.6 million of tax benefits related to the recognition of previously unrecognized tax positions.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for 2014 was higher than the rate for 2013 due to (i) the expiration of the WOTC as of December 31, 2013 and (ii) the retroactive reinstatement of the WOTC for calendar year 2012, which occurred during the year ended October 31, 2013.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2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Components of Deferred Tax Assets and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1"/>
                <w:szCs w:val="21"/>
                <w:color w:val="auto"/>
              </w:rPr>
            </w:pPr>
          </w:p>
        </w:tc>
      </w:tr>
      <w:tr>
        <w:trPr>
          <w:trHeight w:val="230"/>
        </w:trPr>
        <w:tc>
          <w:tcPr>
            <w:tcW w:w="65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2"/>
                <w:szCs w:val="22"/>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and other compensation</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Other accruals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State taxes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7"/>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56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4"/>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r>
      <w:tr>
        <w:trPr>
          <w:trHeight w:val="270"/>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4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 and other acquired intangibles</w:t>
            </w:r>
          </w:p>
        </w:tc>
        <w:tc>
          <w:tcPr>
            <w:tcW w:w="56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44"/>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r>
      <w:tr>
        <w:trPr>
          <w:trHeight w:val="257"/>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Carryforwards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loss carryforwards totaling $9.1 million at October 31, 2015 are being carried forward in a number of state jurisdictions where we are permitted to use tax operating losses from prior periods to reduce future taxable income. These operating losses will expire between 2016 and 2035. The valuation allowance represents the amount of tax benefits related to state net operating loss carryforwards that are not likely to be realized. We believe the remaining net deferred tax assets are more likely than not to be realizable based on estimates of future taxable income. Changes to the deferred tax asset valuation allowance for 2015, 2014, and 2013 were are as follows:</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Valuation allowance at the beginning of the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63"/>
        </w:trPr>
        <w:tc>
          <w:tcPr>
            <w:tcW w:w="2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Sale of Security business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57"/>
        </w:trPr>
        <w:tc>
          <w:tcPr>
            <w:tcW w:w="6360" w:type="dxa"/>
            <w:vAlign w:val="bottom"/>
            <w:gridSpan w:val="3"/>
          </w:tcPr>
          <w:p>
            <w:pPr>
              <w:ind w:left="20"/>
              <w:spacing w:after="0"/>
              <w:rPr>
                <w:sz w:val="20"/>
                <w:szCs w:val="20"/>
                <w:color w:val="auto"/>
              </w:rPr>
            </w:pPr>
            <w:r>
              <w:rPr>
                <w:rFonts w:ascii="Arial" w:cs="Arial" w:eastAsia="Arial" w:hAnsi="Arial"/>
                <w:sz w:val="18"/>
                <w:szCs w:val="18"/>
                <w:color w:val="auto"/>
              </w:rPr>
              <w:t>Valuation allowance at the end of the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2015, the decrease in the valuation allowance was primarily due to $0.8 million of state net operating loss carryforwards associated with the sale of the Security business. During 2014, there was no change to the valuation allowance.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2015, 2014, and 2013, there was $75.6 million, $ 78.6 million, and $ 80.9 million, respectively, of unrecognized tax benefits that if recognized in the future, would impact our effective tax rate. We estimate that a decrease in unrecognized tax benefits of up to approximately $21 million is reasonably possible over the next twelve months due to the resolution of certain tax matters. At October 31, 2015 and 2014, accrued interest and penalties were $3.2 million and $2.2 million, respectively. During 2015, 2014 and 2013, we recognized interest and penalties of $1.0 million, $0.9 million, and $0.2 million,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22"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Reconciliation of Total Unrecognized Tax Benefits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the current year</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Reductions for expiration of statute of limitations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as of October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Years Open for Examination, by Entity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5960" w:type="dxa"/>
            <w:vAlign w:val="bottom"/>
            <w:tcBorders>
              <w:bottom w:val="single" w:sz="8" w:color="auto"/>
            </w:tcBorders>
          </w:tcPr>
          <w:p>
            <w:pPr>
              <w:ind w:left="3860"/>
              <w:spacing w:after="0"/>
              <w:rPr>
                <w:sz w:val="20"/>
                <w:szCs w:val="20"/>
                <w:color w:val="auto"/>
              </w:rPr>
            </w:pPr>
            <w:r>
              <w:rPr>
                <w:rFonts w:ascii="Arial" w:cs="Arial" w:eastAsia="Arial" w:hAnsi="Arial"/>
                <w:sz w:val="18"/>
                <w:szCs w:val="18"/>
                <w:b w:val="1"/>
                <w:bCs w:val="1"/>
                <w:color w:val="auto"/>
              </w:rPr>
              <w:t>Open by statute</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ABM state tax returns</w:t>
            </w:r>
            <w:r>
              <w:rPr>
                <w:rFonts w:ascii="Arial" w:cs="Arial" w:eastAsia="Arial" w:hAnsi="Arial"/>
                <w:sz w:val="21"/>
                <w:szCs w:val="21"/>
                <w:color w:val="auto"/>
                <w:vertAlign w:val="superscript"/>
              </w:rPr>
              <w:t>*</w:t>
            </w:r>
          </w:p>
        </w:tc>
        <w:tc>
          <w:tcPr>
            <w:tcW w:w="596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9"/>
              </w:rPr>
              <w:t>10/31/2011 – 10/31/2015</w:t>
            </w: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ABM federal tax returns</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10/31/2012 – 10/31/2015</w:t>
            </w:r>
          </w:p>
        </w:tc>
      </w:tr>
      <w:tr>
        <w:trPr>
          <w:trHeight w:val="26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Serv</w:t>
            </w:r>
          </w:p>
        </w:tc>
        <w:tc>
          <w:tcPr>
            <w:tcW w:w="5960" w:type="dxa"/>
            <w:vAlign w:val="bottom"/>
            <w:shd w:val="clear" w:color="auto" w:fill="CCEEFF"/>
          </w:tcPr>
          <w:p>
            <w:pPr>
              <w:jc w:val="center"/>
              <w:ind w:left="3010"/>
              <w:spacing w:after="0"/>
              <w:rPr>
                <w:sz w:val="20"/>
                <w:szCs w:val="20"/>
                <w:color w:val="auto"/>
              </w:rPr>
            </w:pPr>
            <w:r>
              <w:rPr>
                <w:rFonts w:ascii="Arial" w:cs="Arial" w:eastAsia="Arial" w:hAnsi="Arial"/>
                <w:sz w:val="18"/>
                <w:szCs w:val="18"/>
                <w:color w:val="auto"/>
                <w:w w:val="99"/>
              </w:rPr>
              <w:t>6/30/2012 – 10/31/2012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HHA</w:t>
            </w:r>
          </w:p>
        </w:tc>
        <w:tc>
          <w:tcPr>
            <w:tcW w:w="5960" w:type="dxa"/>
            <w:vAlign w:val="bottom"/>
          </w:tcPr>
          <w:p>
            <w:pPr>
              <w:jc w:val="center"/>
              <w:ind w:left="3010"/>
              <w:spacing w:after="0"/>
              <w:rPr>
                <w:sz w:val="20"/>
                <w:szCs w:val="20"/>
                <w:color w:val="auto"/>
              </w:rPr>
            </w:pPr>
            <w:r>
              <w:rPr>
                <w:rFonts w:ascii="Arial" w:cs="Arial" w:eastAsia="Arial" w:hAnsi="Arial"/>
                <w:sz w:val="18"/>
                <w:szCs w:val="18"/>
                <w:color w:val="auto"/>
                <w:w w:val="99"/>
              </w:rPr>
              <w:t>10/31/2012</w:t>
            </w:r>
          </w:p>
        </w:tc>
      </w:tr>
    </w:tbl>
    <w:p>
      <w:pPr>
        <w:spacing w:after="0" w:line="175" w:lineRule="exact"/>
        <w:rPr>
          <w:sz w:val="20"/>
          <w:szCs w:val="20"/>
          <w:color w:val="auto"/>
        </w:rPr>
      </w:pPr>
    </w:p>
    <w:p>
      <w:pPr>
        <w:ind w:firstLine="8"/>
        <w:spacing w:after="0" w:line="262" w:lineRule="auto"/>
        <w:tabs>
          <w:tab w:leader="none" w:pos="1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currently being examined by the taxing authorities in the states of Alabama, Arizona, Connecticut, Michigan, New Jersey and North Carolina and in the city of New York, New York.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22" w:right="239" w:bottom="1440" w:gutter="0" w:footer="0" w:header="0"/>
        </w:sectPr>
      </w:pPr>
    </w:p>
    <w:bookmarkStart w:id="95" w:name="page96"/>
    <w:bookmarkEnd w:id="95"/>
    <w:p>
      <w:pPr>
        <w:ind w:right="7200" w:firstLine="8"/>
        <w:spacing w:after="0" w:line="451" w:lineRule="auto"/>
        <w:tabs>
          <w:tab w:leader="none" w:pos="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 Segment Information</w:t>
      </w:r>
    </w:p>
    <w:p>
      <w:pPr>
        <w:jc w:val="both"/>
        <w:ind w:firstLine="648"/>
        <w:spacing w:after="0" w:line="254" w:lineRule="auto"/>
        <w:rPr>
          <w:sz w:val="20"/>
          <w:szCs w:val="20"/>
          <w:color w:val="auto"/>
        </w:rPr>
      </w:pPr>
      <w:r>
        <w:rPr>
          <w:rFonts w:ascii="Arial" w:cs="Arial" w:eastAsia="Arial" w:hAnsi="Arial"/>
          <w:sz w:val="18"/>
          <w:szCs w:val="18"/>
          <w:color w:val="auto"/>
        </w:rPr>
        <w:t>As discussed in Note 4, “Discontinued Operations,” during the fourth quarter of 2015, we sold our Security business, which was previously reported as a reportable segment. This business is now included within discontinued operations for all periods presented, and we have revised our segment results accordingly. As such, we currently have five reportable segments: Janitorial, Facility Services, Parking, Building &amp; Energy Solutions, and Other.</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2015, we completed our annual actuarial evaluations for the majority of our casualty insurance programs, which showed unfavorable developments for 2015. Refer to Note 12, “Insurance,” for further details on the results of our actuarial evaluations. As a result of these evaluations, we increased our reserves for 2015 insurance claims by $6.5 million and, consistent with prior periods, we allocated this expense to our operating segments based upon underlying exposures. For years prior to 2015, the analysis showed unfavorable developments in our insurance claims, and as a result, we increased our reserves by $35.9 million. Consistent with prior periods, this adjustment is recorded in Corporate. Additionally, other Corporate expenses not allocated to segments include:</w:t>
      </w:r>
    </w:p>
    <w:p>
      <w:pPr>
        <w:spacing w:after="0" w:line="4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restructuring and related charges;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2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2,692.7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2,583.2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2,480.5</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609.4</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609.1</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401.5</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326.4</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64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4,897.8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4,649.7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4,427.8</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138.6</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9"/>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Building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&amp; Energy Solutions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Adjustment for tax deductions for energy efficient government buildings,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included in Building &amp; Energy Solutions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564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105.3</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33" w:lineRule="auto"/>
        <w:tabs>
          <w:tab w:leader="none" w:pos="9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Effective in the first quarter of 2015, we reallocated certain costs from our Janitorial segment to our Facility Services and Parking segments to better reflect certain overhead support functions. The impact of these reallocations on the segments was an increase of operating profit to the Janitorial segment and a decrease of operating profit to the Facility Services and Parking segments as follows:</w:t>
      </w:r>
    </w:p>
    <w:p>
      <w:pPr>
        <w:spacing w:after="0" w:line="30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520" w:type="dxa"/>
            <w:vAlign w:val="bottom"/>
          </w:tcPr>
          <w:p>
            <w:pPr>
              <w:spacing w:after="0"/>
              <w:rPr>
                <w:sz w:val="18"/>
                <w:szCs w:val="18"/>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63"/>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5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5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ind w:firstLine="8"/>
        <w:spacing w:after="0" w:line="233" w:lineRule="auto"/>
        <w:tabs>
          <w:tab w:leader="none" w:pos="104"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 connection with the sale of our Security business, certain general corporate expenses that were previously allocated to Security are now allocated back to Corporate expenses and the Janitorial segment. In addition, certain Corporate expenses that were directly related to the operations of the Security business have been allocated to discontinued operations. The net impact of these allocations is as follows:</w:t>
      </w:r>
    </w:p>
    <w:p>
      <w:pPr>
        <w:spacing w:after="0" w:line="30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28575</wp:posOffset>
            </wp:positionV>
            <wp:extent cx="2830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520" w:type="dxa"/>
            <w:vAlign w:val="bottom"/>
          </w:tcPr>
          <w:p>
            <w:pPr>
              <w:spacing w:after="0"/>
              <w:rPr>
                <w:sz w:val="18"/>
                <w:szCs w:val="18"/>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64"/>
        </w:trPr>
        <w:tc>
          <w:tcPr>
            <w:tcW w:w="6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696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52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5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2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959.2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952.8</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887.5</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141.9</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231.9</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237.7</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6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2,149.8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2,076.9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2,006.5</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90"/>
        </w:trPr>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56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w:t>
            </w:r>
          </w:p>
        </w:tc>
      </w:tr>
      <w:tr>
        <w:trPr>
          <w:trHeight w:val="25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22"/>
          <w:szCs w:val="22"/>
          <w:color w:val="auto"/>
          <w:vertAlign w:val="superscript"/>
        </w:rPr>
      </w:pPr>
      <w:r>
        <w:rPr>
          <w:rFonts w:ascii="Arial" w:cs="Arial" w:eastAsia="Arial" w:hAnsi="Arial"/>
          <w:sz w:val="18"/>
          <w:szCs w:val="18"/>
          <w:color w:val="auto"/>
        </w:rPr>
        <w:t>Excludes $116.0 million and $112.7 million of assets of discontinued operations at October 31, 2014 and 2013, respectively.</w:t>
      </w:r>
    </w:p>
    <w:p>
      <w:pPr>
        <w:spacing w:after="0" w:line="125" w:lineRule="exact"/>
        <w:rPr>
          <w:sz w:val="20"/>
          <w:szCs w:val="20"/>
          <w:color w:val="auto"/>
        </w:rPr>
      </w:pPr>
    </w:p>
    <w:p>
      <w:pPr>
        <w:ind w:left="120" w:hanging="112"/>
        <w:spacing w:after="0"/>
        <w:tabs>
          <w:tab w:leader="none" w:pos="120" w:val="left"/>
        </w:tabs>
        <w:numPr>
          <w:ilvl w:val="0"/>
          <w:numId w:val="54"/>
        </w:numPr>
        <w:rPr>
          <w:rFonts w:ascii="Arial" w:cs="Arial" w:eastAsia="Arial" w:hAnsi="Arial"/>
          <w:sz w:val="22"/>
          <w:szCs w:val="22"/>
          <w:color w:val="auto"/>
          <w:vertAlign w:val="superscript"/>
        </w:rPr>
      </w:pPr>
      <w:r>
        <w:rPr>
          <w:rFonts w:ascii="Arial" w:cs="Arial" w:eastAsia="Arial" w:hAnsi="Arial"/>
          <w:sz w:val="18"/>
          <w:szCs w:val="18"/>
          <w:color w:val="auto"/>
        </w:rPr>
        <w:t>Excludes amortization related to income from unconsolidated affiliates.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Based on the Country in Which the Sale Originated</w:t>
      </w:r>
      <w:r>
        <w:rPr>
          <w:rFonts w:ascii="Arial" w:cs="Arial" w:eastAsia="Arial" w:hAnsi="Arial"/>
          <w:sz w:val="10"/>
          <w:szCs w:val="10"/>
          <w:b w:val="1"/>
          <w:bCs w:val="1"/>
          <w:color w:val="auto"/>
        </w:rPr>
        <w:t>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4,687.2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4,519.4</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4,321.5</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4,897.8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4,427.8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620" w:right="4960" w:hanging="5612"/>
        <w:spacing w:after="0" w:line="512" w:lineRule="auto"/>
        <w:tabs>
          <w:tab w:leader="none" w:pos="114" w:val="left"/>
        </w:tabs>
        <w:numPr>
          <w:ilvl w:val="0"/>
          <w:numId w:val="55"/>
        </w:numPr>
        <w:rPr>
          <w:rFonts w:ascii="Arial" w:cs="Arial" w:eastAsia="Arial" w:hAnsi="Arial"/>
          <w:sz w:val="11"/>
          <w:szCs w:val="11"/>
          <w:color w:val="auto"/>
        </w:rPr>
      </w:pPr>
      <w:r>
        <w:rPr>
          <w:rFonts w:ascii="Arial" w:cs="Arial" w:eastAsia="Arial" w:hAnsi="Arial"/>
          <w:sz w:val="18"/>
          <w:szCs w:val="18"/>
          <w:color w:val="auto"/>
        </w:rPr>
        <w:t>Substantially all of our long-lived assets are related to United States operations. 95</w:t>
      </w:r>
    </w:p>
    <w:p>
      <w:pPr>
        <w:sectPr>
          <w:pgSz w:w="11900" w:h="16838" w:orient="portrait"/>
          <w:cols w:equalWidth="0" w:num="1">
            <w:col w:w="11420"/>
          </w:cols>
          <w:pgMar w:left="240" w:top="6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20. SELECTED QUARTERLY FINANCIAL DATA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Fiscal Quarter</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30"/>
        </w:trPr>
        <w:tc>
          <w:tcPr>
            <w:tcW w:w="5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9"/>
                <w:szCs w:val="19"/>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6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October 31, 2015</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1,194.5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1,176.4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1,249.9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1,277.0</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148.9</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97"/>
        </w:trPr>
        <w:tc>
          <w:tcPr>
            <w:tcW w:w="5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Basic</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0.29</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Diluted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97"/>
        </w:trPr>
        <w:tc>
          <w:tcPr>
            <w:tcW w:w="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October 31, 2014</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1,204.7</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64"/>
        </w:trPr>
        <w:tc>
          <w:tcPr>
            <w:tcW w:w="5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 — Basic</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0.45</w:t>
            </w:r>
          </w:p>
        </w:tc>
      </w:tr>
      <w:tr>
        <w:trPr>
          <w:trHeight w:val="270"/>
        </w:trPr>
        <w:tc>
          <w:tcPr>
            <w:tcW w:w="4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97"/>
        </w:trPr>
        <w:tc>
          <w:tcPr>
            <w:tcW w:w="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0.50</w:t>
            </w:r>
          </w:p>
        </w:tc>
      </w:tr>
      <w:tr>
        <w:trPr>
          <w:trHeight w:val="278"/>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 — Diluted</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64"/>
        </w:trPr>
        <w:tc>
          <w:tcPr>
            <w:tcW w:w="40" w:type="dxa"/>
            <w:vAlign w:val="bottom"/>
            <w:tcBorders>
              <w:bottom w:val="single" w:sz="8" w:color="CCEEFF"/>
            </w:tcBorders>
          </w:tcPr>
          <w:p>
            <w:pPr>
              <w:spacing w:after="0"/>
              <w:rPr>
                <w:sz w:val="22"/>
                <w:szCs w:val="22"/>
                <w:color w:val="auto"/>
              </w:rPr>
            </w:pPr>
          </w:p>
        </w:tc>
        <w:tc>
          <w:tcPr>
            <w:tcW w:w="55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December 9, 2015, we acquired Westway Services Holdings (2014) Ltd., a provider of technical engineering services to customers in the United Kingdom with annual revenues of approximately $81.0 million. The purchase price was paid in cash and will be accounted for under the acquisition method of accounting. The accounting for this acquisition was incomplete at the time the Financial Statements were issued.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22"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that evaluation, our management concluded that our internal control over financial reporting was effective as of October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fourth fiscal quarter of 2015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22" w:right="239" w:bottom="1440" w:gutter="0" w:footer="0" w:header="0"/>
        </w:sectPr>
      </w:pPr>
    </w:p>
    <w:bookmarkStart w:id="100" w:name="page101"/>
    <w:bookmarkEnd w:id="100"/>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Information about our executive officers is found in Part I, Item 1 of this Form 10-K under “Executive Officers of Registrant.” Additional information required by this item is set forth under the captions “Items to be Voted On—Election of Directors,” “Corporate Governance and Board Matters,” “Audit-Related Matters,” and “Section 16(a) Beneficial Ownership Reporting Compliance” in our Definitive Proxy Statement for our Annual Meeting of Shareholders scheduled to be held on March 9, 2016 (“2016 Proxy Statement”). This information is incorporated by reference into this Annual Report on Form 10-K. Our 2016 Proxy Statement will be filed with the Securities and Exchange Commission within 120 days after the conclusion of our fiscal year ended October 31, 2015.</w:t>
      </w:r>
    </w:p>
    <w:p>
      <w:pPr>
        <w:spacing w:after="0" w:line="155" w:lineRule="exact"/>
        <w:rPr>
          <w:sz w:val="20"/>
          <w:szCs w:val="20"/>
          <w:color w:val="auto"/>
        </w:rPr>
      </w:pPr>
    </w:p>
    <w:p>
      <w:pPr>
        <w:ind w:right="740" w:firstLine="648"/>
        <w:spacing w:after="0" w:line="438" w:lineRule="auto"/>
        <w:rPr>
          <w:sz w:val="20"/>
          <w:szCs w:val="20"/>
          <w:color w:val="auto"/>
        </w:rPr>
      </w:pPr>
      <w:r>
        <w:rPr>
          <w:rFonts w:ascii="Arial" w:cs="Arial" w:eastAsia="Arial" w:hAnsi="Arial"/>
          <w:sz w:val="18"/>
          <w:szCs w:val="18"/>
          <w:color w:val="auto"/>
        </w:rPr>
        <w:t xml:space="preserve">On April 1, 2015, we filed our Annual CEO Certification as required by Section 303A.12 of the NYSE Listed Company Manual. </w:t>
      </w:r>
      <w:r>
        <w:rPr>
          <w:rFonts w:ascii="Arial" w:cs="Arial" w:eastAsia="Arial" w:hAnsi="Arial"/>
          <w:sz w:val="18"/>
          <w:szCs w:val="18"/>
          <w:b w:val="1"/>
          <w:bCs w:val="1"/>
          <w:color w:val="auto"/>
        </w:rPr>
        <w:t>Code of Business Conduct</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that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executive compensation is incorporated by reference from the information set forth under the captions “Director Compensation for Fiscal Year 2015,” “Executive Compensation,” and “Corporate Governance and Board Matters” in our 2016 Proxy Statement.</w:t>
      </w:r>
    </w:p>
    <w:p>
      <w:pPr>
        <w:spacing w:after="0" w:line="342"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security ownership of certain beneficial owners and management and equity compensation plan information and related stockholder matters is incorporated by reference from the information set forth under the captions “Security Ownership of Management and Certain Beneficial Owners” and “Equity Compensation Plan Information” in our 2016 Proxy Statement.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0" w:right="239" w:bottom="1440" w:gutter="0" w:footer="0" w:header="0"/>
        </w:sectPr>
      </w:pPr>
    </w:p>
    <w:bookmarkStart w:id="101" w:name="page102"/>
    <w:bookmarkEnd w:id="101"/>
    <w:p>
      <w:pPr>
        <w:jc w:val="both"/>
        <w:ind w:firstLine="648"/>
        <w:spacing w:after="0" w:line="256"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incorporated by reference from the information set forth under the captions “Certain Relationships and Transactions with Related Persons” and “Corporate Governance and Board Matters” in our 2016 Proxy Statement.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Information with respect to our Audit Committee’s pre-approval policy for audit services and our principal accounting fees and services is incorporated by reference from the information set forth under the caption “Audit-Related Matters” in our 2016 Proxy Statement.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760"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984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984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6"/>
        </w:trPr>
        <w:tc>
          <w:tcPr>
            <w:tcW w:w="984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4"/>
        </w:trPr>
        <w:tc>
          <w:tcPr>
            <w:tcW w:w="9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0"/>
        </w:trPr>
        <w:tc>
          <w:tcPr>
            <w:tcW w:w="9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9840" w:type="dxa"/>
            <w:vAlign w:val="bottom"/>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1580" w:type="dxa"/>
            <w:vAlign w:val="bottom"/>
            <w:gridSpan w:val="4"/>
          </w:tcPr>
          <w:p>
            <w:pPr>
              <w:jc w:val="right"/>
              <w:ind w:right="20"/>
              <w:spacing w:after="0"/>
              <w:rPr>
                <w:rFonts w:ascii="Arial" w:cs="Arial" w:eastAsia="Arial" w:hAnsi="Arial"/>
                <w:sz w:val="17"/>
                <w:szCs w:val="17"/>
                <w:color w:val="0000FF"/>
              </w:rPr>
            </w:pPr>
            <w:hyperlink w:anchor="page56">
              <w:r>
                <w:rPr>
                  <w:rFonts w:ascii="Arial" w:cs="Arial" w:eastAsia="Arial" w:hAnsi="Arial"/>
                  <w:sz w:val="17"/>
                  <w:szCs w:val="17"/>
                  <w:color w:val="0000FF"/>
                </w:rPr>
                <w:t>54</w:t>
              </w:r>
            </w:hyperlink>
          </w:p>
        </w:tc>
      </w:tr>
      <w:tr>
        <w:trPr>
          <w:trHeight w:val="34"/>
        </w:trPr>
        <w:tc>
          <w:tcPr>
            <w:tcW w:w="9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9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Balance Sheets at October 31, 2015 and 2014</w:t>
            </w: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55</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9840" w:type="dxa"/>
            <w:vAlign w:val="bottom"/>
          </w:tcPr>
          <w:p>
            <w:pPr>
              <w:ind w:left="320"/>
              <w:spacing w:after="0"/>
              <w:rPr>
                <w:sz w:val="20"/>
                <w:szCs w:val="20"/>
                <w:color w:val="auto"/>
              </w:rPr>
            </w:pPr>
            <w:r>
              <w:rPr>
                <w:rFonts w:ascii="Arial" w:cs="Arial" w:eastAsia="Arial" w:hAnsi="Arial"/>
                <w:sz w:val="17"/>
                <w:szCs w:val="17"/>
                <w:color w:val="auto"/>
              </w:rPr>
              <w:t>Consolidated Statements of Comprehensive Income for the Years Ended October 31, 2015, 2014, and 2013</w:t>
            </w:r>
          </w:p>
        </w:tc>
        <w:tc>
          <w:tcPr>
            <w:tcW w:w="1580" w:type="dxa"/>
            <w:vAlign w:val="bottom"/>
            <w:gridSpan w:val="4"/>
          </w:tcPr>
          <w:p>
            <w:pPr>
              <w:jc w:val="right"/>
              <w:ind w:right="20"/>
              <w:spacing w:after="0"/>
              <w:rPr>
                <w:rFonts w:ascii="Arial" w:cs="Arial" w:eastAsia="Arial" w:hAnsi="Arial"/>
                <w:sz w:val="17"/>
                <w:szCs w:val="17"/>
                <w:color w:val="0000FF"/>
              </w:rPr>
            </w:pPr>
            <w:hyperlink w:anchor="page58">
              <w:r>
                <w:rPr>
                  <w:rFonts w:ascii="Arial" w:cs="Arial" w:eastAsia="Arial" w:hAnsi="Arial"/>
                  <w:sz w:val="17"/>
                  <w:szCs w:val="17"/>
                  <w:color w:val="0000FF"/>
                </w:rPr>
                <w:t>56</w:t>
              </w:r>
            </w:hyperlink>
          </w:p>
        </w:tc>
      </w:tr>
      <w:tr>
        <w:trPr>
          <w:trHeight w:val="34"/>
        </w:trPr>
        <w:tc>
          <w:tcPr>
            <w:tcW w:w="9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9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Statements of Stockholders’ Equity for the Years Ended October 31, 2015, 2014, and 2013</w:t>
            </w: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59">
              <w:r>
                <w:rPr>
                  <w:rFonts w:ascii="Arial" w:cs="Arial" w:eastAsia="Arial" w:hAnsi="Arial"/>
                  <w:sz w:val="17"/>
                  <w:szCs w:val="17"/>
                  <w:color w:val="0000FF"/>
                  <w:w w:val="94"/>
                </w:rPr>
                <w:t>57</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9840" w:type="dxa"/>
            <w:vAlign w:val="bottom"/>
          </w:tcPr>
          <w:p>
            <w:pPr>
              <w:ind w:left="320"/>
              <w:spacing w:after="0"/>
              <w:rPr>
                <w:sz w:val="20"/>
                <w:szCs w:val="20"/>
                <w:color w:val="auto"/>
              </w:rPr>
            </w:pPr>
            <w:r>
              <w:rPr>
                <w:rFonts w:ascii="Arial" w:cs="Arial" w:eastAsia="Arial" w:hAnsi="Arial"/>
                <w:sz w:val="17"/>
                <w:szCs w:val="17"/>
                <w:color w:val="auto"/>
              </w:rPr>
              <w:t>Consolidated Statements of Cash Flows for the Years Ended October 31, 2015, 2014, and 2013</w:t>
            </w:r>
          </w:p>
        </w:tc>
        <w:tc>
          <w:tcPr>
            <w:tcW w:w="1580" w:type="dxa"/>
            <w:vAlign w:val="bottom"/>
            <w:gridSpan w:val="4"/>
          </w:tcPr>
          <w:p>
            <w:pPr>
              <w:jc w:val="right"/>
              <w:ind w:right="20"/>
              <w:spacing w:after="0"/>
              <w:rPr>
                <w:rFonts w:ascii="Arial" w:cs="Arial" w:eastAsia="Arial" w:hAnsi="Arial"/>
                <w:sz w:val="17"/>
                <w:szCs w:val="17"/>
                <w:color w:val="0000FF"/>
              </w:rPr>
            </w:pPr>
            <w:hyperlink w:anchor="page60">
              <w:r>
                <w:rPr>
                  <w:rFonts w:ascii="Arial" w:cs="Arial" w:eastAsia="Arial" w:hAnsi="Arial"/>
                  <w:sz w:val="17"/>
                  <w:szCs w:val="17"/>
                  <w:color w:val="0000FF"/>
                </w:rPr>
                <w:t>58</w:t>
              </w:r>
            </w:hyperlink>
          </w:p>
        </w:tc>
      </w:tr>
      <w:tr>
        <w:trPr>
          <w:trHeight w:val="34"/>
        </w:trPr>
        <w:tc>
          <w:tcPr>
            <w:tcW w:w="9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98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2"/>
        </w:trPr>
        <w:tc>
          <w:tcPr>
            <w:tcW w:w="9840" w:type="dxa"/>
            <w:vAlign w:val="bottom"/>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98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Valuation and Qualifying Accounts for the Years Ended October 31, 2015, 2014, and 2013</w:t>
            </w:r>
          </w:p>
        </w:tc>
        <w:tc>
          <w:tcPr>
            <w:tcW w:w="1580" w:type="dxa"/>
            <w:vAlign w:val="bottom"/>
            <w:gridSpan w:val="4"/>
            <w:shd w:val="clear" w:color="auto" w:fill="CCEEFF"/>
          </w:tcPr>
          <w:p>
            <w:pPr>
              <w:jc w:val="right"/>
              <w:ind w:right="20"/>
              <w:spacing w:after="0"/>
              <w:rPr>
                <w:rFonts w:ascii="Arial" w:cs="Arial" w:eastAsia="Arial" w:hAnsi="Arial"/>
                <w:sz w:val="17"/>
                <w:szCs w:val="17"/>
                <w:color w:val="0000FF"/>
              </w:rPr>
            </w:pPr>
            <w:hyperlink w:anchor="page104">
              <w:r>
                <w:rPr>
                  <w:rFonts w:ascii="Arial" w:cs="Arial" w:eastAsia="Arial" w:hAnsi="Arial"/>
                  <w:sz w:val="17"/>
                  <w:szCs w:val="17"/>
                  <w:color w:val="0000FF"/>
                </w:rPr>
                <w:t>102</w:t>
              </w:r>
            </w:hyperlink>
          </w:p>
        </w:tc>
      </w:tr>
      <w:tr>
        <w:trPr>
          <w:trHeight w:val="262"/>
        </w:trPr>
        <w:tc>
          <w:tcPr>
            <w:tcW w:w="9840" w:type="dxa"/>
            <w:vAlign w:val="bottom"/>
            <w:tcBorders>
              <w:top w:val="single" w:sz="8" w:color="CCEEFF"/>
            </w:tcBorders>
          </w:tcPr>
          <w:p>
            <w:pPr>
              <w:ind w:left="36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w:t>
            </w:r>
          </w:p>
        </w:tc>
        <w:tc>
          <w:tcPr>
            <w:tcW w:w="128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291"/>
        </w:trPr>
        <w:tc>
          <w:tcPr>
            <w:tcW w:w="98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2"/>
        </w:trPr>
        <w:tc>
          <w:tcPr>
            <w:tcW w:w="9840" w:type="dxa"/>
            <w:vAlign w:val="bottom"/>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9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See Exhibit Index</w:t>
            </w:r>
          </w:p>
        </w:tc>
        <w:tc>
          <w:tcPr>
            <w:tcW w:w="1580" w:type="dxa"/>
            <w:vAlign w:val="bottom"/>
            <w:gridSpan w:val="4"/>
            <w:shd w:val="clear" w:color="auto" w:fill="CCEEFF"/>
          </w:tcPr>
          <w:p>
            <w:pPr>
              <w:jc w:val="right"/>
              <w:ind w:right="20"/>
              <w:spacing w:after="0"/>
              <w:rPr>
                <w:rFonts w:ascii="Arial" w:cs="Arial" w:eastAsia="Arial" w:hAnsi="Arial"/>
                <w:sz w:val="17"/>
                <w:szCs w:val="17"/>
                <w:color w:val="0000FF"/>
              </w:rPr>
            </w:pPr>
            <w:hyperlink w:anchor="page105">
              <w:r>
                <w:rPr>
                  <w:rFonts w:ascii="Arial" w:cs="Arial" w:eastAsia="Arial" w:hAnsi="Arial"/>
                  <w:sz w:val="17"/>
                  <w:szCs w:val="17"/>
                  <w:color w:val="0000FF"/>
                </w:rPr>
                <w:t>103</w:t>
              </w:r>
            </w:hyperlink>
          </w:p>
        </w:tc>
      </w:tr>
      <w:tr>
        <w:trPr>
          <w:trHeight w:val="34"/>
        </w:trPr>
        <w:tc>
          <w:tcPr>
            <w:tcW w:w="984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38"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ABM Industries Incorporated</w:t>
      </w:r>
    </w:p>
    <w:p>
      <w:pPr>
        <w:spacing w:after="0" w:line="193"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Scott Salmirs</w:t>
      </w:r>
    </w:p>
    <w:p>
      <w:pPr>
        <w:jc w:val="center"/>
        <w:ind w:right="-119"/>
        <w:spacing w:after="0"/>
        <w:rPr>
          <w:sz w:val="20"/>
          <w:szCs w:val="20"/>
          <w:color w:val="auto"/>
        </w:rPr>
      </w:pPr>
      <w:r>
        <w:rPr>
          <w:rFonts w:ascii="Arial" w:cs="Arial" w:eastAsia="Arial" w:hAnsi="Arial"/>
          <w:sz w:val="18"/>
          <w:szCs w:val="18"/>
          <w:color w:val="auto"/>
        </w:rPr>
        <w:t>President and Chief Executive Officer and Director</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17, 2015</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142" w:lineRule="exact"/>
        <w:rPr>
          <w:sz w:val="20"/>
          <w:szCs w:val="20"/>
          <w:color w:val="auto"/>
        </w:rPr>
      </w:pPr>
    </w:p>
    <w:p>
      <w:pPr>
        <w:ind w:left="190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Scott Salmirs</w:t>
      </w:r>
    </w:p>
    <w:p>
      <w:pPr>
        <w:jc w:val="center"/>
        <w:ind w:right="-119"/>
        <w:spacing w:after="0" w:line="234" w:lineRule="auto"/>
        <w:rPr>
          <w:sz w:val="20"/>
          <w:szCs w:val="20"/>
          <w:color w:val="auto"/>
        </w:rPr>
      </w:pPr>
      <w:r>
        <w:rPr>
          <w:rFonts w:ascii="Arial" w:cs="Arial" w:eastAsia="Arial" w:hAnsi="Arial"/>
          <w:sz w:val="18"/>
          <w:szCs w:val="18"/>
          <w:color w:val="auto"/>
        </w:rPr>
        <w:t>President and Chief Executive Officer and Director</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(Principal Executive Officer)</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17,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 Anthony Scaglione</w:t>
            </w:r>
          </w:p>
        </w:tc>
        <w:tc>
          <w:tcPr>
            <w:tcW w:w="1480" w:type="dxa"/>
            <w:vAlign w:val="bottom"/>
          </w:tcPr>
          <w:p>
            <w:pPr>
              <w:spacing w:after="0"/>
              <w:rPr>
                <w:sz w:val="19"/>
                <w:szCs w:val="19"/>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Dean A. Chin</w:t>
            </w:r>
          </w:p>
        </w:tc>
      </w:tr>
      <w:tr>
        <w:trPr>
          <w:trHeight w:val="229"/>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rPr>
              <w:t>D. Anthony Scaglione</w:t>
            </w:r>
          </w:p>
        </w:tc>
        <w:tc>
          <w:tcPr>
            <w:tcW w:w="5020" w:type="dxa"/>
            <w:vAlign w:val="bottom"/>
          </w:tcPr>
          <w:p>
            <w:pPr>
              <w:spacing w:after="0"/>
              <w:rPr>
                <w:sz w:val="19"/>
                <w:szCs w:val="19"/>
                <w:color w:val="auto"/>
              </w:rPr>
            </w:pPr>
          </w:p>
        </w:tc>
      </w:tr>
      <w:tr>
        <w:trPr>
          <w:trHeight w:val="203"/>
        </w:trPr>
        <w:tc>
          <w:tcPr>
            <w:tcW w:w="6400" w:type="dxa"/>
            <w:vAlign w:val="bottom"/>
            <w:gridSpan w:val="2"/>
          </w:tcPr>
          <w:p>
            <w:pPr>
              <w:jc w:val="center"/>
              <w:ind w:right="1460"/>
              <w:spacing w:after="0" w:line="202" w:lineRule="exact"/>
              <w:rPr>
                <w:sz w:val="20"/>
                <w:szCs w:val="20"/>
                <w:color w:val="auto"/>
              </w:rPr>
            </w:pPr>
            <w:r>
              <w:rPr>
                <w:rFonts w:ascii="Arial" w:cs="Arial" w:eastAsia="Arial" w:hAnsi="Arial"/>
                <w:sz w:val="18"/>
                <w:szCs w:val="18"/>
                <w:color w:val="auto"/>
              </w:rPr>
              <w:t>Executive Vice President and Chief</w:t>
            </w: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rPr>
              <w:t>Dean A. Chin</w:t>
            </w:r>
          </w:p>
        </w:tc>
      </w:tr>
      <w:tr>
        <w:trPr>
          <w:trHeight w:val="203"/>
        </w:trPr>
        <w:tc>
          <w:tcPr>
            <w:tcW w:w="6400" w:type="dxa"/>
            <w:vAlign w:val="bottom"/>
            <w:gridSpan w:val="2"/>
          </w:tcPr>
          <w:p>
            <w:pPr>
              <w:jc w:val="center"/>
              <w:ind w:right="1460"/>
              <w:spacing w:after="0" w:line="202" w:lineRule="exact"/>
              <w:rPr>
                <w:sz w:val="20"/>
                <w:szCs w:val="20"/>
                <w:color w:val="auto"/>
              </w:rPr>
            </w:pPr>
            <w:r>
              <w:rPr>
                <w:rFonts w:ascii="Arial" w:cs="Arial" w:eastAsia="Arial" w:hAnsi="Arial"/>
                <w:sz w:val="18"/>
                <w:szCs w:val="18"/>
                <w:color w:val="auto"/>
                <w:w w:val="99"/>
              </w:rPr>
              <w:t>Financial Officer</w:t>
            </w: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9"/>
              </w:rPr>
              <w:t>Senior Vice President and Controller</w:t>
            </w:r>
          </w:p>
        </w:tc>
      </w:tr>
      <w:tr>
        <w:trPr>
          <w:trHeight w:val="217"/>
        </w:trPr>
        <w:tc>
          <w:tcPr>
            <w:tcW w:w="4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r>
      <w:tr>
        <w:trPr>
          <w:trHeight w:val="270"/>
        </w:trPr>
        <w:tc>
          <w:tcPr>
            <w:tcW w:w="6400" w:type="dxa"/>
            <w:vAlign w:val="bottom"/>
            <w:gridSpan w:val="2"/>
          </w:tcPr>
          <w:p>
            <w:pPr>
              <w:jc w:val="center"/>
              <w:ind w:right="1480"/>
              <w:spacing w:after="0"/>
              <w:rPr>
                <w:sz w:val="20"/>
                <w:szCs w:val="20"/>
                <w:color w:val="auto"/>
              </w:rPr>
            </w:pPr>
            <w:r>
              <w:rPr>
                <w:rFonts w:ascii="Arial" w:cs="Arial" w:eastAsia="Arial" w:hAnsi="Arial"/>
                <w:sz w:val="18"/>
                <w:szCs w:val="18"/>
                <w:color w:val="auto"/>
                <w:w w:val="99"/>
              </w:rPr>
              <w:t>(Principal Financial Officer)</w:t>
            </w: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17, 2015</w:t>
            </w:r>
          </w:p>
        </w:tc>
      </w:tr>
      <w:tr>
        <w:trPr>
          <w:trHeight w:val="257"/>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December 17, 2015</w:t>
            </w:r>
          </w:p>
        </w:tc>
        <w:tc>
          <w:tcPr>
            <w:tcW w:w="5020" w:type="dxa"/>
            <w:vAlign w:val="bottom"/>
          </w:tcPr>
          <w:p>
            <w:pPr>
              <w:spacing w:after="0"/>
              <w:rPr>
                <w:sz w:val="22"/>
                <w:szCs w:val="22"/>
                <w:color w:val="auto"/>
              </w:rPr>
            </w:pPr>
          </w:p>
        </w:tc>
      </w:tr>
      <w:tr>
        <w:trPr>
          <w:trHeight w:val="60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Maryellen C. Herringer</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Linda Chavez</w:t>
            </w:r>
          </w:p>
        </w:tc>
      </w:tr>
      <w:tr>
        <w:trPr>
          <w:trHeight w:val="243"/>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rPr>
              <w:t>Maryellen C. Herringer</w:t>
            </w:r>
          </w:p>
        </w:tc>
        <w:tc>
          <w:tcPr>
            <w:tcW w:w="5020" w:type="dxa"/>
            <w:vAlign w:val="bottom"/>
          </w:tcPr>
          <w:p>
            <w:pPr>
              <w:jc w:val="center"/>
              <w:spacing w:after="0"/>
              <w:rPr>
                <w:sz w:val="20"/>
                <w:szCs w:val="20"/>
                <w:color w:val="auto"/>
              </w:rPr>
            </w:pPr>
            <w:r>
              <w:rPr>
                <w:rFonts w:ascii="Arial" w:cs="Arial" w:eastAsia="Arial" w:hAnsi="Arial"/>
                <w:sz w:val="18"/>
                <w:szCs w:val="18"/>
                <w:color w:val="auto"/>
              </w:rPr>
              <w:t>Linda Chavez, Director</w:t>
            </w:r>
          </w:p>
        </w:tc>
      </w:tr>
      <w:tr>
        <w:trPr>
          <w:trHeight w:val="270"/>
        </w:trPr>
        <w:tc>
          <w:tcPr>
            <w:tcW w:w="6400" w:type="dxa"/>
            <w:vAlign w:val="bottom"/>
            <w:gridSpan w:val="2"/>
          </w:tcPr>
          <w:p>
            <w:pPr>
              <w:jc w:val="center"/>
              <w:ind w:right="1480"/>
              <w:spacing w:after="0"/>
              <w:rPr>
                <w:sz w:val="20"/>
                <w:szCs w:val="20"/>
                <w:color w:val="auto"/>
              </w:rPr>
            </w:pPr>
            <w:r>
              <w:rPr>
                <w:rFonts w:ascii="Arial" w:cs="Arial" w:eastAsia="Arial" w:hAnsi="Arial"/>
                <w:sz w:val="18"/>
                <w:szCs w:val="18"/>
                <w:color w:val="auto"/>
                <w:w w:val="99"/>
              </w:rPr>
              <w:t>Chairman of the Board and Director</w:t>
            </w: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17, 2015</w:t>
            </w:r>
          </w:p>
        </w:tc>
      </w:tr>
      <w:tr>
        <w:trPr>
          <w:trHeight w:val="257"/>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December 17, 2015</w:t>
            </w:r>
          </w:p>
        </w:tc>
        <w:tc>
          <w:tcPr>
            <w:tcW w:w="5020" w:type="dxa"/>
            <w:vAlign w:val="bottom"/>
          </w:tcPr>
          <w:p>
            <w:pPr>
              <w:spacing w:after="0"/>
              <w:rPr>
                <w:sz w:val="22"/>
                <w:szCs w:val="22"/>
                <w:color w:val="auto"/>
              </w:rPr>
            </w:pPr>
          </w:p>
        </w:tc>
      </w:tr>
      <w:tr>
        <w:trPr>
          <w:trHeight w:val="601"/>
        </w:trPr>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 Philip Ferguson</w:t>
            </w:r>
          </w:p>
        </w:tc>
        <w:tc>
          <w:tcPr>
            <w:tcW w:w="148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Anthony G. Fernandes</w:t>
            </w:r>
          </w:p>
        </w:tc>
      </w:tr>
      <w:tr>
        <w:trPr>
          <w:trHeight w:val="243"/>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rPr>
              <w:t>J. Philip Ferguson, Director</w:t>
            </w: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Anthony G. Fernandes, Director</w:t>
            </w:r>
          </w:p>
        </w:tc>
      </w:tr>
      <w:tr>
        <w:trPr>
          <w:trHeight w:val="257"/>
        </w:trPr>
        <w:tc>
          <w:tcPr>
            <w:tcW w:w="6400" w:type="dxa"/>
            <w:vAlign w:val="bottom"/>
            <w:gridSpan w:val="2"/>
          </w:tcPr>
          <w:p>
            <w:pPr>
              <w:jc w:val="center"/>
              <w:ind w:right="1460"/>
              <w:spacing w:after="0"/>
              <w:rPr>
                <w:sz w:val="20"/>
                <w:szCs w:val="20"/>
                <w:color w:val="auto"/>
              </w:rPr>
            </w:pPr>
            <w:r>
              <w:rPr>
                <w:rFonts w:ascii="Arial" w:cs="Arial" w:eastAsia="Arial" w:hAnsi="Arial"/>
                <w:sz w:val="18"/>
                <w:szCs w:val="18"/>
                <w:color w:val="auto"/>
                <w:w w:val="99"/>
              </w:rPr>
              <w:t>December 17, 2015</w:t>
            </w: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December 17, 2015</w:t>
            </w:r>
          </w:p>
        </w:tc>
      </w:tr>
      <w:tr>
        <w:trPr>
          <w:trHeight w:val="594"/>
        </w:trPr>
        <w:tc>
          <w:tcPr>
            <w:tcW w:w="4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rPr>
              <w:t>/s/ Luke S. Helms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67"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Thomas M. Gartland, Director</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8"/>
          <w:szCs w:val="18"/>
          <w:color w:val="auto"/>
        </w:rPr>
        <w:t>December 17, 2015</w:t>
      </w:r>
    </w:p>
    <w:p>
      <w:pPr>
        <w:spacing w:after="0" w:line="38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Sudhakar Kesavan,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2015</w:t>
      </w:r>
    </w:p>
    <w:p>
      <w:pPr>
        <w:spacing w:after="0" w:line="33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William W.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216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William W. Steele, Director</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2015</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Luke S. Helms, Director</w:t>
      </w:r>
    </w:p>
    <w:p>
      <w:pPr>
        <w:spacing w:after="0" w:line="50"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December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400685</wp:posOffset>
            </wp:positionV>
            <wp:extent cx="31813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Lauralee E. Martin, Director</w:t>
      </w:r>
    </w:p>
    <w:p>
      <w:pPr>
        <w:spacing w:after="0" w:line="61"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December 17, 2015</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 Winifred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23495</wp:posOffset>
            </wp:positionV>
            <wp:extent cx="31813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Winifred M. Webb, Director</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17, 2015</w:t>
      </w:r>
    </w:p>
    <w:p>
      <w:pPr>
        <w:spacing w:after="0" w:line="200" w:lineRule="exact"/>
        <w:rPr>
          <w:sz w:val="20"/>
          <w:szCs w:val="20"/>
          <w:color w:val="auto"/>
        </w:rPr>
      </w:pPr>
    </w:p>
    <w:p>
      <w:pPr>
        <w:sectPr>
          <w:pgSz w:w="11900" w:h="16838" w:orient="portrait"/>
          <w:cols w:equalWidth="0" w:num="2">
            <w:col w:w="7100" w:space="720"/>
            <w:col w:w="3600"/>
          </w:cols>
          <w:pgMar w:left="240" w:top="360" w:right="2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360"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Charges to</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ind w:left="200"/>
              <w:spacing w:after="0" w:line="202" w:lineRule="exact"/>
              <w:rPr>
                <w:sz w:val="20"/>
                <w:szCs w:val="20"/>
                <w:color w:val="auto"/>
              </w:rPr>
            </w:pPr>
            <w:r>
              <w:rPr>
                <w:rFonts w:ascii="Arial" w:cs="Arial" w:eastAsia="Arial" w:hAnsi="Arial"/>
                <w:sz w:val="18"/>
                <w:szCs w:val="18"/>
                <w:b w:val="1"/>
                <w:bCs w:val="1"/>
                <w:color w:val="auto"/>
              </w:rPr>
              <w:t>Balance</w:t>
            </w:r>
          </w:p>
        </w:tc>
        <w:tc>
          <w:tcPr>
            <w:tcW w:w="18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Costs and</w:t>
            </w:r>
          </w:p>
        </w:tc>
        <w:tc>
          <w:tcPr>
            <w:tcW w:w="18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Write-offs* /</w:t>
            </w:r>
          </w:p>
        </w:tc>
        <w:tc>
          <w:tcPr>
            <w:tcW w:w="240" w:type="dxa"/>
            <w:vAlign w:val="bottom"/>
          </w:tcPr>
          <w:p>
            <w:pPr>
              <w:spacing w:after="0"/>
              <w:rPr>
                <w:sz w:val="17"/>
                <w:szCs w:val="17"/>
                <w:color w:val="auto"/>
              </w:rPr>
            </w:pPr>
          </w:p>
        </w:tc>
        <w:tc>
          <w:tcPr>
            <w:tcW w:w="14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Balance</w:t>
            </w:r>
          </w:p>
        </w:tc>
      </w:tr>
      <w:tr>
        <w:trPr>
          <w:trHeight w:val="212"/>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Beginning of Year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Expenses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Allowance Taken</w:t>
            </w:r>
          </w:p>
        </w:tc>
        <w:tc>
          <w:tcPr>
            <w:tcW w:w="24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End of Year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63"/>
        </w:trPr>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2014</w:t>
            </w:r>
          </w:p>
        </w:tc>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7"/>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3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Write-offs are net of recoveries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19"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9"/>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4800" w:type="dxa"/>
            <w:vAlign w:val="bottom"/>
            <w:gridSpan w:val="2"/>
          </w:tcPr>
          <w:p>
            <w:pPr>
              <w:ind w:left="1520"/>
              <w:spacing w:after="0"/>
              <w:rPr>
                <w:sz w:val="20"/>
                <w:szCs w:val="20"/>
                <w:color w:val="auto"/>
              </w:rPr>
            </w:pPr>
            <w:r>
              <w:rPr>
                <w:rFonts w:ascii="Arial" w:cs="Arial" w:eastAsia="Arial" w:hAnsi="Arial"/>
                <w:sz w:val="18"/>
                <w:szCs w:val="18"/>
                <w:b w:val="1"/>
                <w:bCs w:val="1"/>
                <w:color w:val="auto"/>
              </w:rPr>
              <w:t>Exhibit Description</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5"/>
          </w:tcPr>
          <w:p>
            <w:pPr>
              <w:ind w:left="7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Form</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File No.</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Agreement and Plan of Merger, dated December 1, 2010,</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by and among ABM Industries Incorporated, Lighting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Services, LLC, The Linc Group, LLC and GI Manager L.P.</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ABM Industries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2004</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Incorporated, dated November 25, 2003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Bylaws, as amended October 27, 2015</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October 28, 2015</w:t>
            </w:r>
          </w:p>
        </w:tc>
        <w:tc>
          <w:tcPr>
            <w:tcW w:w="0" w:type="dxa"/>
            <w:vAlign w:val="bottom"/>
          </w:tcPr>
          <w:p>
            <w:pPr>
              <w:spacing w:after="0"/>
              <w:rPr>
                <w:sz w:val="1"/>
                <w:szCs w:val="1"/>
                <w:color w:val="auto"/>
              </w:rPr>
            </w:pPr>
          </w:p>
        </w:tc>
      </w:tr>
      <w:tr>
        <w:trPr>
          <w:trHeight w:val="445"/>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Credit Agreement, dated as of November 30, 2010,</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among ABM Industries Incorporated, various financial</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institutions and Bank of America, N.A., as Administrative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First Amendment, dated as of June 3, 2011, to the Credit</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9, 2011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Agreement dated as of November 30, 2010, among ABM</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Industries Incorporated, various financial institutions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Repricing Amendment, dated September 8, 2011,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September 13, 2011</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Third Amendment, dated as of December 11, 2013,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12, 2013</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Fourth Amendment, dated as of December 5, 2014, to the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17, 2014</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Fifth Amendment, dated as of February 17, 2015, to the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March 4, 2015</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Sixth Amendment, dated as of September 2, 2015, to the</w:t>
            </w: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3, 2015</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ABM Executive Retiree Healthcare and Dental Plan</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2005</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Director Retirement Plan Distribution Election Form, as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8, 2006</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revised June 16, 2006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Arrangements With Non-Employee Directors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20, 2012</w:t>
            </w:r>
          </w:p>
        </w:tc>
        <w:tc>
          <w:tcPr>
            <w:tcW w:w="0" w:type="dxa"/>
            <w:vAlign w:val="bottom"/>
          </w:tcPr>
          <w:p>
            <w:pPr>
              <w:spacing w:after="0"/>
              <w:rPr>
                <w:sz w:val="1"/>
                <w:szCs w:val="1"/>
                <w:color w:val="auto"/>
              </w:rPr>
            </w:pP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 for Non-Employee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23, 2010</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Directors, as amended and restated December 13, 2010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1160" w:type="dxa"/>
            <w:vAlign w:val="bottom"/>
          </w:tcPr>
          <w:p>
            <w:pPr>
              <w:spacing w:after="0"/>
              <w:rPr>
                <w:sz w:val="24"/>
                <w:szCs w:val="24"/>
                <w:color w:val="auto"/>
              </w:rPr>
            </w:pPr>
          </w:p>
        </w:tc>
        <w:tc>
          <w:tcPr>
            <w:tcW w:w="4800" w:type="dxa"/>
            <w:vAlign w:val="bottom"/>
            <w:gridSpan w:val="2"/>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10.12*</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Director’s Indemnification Agreement</w:t>
            </w:r>
          </w:p>
        </w:tc>
      </w:tr>
      <w:tr>
        <w:trPr>
          <w:trHeight w:val="25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10.13*</w:t>
            </w:r>
          </w:p>
        </w:tc>
        <w:tc>
          <w:tcPr>
            <w:tcW w:w="5000" w:type="dxa"/>
            <w:vAlign w:val="bottom"/>
          </w:tcPr>
          <w:p>
            <w:pPr>
              <w:ind w:left="360"/>
              <w:spacing w:after="0"/>
              <w:rPr>
                <w:sz w:val="20"/>
                <w:szCs w:val="20"/>
                <w:color w:val="auto"/>
              </w:rPr>
            </w:pPr>
            <w:r>
              <w:rPr>
                <w:rFonts w:ascii="Arial" w:cs="Arial" w:eastAsia="Arial" w:hAnsi="Arial"/>
                <w:sz w:val="18"/>
                <w:szCs w:val="18"/>
                <w:color w:val="auto"/>
              </w:rPr>
              <w:t>ABM Executive Officer Incentive Plan, as amended and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restated June 3, 2008</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10.14*</w:t>
            </w:r>
          </w:p>
        </w:tc>
        <w:tc>
          <w:tcPr>
            <w:tcW w:w="5000" w:type="dxa"/>
            <w:vAlign w:val="bottom"/>
          </w:tcPr>
          <w:p>
            <w:pPr>
              <w:ind w:left="360"/>
              <w:spacing w:after="0"/>
              <w:rPr>
                <w:sz w:val="20"/>
                <w:szCs w:val="20"/>
                <w:color w:val="auto"/>
              </w:rPr>
            </w:pPr>
            <w:r>
              <w:rPr>
                <w:rFonts w:ascii="Arial" w:cs="Arial" w:eastAsia="Arial" w:hAnsi="Arial"/>
                <w:sz w:val="18"/>
                <w:szCs w:val="18"/>
                <w:color w:val="auto"/>
              </w:rPr>
              <w:t>2006 Equity Incentive Plan, as amended and restated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March 4, 2015</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10.15*</w:t>
            </w:r>
          </w:p>
        </w:tc>
        <w:tc>
          <w:tcPr>
            <w:tcW w:w="5000" w:type="dxa"/>
            <w:vAlign w:val="bottom"/>
          </w:tcPr>
          <w:p>
            <w:pPr>
              <w:ind w:left="36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and Restricted Stock Units, and</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Performance Shares Granted to Employees Pursuant to</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the 2006 Equity Incentive Plan, as amended and restated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December 9, 2013</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10.16*</w:t>
            </w:r>
          </w:p>
        </w:tc>
        <w:tc>
          <w:tcPr>
            <w:tcW w:w="5000" w:type="dxa"/>
            <w:vAlign w:val="bottom"/>
          </w:tcPr>
          <w:p>
            <w:pPr>
              <w:ind w:left="36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and Restricted Stock Units, and</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Performance Shares Granted to Employees Pursuant to</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the 2006 Equity Incentive Plan, for Awards Granted on or</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after March 4, 2015</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10.17*</w:t>
            </w:r>
          </w:p>
        </w:tc>
        <w:tc>
          <w:tcPr>
            <w:tcW w:w="5000" w:type="dxa"/>
            <w:vAlign w:val="bottom"/>
          </w:tcPr>
          <w:p>
            <w:pPr>
              <w:ind w:left="36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and Restricted Stock Units Granted to</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Directors Pursuant to the 2006 Equity Incentive Plan, as</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amended and restated December 9, 2013</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10.18*</w:t>
            </w:r>
          </w:p>
        </w:tc>
        <w:tc>
          <w:tcPr>
            <w:tcW w:w="5000" w:type="dxa"/>
            <w:vAlign w:val="bottom"/>
          </w:tcPr>
          <w:p>
            <w:pPr>
              <w:ind w:left="360"/>
              <w:spacing w:after="0"/>
              <w:rPr>
                <w:sz w:val="20"/>
                <w:szCs w:val="20"/>
                <w:color w:val="auto"/>
              </w:rPr>
            </w:pPr>
            <w:r>
              <w:rPr>
                <w:rFonts w:ascii="Arial" w:cs="Arial" w:eastAsia="Arial" w:hAnsi="Arial"/>
                <w:sz w:val="18"/>
                <w:szCs w:val="18"/>
                <w:color w:val="auto"/>
                <w:w w:val="99"/>
              </w:rPr>
              <w:t>Statement of Terms and Conditions Applicable to Options,</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and Restricted Stock Units Granted to</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Directors Pursuant to the 2006 Equity Incentive Plan, for</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Awards Granted on or after March 4, 2015</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10.19*</w:t>
            </w:r>
          </w:p>
        </w:tc>
        <w:tc>
          <w:tcPr>
            <w:tcW w:w="5000" w:type="dxa"/>
            <w:vAlign w:val="bottom"/>
          </w:tcPr>
          <w:p>
            <w:pPr>
              <w:ind w:left="360"/>
              <w:spacing w:after="0"/>
              <w:rPr>
                <w:sz w:val="20"/>
                <w:szCs w:val="20"/>
                <w:color w:val="auto"/>
              </w:rPr>
            </w:pPr>
            <w:r>
              <w:rPr>
                <w:rFonts w:ascii="Arial" w:cs="Arial" w:eastAsia="Arial" w:hAnsi="Arial"/>
                <w:sz w:val="18"/>
                <w:szCs w:val="18"/>
                <w:color w:val="auto"/>
              </w:rPr>
              <w:t>Statement of Terms and Conditions Applicable to</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Units Granted Pursuant to the 2006</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Equity Incentive Plan to Directors Who Elect to Relinquish</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Their Benefits Effective November 1, 2006, as amended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and restated September 8, 2010</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10.20*</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Non-Qualified Stock Option Agreement – 2006</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Equity Plan</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10.21*</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Restricted Stock Unit Agreement – 2006 Equity</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Plan</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10.22*</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Performance Share Agreement – 2006 Equity</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Plan</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10.23*</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Performance Share Agreement for Awards to</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Certain Executive Officers</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10.24*</w:t>
            </w:r>
          </w:p>
        </w:tc>
        <w:tc>
          <w:tcPr>
            <w:tcW w:w="5000" w:type="dxa"/>
            <w:vAlign w:val="bottom"/>
          </w:tcPr>
          <w:p>
            <w:pPr>
              <w:ind w:left="360"/>
              <w:spacing w:after="0"/>
              <w:rPr>
                <w:sz w:val="20"/>
                <w:szCs w:val="20"/>
                <w:color w:val="auto"/>
              </w:rPr>
            </w:pPr>
            <w:r>
              <w:rPr>
                <w:rFonts w:ascii="Arial" w:cs="Arial" w:eastAsia="Arial" w:hAnsi="Arial"/>
                <w:sz w:val="18"/>
                <w:szCs w:val="18"/>
                <w:color w:val="auto"/>
              </w:rPr>
              <w:t>Executive Stock Option Plan (a.k.a. Age-Vested Career</w:t>
            </w:r>
          </w:p>
        </w:tc>
      </w:tr>
      <w:tr>
        <w:trPr>
          <w:trHeight w:val="203"/>
        </w:trPr>
        <w:tc>
          <w:tcPr>
            <w:tcW w:w="900" w:type="dxa"/>
            <w:vAlign w:val="bottom"/>
          </w:tcPr>
          <w:p>
            <w:pPr>
              <w:spacing w:after="0"/>
              <w:rPr>
                <w:sz w:val="17"/>
                <w:szCs w:val="17"/>
                <w:color w:val="auto"/>
              </w:rPr>
            </w:pPr>
          </w:p>
        </w:tc>
        <w:tc>
          <w:tcPr>
            <w:tcW w:w="5000" w:type="dxa"/>
            <w:vAlign w:val="bottom"/>
          </w:tcPr>
          <w:p>
            <w:pPr>
              <w:ind w:left="360"/>
              <w:spacing w:after="0" w:line="202" w:lineRule="exact"/>
              <w:rPr>
                <w:sz w:val="20"/>
                <w:szCs w:val="20"/>
                <w:color w:val="auto"/>
              </w:rPr>
            </w:pPr>
            <w:r>
              <w:rPr>
                <w:rFonts w:ascii="Arial" w:cs="Arial" w:eastAsia="Arial" w:hAnsi="Arial"/>
                <w:sz w:val="18"/>
                <w:szCs w:val="18"/>
                <w:color w:val="auto"/>
              </w:rPr>
              <w:t>Stock Option Plan), as amended and restated June 4,</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2012</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10.25*</w:t>
            </w:r>
          </w:p>
        </w:tc>
        <w:tc>
          <w:tcPr>
            <w:tcW w:w="5000" w:type="dxa"/>
            <w:vAlign w:val="bottom"/>
          </w:tcPr>
          <w:p>
            <w:pPr>
              <w:ind w:left="360"/>
              <w:spacing w:after="0"/>
              <w:rPr>
                <w:sz w:val="20"/>
                <w:szCs w:val="20"/>
                <w:color w:val="auto"/>
              </w:rPr>
            </w:pPr>
            <w:r>
              <w:rPr>
                <w:rFonts w:ascii="Arial" w:cs="Arial" w:eastAsia="Arial" w:hAnsi="Arial"/>
                <w:sz w:val="18"/>
                <w:szCs w:val="18"/>
                <w:color w:val="auto"/>
              </w:rPr>
              <w:t>Time-Vested Incentive Stock Option Plan, as amended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and restated September 4, 2007</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10.26*</w:t>
            </w:r>
          </w:p>
        </w:tc>
        <w:tc>
          <w:tcPr>
            <w:tcW w:w="5000" w:type="dxa"/>
            <w:vAlign w:val="bottom"/>
          </w:tcPr>
          <w:p>
            <w:pPr>
              <w:ind w:left="360"/>
              <w:spacing w:after="0"/>
              <w:rPr>
                <w:sz w:val="20"/>
                <w:szCs w:val="20"/>
                <w:color w:val="auto"/>
              </w:rPr>
            </w:pPr>
            <w:r>
              <w:rPr>
                <w:rFonts w:ascii="Arial" w:cs="Arial" w:eastAsia="Arial" w:hAnsi="Arial"/>
                <w:sz w:val="18"/>
                <w:szCs w:val="18"/>
                <w:color w:val="auto"/>
              </w:rPr>
              <w:t>1996 Price-Vested Performance Stock Option Plan, as</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amended and restated September 4, 2007</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10.27*</w:t>
            </w:r>
          </w:p>
        </w:tc>
        <w:tc>
          <w:tcPr>
            <w:tcW w:w="5000" w:type="dxa"/>
            <w:vAlign w:val="bottom"/>
          </w:tcPr>
          <w:p>
            <w:pPr>
              <w:ind w:left="360"/>
              <w:spacing w:after="0"/>
              <w:rPr>
                <w:sz w:val="20"/>
                <w:szCs w:val="20"/>
                <w:color w:val="auto"/>
              </w:rPr>
            </w:pPr>
            <w:r>
              <w:rPr>
                <w:rFonts w:ascii="Arial" w:cs="Arial" w:eastAsia="Arial" w:hAnsi="Arial"/>
                <w:sz w:val="18"/>
                <w:szCs w:val="18"/>
                <w:color w:val="auto"/>
              </w:rPr>
              <w:t>2002 Price-Vested Performance Stock Option Plan, as</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amended and restated September 4, 2007</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10.28*</w:t>
            </w:r>
          </w:p>
        </w:tc>
        <w:tc>
          <w:tcPr>
            <w:tcW w:w="5000" w:type="dxa"/>
            <w:vAlign w:val="bottom"/>
          </w:tcPr>
          <w:p>
            <w:pPr>
              <w:ind w:left="360"/>
              <w:spacing w:after="0"/>
              <w:rPr>
                <w:sz w:val="20"/>
                <w:szCs w:val="20"/>
                <w:color w:val="auto"/>
              </w:rPr>
            </w:pPr>
            <w:r>
              <w:rPr>
                <w:rFonts w:ascii="Arial" w:cs="Arial" w:eastAsia="Arial" w:hAnsi="Arial"/>
                <w:sz w:val="18"/>
                <w:szCs w:val="18"/>
                <w:color w:val="auto"/>
              </w:rPr>
              <w:t>Deferred Compensation Plan for Executives, amended</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and restated October 25, 2010</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10.29*</w:t>
            </w:r>
          </w:p>
        </w:tc>
        <w:tc>
          <w:tcPr>
            <w:tcW w:w="5000" w:type="dxa"/>
            <w:vAlign w:val="bottom"/>
          </w:tcPr>
          <w:p>
            <w:pPr>
              <w:ind w:left="360"/>
              <w:spacing w:after="0"/>
              <w:rPr>
                <w:sz w:val="20"/>
                <w:szCs w:val="20"/>
                <w:color w:val="auto"/>
              </w:rPr>
            </w:pPr>
            <w:r>
              <w:rPr>
                <w:rFonts w:ascii="Arial" w:cs="Arial" w:eastAsia="Arial" w:hAnsi="Arial"/>
                <w:sz w:val="18"/>
                <w:szCs w:val="18"/>
                <w:color w:val="auto"/>
                <w:w w:val="99"/>
              </w:rPr>
              <w:t>Form of Restricted Stock Unit Agreement dated March 31,</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2010 for Awards to Certain Executive Officers</w:t>
            </w: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10.30*</w:t>
            </w:r>
          </w:p>
        </w:tc>
        <w:tc>
          <w:tcPr>
            <w:tcW w:w="5000" w:type="dxa"/>
            <w:vAlign w:val="bottom"/>
          </w:tcPr>
          <w:p>
            <w:pPr>
              <w:ind w:left="360"/>
              <w:spacing w:after="0"/>
              <w:rPr>
                <w:sz w:val="20"/>
                <w:szCs w:val="20"/>
                <w:color w:val="auto"/>
              </w:rPr>
            </w:pPr>
            <w:r>
              <w:rPr>
                <w:rFonts w:ascii="Arial" w:cs="Arial" w:eastAsia="Arial" w:hAnsi="Arial"/>
                <w:sz w:val="18"/>
                <w:szCs w:val="18"/>
                <w:color w:val="auto"/>
              </w:rPr>
              <w:t>Form of Stock Option Agreement dated March 31, 2010</w:t>
            </w:r>
          </w:p>
        </w:tc>
      </w:tr>
      <w:tr>
        <w:trPr>
          <w:trHeight w:val="217"/>
        </w:trPr>
        <w:tc>
          <w:tcPr>
            <w:tcW w:w="90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for Awards to Certain Executive Officers</w:t>
            </w:r>
          </w:p>
        </w:tc>
      </w:tr>
      <w:tr>
        <w:trPr>
          <w:trHeight w:val="473"/>
        </w:trPr>
        <w:tc>
          <w:tcPr>
            <w:tcW w:w="900" w:type="dxa"/>
            <w:vAlign w:val="bottom"/>
          </w:tcPr>
          <w:p>
            <w:pPr>
              <w:spacing w:after="0"/>
              <w:rPr>
                <w:sz w:val="24"/>
                <w:szCs w:val="24"/>
                <w:color w:val="auto"/>
              </w:rPr>
            </w:pPr>
          </w:p>
        </w:tc>
        <w:tc>
          <w:tcPr>
            <w:tcW w:w="5000" w:type="dxa"/>
            <w:vAlign w:val="bottom"/>
          </w:tcPr>
          <w:p>
            <w:pPr>
              <w:ind w:left="4640"/>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4, 2015</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12, 2013</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86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1067"/>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6, 2012</w:t>
            </w:r>
          </w:p>
        </w:tc>
      </w:tr>
      <w:tr>
        <w:trPr>
          <w:trHeight w:val="662"/>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bl>
    <w:p>
      <w:pPr>
        <w:sectPr>
          <w:pgSz w:w="11900" w:h="16838" w:orient="portrait"/>
          <w:cols w:equalWidth="0" w:num="2">
            <w:col w:w="5900" w:space="280"/>
            <w:col w:w="4940"/>
          </w:cols>
          <w:pgMar w:left="280" w:top="544" w:right="49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10.31*</w:t>
            </w:r>
          </w:p>
        </w:tc>
        <w:tc>
          <w:tcPr>
            <w:tcW w:w="5120" w:type="dxa"/>
            <w:vAlign w:val="bottom"/>
          </w:tcPr>
          <w:p>
            <w:pPr>
              <w:ind w:left="360"/>
              <w:spacing w:after="0"/>
              <w:rPr>
                <w:sz w:val="20"/>
                <w:szCs w:val="20"/>
                <w:color w:val="auto"/>
              </w:rPr>
            </w:pPr>
            <w:r>
              <w:rPr>
                <w:rFonts w:ascii="Arial" w:cs="Arial" w:eastAsia="Arial" w:hAnsi="Arial"/>
                <w:sz w:val="18"/>
                <w:szCs w:val="18"/>
                <w:color w:val="auto"/>
              </w:rPr>
              <w:t>Supplemental Executive Retirement Plan, as amended</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and restated June 3, 2008</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10.32*</w:t>
            </w:r>
          </w:p>
        </w:tc>
        <w:tc>
          <w:tcPr>
            <w:tcW w:w="5120" w:type="dxa"/>
            <w:vAlign w:val="bottom"/>
          </w:tcPr>
          <w:p>
            <w:pPr>
              <w:ind w:left="360"/>
              <w:spacing w:after="0"/>
              <w:rPr>
                <w:sz w:val="20"/>
                <w:szCs w:val="20"/>
                <w:color w:val="auto"/>
              </w:rPr>
            </w:pPr>
            <w:r>
              <w:rPr>
                <w:rFonts w:ascii="Arial" w:cs="Arial" w:eastAsia="Arial" w:hAnsi="Arial"/>
                <w:sz w:val="18"/>
                <w:szCs w:val="18"/>
                <w:color w:val="auto"/>
              </w:rPr>
              <w:t>Service Award Benefit Plan, as amended and restated</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10.5</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June 3, 2008</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10.33*</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Severance Pay Policy, as amended and</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March 10, 2011</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restated March 7, 2011</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10.34*</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and Restated Employment Agreement dated</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July 18, 2013</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July 16, 2013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Henrik C. Slipsager</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10.35*</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James S.</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Lusk, James P. McClure, Sarah H. McConnell, and Tracy</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K. Price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59"/>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10.36*</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term)</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70"/>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10.37*</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(without term)</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30, 2012</w:t>
            </w:r>
          </w:p>
        </w:tc>
      </w:tr>
      <w:tr>
        <w:trPr>
          <w:trHeight w:val="25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10.38*</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Amended and Restated Executive Change in</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31, 2008</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Control Agreement with Henrik C. Slipsager, James 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Lusk, and James P. McClure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10.39*</w:t>
            </w:r>
          </w:p>
        </w:tc>
        <w:tc>
          <w:tcPr>
            <w:tcW w:w="5120" w:type="dxa"/>
            <w:vAlign w:val="bottom"/>
          </w:tcPr>
          <w:p>
            <w:pPr>
              <w:ind w:left="360"/>
              <w:spacing w:after="0"/>
              <w:rPr>
                <w:sz w:val="20"/>
                <w:szCs w:val="20"/>
                <w:color w:val="auto"/>
              </w:rPr>
            </w:pPr>
            <w:r>
              <w:rPr>
                <w:rFonts w:ascii="Arial" w:cs="Arial" w:eastAsia="Arial" w:hAnsi="Arial"/>
                <w:sz w:val="18"/>
                <w:szCs w:val="18"/>
                <w:color w:val="auto"/>
              </w:rPr>
              <w:t>Form of Amended Executive Employment Agreement with</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10.4</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James P. McClure and Tracy K. Price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45"/>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10.40*</w:t>
            </w:r>
          </w:p>
        </w:tc>
        <w:tc>
          <w:tcPr>
            <w:tcW w:w="5120" w:type="dxa"/>
            <w:vAlign w:val="bottom"/>
          </w:tcPr>
          <w:p>
            <w:pPr>
              <w:ind w:left="360"/>
              <w:spacing w:after="0"/>
              <w:rPr>
                <w:sz w:val="20"/>
                <w:szCs w:val="20"/>
                <w:color w:val="auto"/>
              </w:rPr>
            </w:pPr>
            <w:r>
              <w:rPr>
                <w:rFonts w:ascii="Arial" w:cs="Arial" w:eastAsia="Arial" w:hAnsi="Arial"/>
                <w:sz w:val="18"/>
                <w:szCs w:val="18"/>
                <w:color w:val="auto"/>
              </w:rPr>
              <w:t>Annex A for Change in Control Agreement for Henrik C.</w:t>
            </w:r>
          </w:p>
        </w:tc>
        <w:tc>
          <w:tcPr>
            <w:tcW w:w="820" w:type="dxa"/>
            <w:vAlign w:val="bottom"/>
          </w:tcPr>
          <w:p>
            <w:pPr>
              <w:jc w:val="center"/>
              <w:spacing w:after="0"/>
              <w:rPr>
                <w:sz w:val="20"/>
                <w:szCs w:val="20"/>
                <w:color w:val="auto"/>
              </w:rPr>
            </w:pPr>
            <w:r>
              <w:rPr>
                <w:rFonts w:ascii="Arial" w:cs="Arial" w:eastAsia="Arial" w:hAnsi="Arial"/>
                <w:sz w:val="18"/>
                <w:szCs w:val="18"/>
                <w:color w:val="auto"/>
              </w:rPr>
              <w:t>8-K/A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January 5, 2009</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Slipsager</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10.41*</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Change in Control Agreement with Sarah H.</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22, 2009</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McConnell</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10.42*</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Change in Control Agreement with Tracy K.</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10.37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2011</w:t>
            </w: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Price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10.43*</w:t>
            </w:r>
          </w:p>
        </w:tc>
        <w:tc>
          <w:tcPr>
            <w:tcW w:w="5120" w:type="dxa"/>
            <w:vAlign w:val="bottom"/>
          </w:tcPr>
          <w:p>
            <w:pPr>
              <w:ind w:left="360"/>
              <w:spacing w:after="0"/>
              <w:rPr>
                <w:sz w:val="20"/>
                <w:szCs w:val="20"/>
                <w:color w:val="auto"/>
              </w:rPr>
            </w:pPr>
            <w:r>
              <w:rPr>
                <w:rFonts w:ascii="Arial" w:cs="Arial" w:eastAsia="Arial" w:hAnsi="Arial"/>
                <w:sz w:val="18"/>
                <w:szCs w:val="18"/>
                <w:color w:val="auto"/>
              </w:rPr>
              <w:t>Letter Agreement, dated as of January 12, 2015, by and</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between ABM Industries Incorporated and Henrik C.</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Slipsager</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10.44*</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Employment Agreement, dated as of January</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12, 2015, by and between ABM Industries Incorporated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and Scott Salmirs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10.45*</w:t>
            </w:r>
          </w:p>
        </w:tc>
        <w:tc>
          <w:tcPr>
            <w:tcW w:w="5120" w:type="dxa"/>
            <w:vAlign w:val="bottom"/>
          </w:tcPr>
          <w:p>
            <w:pPr>
              <w:ind w:left="360"/>
              <w:spacing w:after="0"/>
              <w:rPr>
                <w:sz w:val="20"/>
                <w:szCs w:val="20"/>
                <w:color w:val="auto"/>
              </w:rPr>
            </w:pPr>
            <w:r>
              <w:rPr>
                <w:rFonts w:ascii="Arial" w:cs="Arial" w:eastAsia="Arial" w:hAnsi="Arial"/>
                <w:sz w:val="18"/>
                <w:szCs w:val="18"/>
                <w:color w:val="auto"/>
              </w:rPr>
              <w:t>Change in Control Agreement, dated as of January 12,</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16,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2015 by and between ABM Industries Incorporated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Scott Salmirs</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10.46*</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Executive Employment Agreement, dated as of</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January 13, 2015,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James P. McClure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10.47*</w:t>
            </w:r>
          </w:p>
        </w:tc>
        <w:tc>
          <w:tcPr>
            <w:tcW w:w="5120" w:type="dxa"/>
            <w:vAlign w:val="bottom"/>
          </w:tcPr>
          <w:p>
            <w:pPr>
              <w:ind w:left="360"/>
              <w:spacing w:after="0"/>
              <w:rPr>
                <w:sz w:val="20"/>
                <w:szCs w:val="20"/>
                <w:color w:val="auto"/>
              </w:rPr>
            </w:pPr>
            <w:r>
              <w:rPr>
                <w:rFonts w:ascii="Arial" w:cs="Arial" w:eastAsia="Arial" w:hAnsi="Arial"/>
                <w:sz w:val="18"/>
                <w:szCs w:val="18"/>
                <w:color w:val="auto"/>
              </w:rPr>
              <w:t>Amended Executive Employment Agreement, dated as of</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10.3</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4,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January 13, 2015, by and between ABM Industries</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Incorporated and Tracy K. Price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10.48*</w:t>
            </w:r>
          </w:p>
        </w:tc>
        <w:tc>
          <w:tcPr>
            <w:tcW w:w="5120" w:type="dxa"/>
            <w:vAlign w:val="bottom"/>
          </w:tcPr>
          <w:p>
            <w:pPr>
              <w:ind w:left="360"/>
              <w:spacing w:after="0"/>
              <w:rPr>
                <w:sz w:val="20"/>
                <w:szCs w:val="20"/>
                <w:color w:val="auto"/>
              </w:rPr>
            </w:pPr>
            <w:r>
              <w:rPr>
                <w:rFonts w:ascii="Arial" w:cs="Arial" w:eastAsia="Arial" w:hAnsi="Arial"/>
                <w:sz w:val="18"/>
                <w:szCs w:val="18"/>
                <w:color w:val="auto"/>
              </w:rPr>
              <w:t>Executive Employment Agreement, dated as of April 6,</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April 10,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2015, by and between ABM Industries Incorporated and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D. Anthony Scaglione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10.49*</w:t>
            </w:r>
          </w:p>
        </w:tc>
        <w:tc>
          <w:tcPr>
            <w:tcW w:w="5120" w:type="dxa"/>
            <w:vAlign w:val="bottom"/>
          </w:tcPr>
          <w:p>
            <w:pPr>
              <w:ind w:left="360"/>
              <w:spacing w:after="0"/>
              <w:rPr>
                <w:sz w:val="20"/>
                <w:szCs w:val="20"/>
                <w:color w:val="auto"/>
              </w:rPr>
            </w:pPr>
            <w:r>
              <w:rPr>
                <w:rFonts w:ascii="Arial" w:cs="Arial" w:eastAsia="Arial" w:hAnsi="Arial"/>
                <w:sz w:val="18"/>
                <w:szCs w:val="18"/>
                <w:color w:val="auto"/>
              </w:rPr>
              <w:t>Change in Control Agreement, dated as of April 6, 2015</w:t>
            </w: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10.2</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April 10,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by and between ABM Industries Incorporated and D.</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Anthony Scaglione</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10.50*</w:t>
            </w:r>
          </w:p>
        </w:tc>
        <w:tc>
          <w:tcPr>
            <w:tcW w:w="5120" w:type="dxa"/>
            <w:vAlign w:val="bottom"/>
          </w:tcPr>
          <w:p>
            <w:pPr>
              <w:ind w:left="360"/>
              <w:spacing w:after="0"/>
              <w:rPr>
                <w:sz w:val="20"/>
                <w:szCs w:val="20"/>
                <w:color w:val="auto"/>
              </w:rPr>
            </w:pPr>
            <w:r>
              <w:rPr>
                <w:rFonts w:ascii="Arial" w:cs="Arial" w:eastAsia="Arial" w:hAnsi="Arial"/>
                <w:sz w:val="18"/>
                <w:szCs w:val="18"/>
                <w:color w:val="auto"/>
              </w:rPr>
              <w:t>Letter Agreement by and between ABM Industries</w:t>
            </w:r>
          </w:p>
        </w:tc>
        <w:tc>
          <w:tcPr>
            <w:tcW w:w="820" w:type="dxa"/>
            <w:vAlign w:val="bottom"/>
          </w:tcPr>
          <w:p>
            <w:pPr>
              <w:jc w:val="center"/>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3, 2015</w:t>
            </w:r>
          </w:p>
        </w:tc>
      </w:tr>
      <w:tr>
        <w:trPr>
          <w:trHeight w:val="203"/>
        </w:trPr>
        <w:tc>
          <w:tcPr>
            <w:tcW w:w="900" w:type="dxa"/>
            <w:vAlign w:val="bottom"/>
          </w:tcPr>
          <w:p>
            <w:pPr>
              <w:spacing w:after="0"/>
              <w:rPr>
                <w:sz w:val="17"/>
                <w:szCs w:val="17"/>
                <w:color w:val="auto"/>
              </w:rPr>
            </w:pPr>
          </w:p>
        </w:tc>
        <w:tc>
          <w:tcPr>
            <w:tcW w:w="5120" w:type="dxa"/>
            <w:vAlign w:val="bottom"/>
          </w:tcPr>
          <w:p>
            <w:pPr>
              <w:ind w:left="360"/>
              <w:spacing w:after="0" w:line="202" w:lineRule="exact"/>
              <w:rPr>
                <w:sz w:val="20"/>
                <w:szCs w:val="20"/>
                <w:color w:val="auto"/>
              </w:rPr>
            </w:pPr>
            <w:r>
              <w:rPr>
                <w:rFonts w:ascii="Arial" w:cs="Arial" w:eastAsia="Arial" w:hAnsi="Arial"/>
                <w:sz w:val="18"/>
                <w:szCs w:val="18"/>
                <w:color w:val="auto"/>
              </w:rPr>
              <w:t>Incorporated and James S. Lusk, executed on April 27,</w:t>
            </w: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8"/>
                <w:szCs w:val="18"/>
                <w:color w:val="auto"/>
              </w:rPr>
              <w:t>2015</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473"/>
        </w:trPr>
        <w:tc>
          <w:tcPr>
            <w:tcW w:w="900" w:type="dxa"/>
            <w:vAlign w:val="bottom"/>
          </w:tcPr>
          <w:p>
            <w:pPr>
              <w:spacing w:after="0"/>
              <w:rPr>
                <w:sz w:val="24"/>
                <w:szCs w:val="24"/>
                <w:color w:val="auto"/>
              </w:rPr>
            </w:pPr>
          </w:p>
        </w:tc>
        <w:tc>
          <w:tcPr>
            <w:tcW w:w="5120" w:type="dxa"/>
            <w:vAlign w:val="bottom"/>
          </w:tcPr>
          <w:p>
            <w:pPr>
              <w:ind w:left="4640"/>
              <w:spacing w:after="0"/>
              <w:rPr>
                <w:sz w:val="20"/>
                <w:szCs w:val="20"/>
                <w:color w:val="auto"/>
              </w:rPr>
            </w:pPr>
            <w:r>
              <w:rPr>
                <w:rFonts w:ascii="Arial" w:cs="Arial" w:eastAsia="Arial" w:hAnsi="Arial"/>
                <w:sz w:val="18"/>
                <w:szCs w:val="18"/>
                <w:color w:val="auto"/>
              </w:rPr>
              <w:t>105</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00"/>
          </w:cols>
          <w:pgMar w:left="280" w:top="539" w:right="519" w:bottom="1440" w:gutter="0" w:footer="0" w:header="0"/>
        </w:sectPr>
      </w:pPr>
    </w:p>
    <w:bookmarkStart w:id="108" w:name="page109"/>
    <w:bookmarkEnd w:id="10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4920" w:type="dxa"/>
            <w:vAlign w:val="bottom"/>
          </w:tcPr>
          <w:p>
            <w:pPr>
              <w:ind w:left="180"/>
              <w:spacing w:after="0"/>
              <w:rPr>
                <w:sz w:val="20"/>
                <w:szCs w:val="20"/>
                <w:color w:val="auto"/>
              </w:rPr>
            </w:pPr>
            <w:r>
              <w:rPr>
                <w:rFonts w:ascii="Arial" w:cs="Arial" w:eastAsia="Arial" w:hAnsi="Arial"/>
                <w:sz w:val="18"/>
                <w:szCs w:val="18"/>
                <w:color w:val="auto"/>
              </w:rPr>
              <w:t>Separation and Transition Services Agreement by and</w:t>
            </w:r>
          </w:p>
        </w:tc>
        <w:tc>
          <w:tcPr>
            <w:tcW w:w="760" w:type="dxa"/>
            <w:vAlign w:val="bottom"/>
          </w:tcPr>
          <w:p>
            <w:pPr>
              <w:ind w:left="200"/>
              <w:spacing w:after="0"/>
              <w:rPr>
                <w:sz w:val="20"/>
                <w:szCs w:val="20"/>
                <w:color w:val="auto"/>
              </w:rPr>
            </w:pPr>
            <w:r>
              <w:rPr>
                <w:rFonts w:ascii="Arial" w:cs="Arial" w:eastAsia="Arial" w:hAnsi="Arial"/>
                <w:sz w:val="18"/>
                <w:szCs w:val="18"/>
                <w:color w:val="auto"/>
              </w:rPr>
              <w:t>8-K</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001-08929</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720" w:type="dxa"/>
            <w:vAlign w:val="bottom"/>
          </w:tcPr>
          <w:p>
            <w:pPr>
              <w:ind w:left="420"/>
              <w:spacing w:after="0"/>
              <w:rPr>
                <w:sz w:val="20"/>
                <w:szCs w:val="20"/>
                <w:color w:val="auto"/>
              </w:rPr>
            </w:pPr>
            <w:r>
              <w:rPr>
                <w:rFonts w:ascii="Arial" w:cs="Arial" w:eastAsia="Arial" w:hAnsi="Arial"/>
                <w:sz w:val="18"/>
                <w:szCs w:val="18"/>
                <w:color w:val="auto"/>
                <w:w w:val="99"/>
              </w:rPr>
              <w:t>October 1, 2015</w:t>
            </w: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between Tracy K. Price and ABM Industries, executed</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on September 25, 2015</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492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c>
          <w:tcPr>
            <w:tcW w:w="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92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w:t>
            </w:r>
          </w:p>
        </w:tc>
        <w:tc>
          <w:tcPr>
            <w:tcW w:w="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Firm</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92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w:t>
            </w: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92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w:t>
            </w: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920" w:type="dxa"/>
            <w:vAlign w:val="bottom"/>
          </w:tcPr>
          <w:p>
            <w:pPr>
              <w:ind w:left="180"/>
              <w:spacing w:after="0"/>
              <w:rPr>
                <w:sz w:val="20"/>
                <w:szCs w:val="20"/>
                <w:color w:val="auto"/>
              </w:rPr>
            </w:pPr>
            <w:r>
              <w:rPr>
                <w:rFonts w:ascii="Arial" w:cs="Arial" w:eastAsia="Arial" w:hAnsi="Arial"/>
                <w:sz w:val="18"/>
                <w:szCs w:val="18"/>
                <w:color w:val="auto"/>
              </w:rPr>
              <w:t>Certifications pursuant to Securities Exchange Act of</w:t>
            </w: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1934 Rule 13a-14(b) or 15d-14(b) and 18 U.S.C. Section</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920" w:type="dxa"/>
            <w:vAlign w:val="bottom"/>
          </w:tcPr>
          <w:p>
            <w:pPr>
              <w:ind w:left="180"/>
              <w:spacing w:after="0" w:line="202" w:lineRule="exact"/>
              <w:rPr>
                <w:sz w:val="20"/>
                <w:szCs w:val="20"/>
                <w:color w:val="auto"/>
              </w:rPr>
            </w:pPr>
            <w:r>
              <w:rPr>
                <w:rFonts w:ascii="Arial" w:cs="Arial" w:eastAsia="Arial" w:hAnsi="Arial"/>
                <w:sz w:val="18"/>
                <w:szCs w:val="18"/>
                <w:color w:val="auto"/>
              </w:rPr>
              <w:t>1350, as adopted pursuant to Section 302 of the</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101.INS ‡</w:t>
            </w:r>
          </w:p>
        </w:tc>
        <w:tc>
          <w:tcPr>
            <w:tcW w:w="4920" w:type="dxa"/>
            <w:vAlign w:val="bottom"/>
          </w:tcPr>
          <w:p>
            <w:pPr>
              <w:ind w:left="180"/>
              <w:spacing w:after="0"/>
              <w:rPr>
                <w:sz w:val="20"/>
                <w:szCs w:val="20"/>
                <w:color w:val="auto"/>
              </w:rPr>
            </w:pPr>
            <w:r>
              <w:rPr>
                <w:rFonts w:ascii="Arial" w:cs="Arial" w:eastAsia="Arial" w:hAnsi="Arial"/>
                <w:sz w:val="18"/>
                <w:szCs w:val="18"/>
                <w:color w:val="auto"/>
              </w:rPr>
              <w:t>XBRL Report Instance Document</w:t>
            </w:r>
          </w:p>
        </w:tc>
        <w:tc>
          <w:tcPr>
            <w:tcW w:w="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 ‡</w:t>
            </w:r>
          </w:p>
        </w:tc>
        <w:tc>
          <w:tcPr>
            <w:tcW w:w="492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920" w:type="dxa"/>
            <w:vAlign w:val="bottom"/>
          </w:tcPr>
          <w:p>
            <w:pPr>
              <w:ind w:left="180"/>
              <w:spacing w:after="0"/>
              <w:rPr>
                <w:sz w:val="20"/>
                <w:szCs w:val="20"/>
                <w:color w:val="auto"/>
              </w:rPr>
            </w:pPr>
            <w:r>
              <w:rPr>
                <w:rFonts w:ascii="Arial" w:cs="Arial" w:eastAsia="Arial" w:hAnsi="Arial"/>
                <w:sz w:val="18"/>
                <w:szCs w:val="18"/>
                <w:color w:val="auto"/>
              </w:rPr>
              <w:t>XBRL Taxonomy Calculation Linkbase Document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 ‡</w:t>
            </w:r>
          </w:p>
        </w:tc>
        <w:tc>
          <w:tcPr>
            <w:tcW w:w="4920" w:type="dxa"/>
            <w:vAlign w:val="bottom"/>
          </w:tcPr>
          <w:p>
            <w:pPr>
              <w:ind w:left="180"/>
              <w:spacing w:after="0"/>
              <w:rPr>
                <w:sz w:val="20"/>
                <w:szCs w:val="20"/>
                <w:color w:val="auto"/>
              </w:rPr>
            </w:pPr>
            <w:r>
              <w:rPr>
                <w:rFonts w:ascii="Arial" w:cs="Arial" w:eastAsia="Arial" w:hAnsi="Arial"/>
                <w:sz w:val="18"/>
                <w:szCs w:val="18"/>
                <w:color w:val="auto"/>
              </w:rPr>
              <w:t>XBRL Taxonomy Label Linkbase Document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 ‡</w:t>
            </w:r>
          </w:p>
        </w:tc>
        <w:tc>
          <w:tcPr>
            <w:tcW w:w="492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pacing w:after="0" w:line="53" w:lineRule="exact"/>
        <w:rPr>
          <w:sz w:val="20"/>
          <w:szCs w:val="20"/>
          <w:color w:val="auto"/>
        </w:rPr>
      </w:pPr>
    </w:p>
    <w:p>
      <w:pPr>
        <w:ind w:left="1225" w:right="5980" w:hanging="1225"/>
        <w:spacing w:after="0" w:line="246" w:lineRule="auto"/>
        <w:tabs>
          <w:tab w:leader="none" w:pos="3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 ‡ XBRL Taxonomy Extension Definition Linkbase Document</w:t>
      </w:r>
    </w:p>
    <w:p>
      <w:pPr>
        <w:spacing w:after="0" w:line="170" w:lineRule="exact"/>
        <w:rPr>
          <w:sz w:val="20"/>
          <w:szCs w:val="20"/>
          <w:color w:val="auto"/>
        </w:rPr>
      </w:pPr>
    </w:p>
    <w:p>
      <w:pPr>
        <w:ind w:left="685" w:hanging="685"/>
        <w:spacing w:after="0"/>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52" w:lineRule="exact"/>
        <w:rPr>
          <w:sz w:val="20"/>
          <w:szCs w:val="20"/>
          <w:color w:val="auto"/>
        </w:rPr>
      </w:pPr>
    </w:p>
    <w:p>
      <w:pPr>
        <w:jc w:val="center"/>
        <w:ind w:right="-384"/>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65"/>
          </w:cols>
          <w:pgMar w:left="275" w:top="539" w:right="6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40" w:type="dxa"/>
            <w:vAlign w:val="bottom"/>
          </w:tcPr>
          <w:p>
            <w:pPr>
              <w:ind w:left="6300"/>
              <w:spacing w:after="0"/>
              <w:rPr>
                <w:sz w:val="20"/>
                <w:szCs w:val="20"/>
                <w:color w:val="auto"/>
              </w:rPr>
            </w:pPr>
            <w:r>
              <w:rPr>
                <w:rFonts w:ascii="Arial" w:cs="Arial" w:eastAsia="Arial" w:hAnsi="Arial"/>
                <w:sz w:val="18"/>
                <w:szCs w:val="18"/>
                <w:b w:val="1"/>
                <w:bCs w:val="1"/>
                <w:color w:val="auto"/>
              </w:rPr>
              <w:t>EXHIBIT 21.1</w:t>
            </w:r>
          </w:p>
        </w:tc>
      </w:tr>
      <w:tr>
        <w:trPr>
          <w:trHeight w:val="414"/>
        </w:trPr>
        <w:tc>
          <w:tcPr>
            <w:tcW w:w="3980" w:type="dxa"/>
            <w:vAlign w:val="bottom"/>
          </w:tcPr>
          <w:p>
            <w:pPr>
              <w:spacing w:after="0"/>
              <w:rPr>
                <w:sz w:val="24"/>
                <w:szCs w:val="24"/>
                <w:color w:val="auto"/>
              </w:rPr>
            </w:pPr>
          </w:p>
        </w:tc>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SUBSIDIARIES OF REGISTRANT</w:t>
            </w:r>
          </w:p>
        </w:tc>
      </w:tr>
      <w:tr>
        <w:trPr>
          <w:trHeight w:val="234"/>
        </w:trPr>
        <w:tc>
          <w:tcPr>
            <w:tcW w:w="3980" w:type="dxa"/>
            <w:vAlign w:val="bottom"/>
          </w:tcPr>
          <w:p>
            <w:pPr>
              <w:spacing w:after="0"/>
              <w:rPr>
                <w:sz w:val="20"/>
                <w:szCs w:val="20"/>
                <w:color w:val="auto"/>
              </w:rPr>
            </w:pPr>
          </w:p>
        </w:tc>
        <w:tc>
          <w:tcPr>
            <w:tcW w:w="7440" w:type="dxa"/>
            <w:vAlign w:val="bottom"/>
          </w:tcPr>
          <w:p>
            <w:pPr>
              <w:ind w:left="660"/>
              <w:spacing w:after="0"/>
              <w:rPr>
                <w:sz w:val="20"/>
                <w:szCs w:val="20"/>
                <w:color w:val="auto"/>
              </w:rPr>
            </w:pPr>
            <w:r>
              <w:rPr>
                <w:rFonts w:ascii="Arial" w:cs="Arial" w:eastAsia="Arial" w:hAnsi="Arial"/>
                <w:sz w:val="18"/>
                <w:szCs w:val="18"/>
                <w:b w:val="1"/>
                <w:bCs w:val="1"/>
                <w:color w:val="auto"/>
              </w:rPr>
              <w:t>AS OF OCTOBER 31, 2015</w:t>
            </w:r>
          </w:p>
        </w:tc>
      </w:tr>
      <w:tr>
        <w:trPr>
          <w:trHeight w:val="360"/>
        </w:trPr>
        <w:tc>
          <w:tcPr>
            <w:tcW w:w="3980" w:type="dxa"/>
            <w:vAlign w:val="bottom"/>
          </w:tcPr>
          <w:p>
            <w:pPr>
              <w:spacing w:after="0"/>
              <w:rPr>
                <w:sz w:val="24"/>
                <w:szCs w:val="24"/>
                <w:color w:val="auto"/>
              </w:rPr>
            </w:pPr>
          </w:p>
        </w:tc>
        <w:tc>
          <w:tcPr>
            <w:tcW w:w="7440" w:type="dxa"/>
            <w:vAlign w:val="bottom"/>
          </w:tcPr>
          <w:p>
            <w:pPr>
              <w:ind w:left="4960"/>
              <w:spacing w:after="0"/>
              <w:rPr>
                <w:sz w:val="20"/>
                <w:szCs w:val="20"/>
                <w:color w:val="auto"/>
              </w:rPr>
            </w:pPr>
            <w:r>
              <w:rPr>
                <w:rFonts w:ascii="Arial" w:cs="Arial" w:eastAsia="Arial" w:hAnsi="Arial"/>
                <w:sz w:val="18"/>
                <w:szCs w:val="18"/>
                <w:b w:val="1"/>
                <w:bCs w:val="1"/>
                <w:color w:val="auto"/>
              </w:rPr>
              <w:t>Where Incorporated or</w:t>
            </w:r>
          </w:p>
        </w:tc>
      </w:tr>
      <w:tr>
        <w:trPr>
          <w:trHeight w:val="234"/>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Company</w:t>
            </w:r>
          </w:p>
        </w:tc>
        <w:tc>
          <w:tcPr>
            <w:tcW w:w="7440" w:type="dxa"/>
            <w:vAlign w:val="bottom"/>
          </w:tcPr>
          <w:p>
            <w:pPr>
              <w:ind w:left="4960"/>
              <w:spacing w:after="0"/>
              <w:rPr>
                <w:sz w:val="20"/>
                <w:szCs w:val="20"/>
                <w:color w:val="auto"/>
              </w:rPr>
            </w:pPr>
            <w:r>
              <w:rPr>
                <w:rFonts w:ascii="Arial" w:cs="Arial" w:eastAsia="Arial" w:hAnsi="Arial"/>
                <w:sz w:val="18"/>
                <w:szCs w:val="18"/>
                <w:b w:val="1"/>
                <w:bCs w:val="1"/>
                <w:color w:val="auto"/>
              </w:rPr>
              <w:t>Organized</w:t>
            </w:r>
          </w:p>
        </w:tc>
      </w:tr>
      <w:tr>
        <w:trPr>
          <w:trHeight w:val="27"/>
        </w:trPr>
        <w:tc>
          <w:tcPr>
            <w:tcW w:w="398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b w:val="1"/>
                <w:bCs w:val="1"/>
                <w:color w:val="auto"/>
              </w:rPr>
              <w:t>ABM INDUSTRIES INCORPORATED</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0"/>
              <w:spacing w:after="0"/>
              <w:rPr>
                <w:sz w:val="20"/>
                <w:szCs w:val="20"/>
                <w:color w:val="auto"/>
              </w:rPr>
            </w:pPr>
            <w:r>
              <w:rPr>
                <w:rFonts w:ascii="Arial" w:cs="Arial" w:eastAsia="Arial" w:hAnsi="Arial"/>
                <w:sz w:val="18"/>
                <w:szCs w:val="18"/>
                <w:color w:val="auto"/>
              </w:rPr>
              <w:t>(*) ABM Onsite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Janitorial Services – Mid-Atlantic,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Janitorial Services – Northeast,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Janitorial Services – South Central,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Servall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Texas</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Janitorial Services – Southeast, LLC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Industrial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Onsite Services -Midwest,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Onsite Services - West,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Diversco, Inc.</w:t>
            </w:r>
          </w:p>
        </w:tc>
        <w:tc>
          <w:tcPr>
            <w:tcW w:w="7440" w:type="dxa"/>
            <w:vAlign w:val="bottom"/>
          </w:tcPr>
          <w:p>
            <w:pPr>
              <w:ind w:left="4960"/>
              <w:spacing w:after="0"/>
              <w:rPr>
                <w:sz w:val="20"/>
                <w:szCs w:val="20"/>
                <w:color w:val="auto"/>
              </w:rPr>
            </w:pPr>
            <w:r>
              <w:rPr>
                <w:rFonts w:ascii="Arial" w:cs="Arial" w:eastAsia="Arial" w:hAnsi="Arial"/>
                <w:sz w:val="18"/>
                <w:szCs w:val="18"/>
                <w:color w:val="auto"/>
              </w:rPr>
              <w:t>South Carolina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Southern Management ABM,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Facility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Parking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Security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California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OneSource Facility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160"/>
              <w:spacing w:after="0"/>
              <w:rPr>
                <w:sz w:val="20"/>
                <w:szCs w:val="20"/>
                <w:color w:val="auto"/>
              </w:rPr>
            </w:pPr>
            <w:r>
              <w:rPr>
                <w:rFonts w:ascii="Arial" w:cs="Arial" w:eastAsia="Arial" w:hAnsi="Arial"/>
                <w:sz w:val="18"/>
                <w:szCs w:val="18"/>
                <w:color w:val="auto"/>
              </w:rPr>
              <w:t>ABM Healthcare Support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Michigan</w:t>
            </w:r>
          </w:p>
        </w:tc>
      </w:tr>
      <w:tr>
        <w:trPr>
          <w:trHeight w:val="270"/>
        </w:trPr>
        <w:tc>
          <w:tcPr>
            <w:tcW w:w="3980" w:type="dxa"/>
            <w:vAlign w:val="bottom"/>
          </w:tcPr>
          <w:p>
            <w:pPr>
              <w:ind w:left="160"/>
              <w:spacing w:after="0"/>
              <w:rPr>
                <w:sz w:val="20"/>
                <w:szCs w:val="20"/>
                <w:color w:val="auto"/>
              </w:rPr>
            </w:pPr>
            <w:r>
              <w:rPr>
                <w:rFonts w:ascii="Arial" w:cs="Arial" w:eastAsia="Arial" w:hAnsi="Arial"/>
                <w:sz w:val="18"/>
                <w:szCs w:val="18"/>
                <w:color w:val="auto"/>
              </w:rPr>
              <w:t>Air Serv Corporation</w:t>
            </w:r>
          </w:p>
        </w:tc>
        <w:tc>
          <w:tcPr>
            <w:tcW w:w="7440" w:type="dxa"/>
            <w:vAlign w:val="bottom"/>
          </w:tcPr>
          <w:p>
            <w:pPr>
              <w:ind w:left="4960"/>
              <w:spacing w:after="0"/>
              <w:rPr>
                <w:sz w:val="20"/>
                <w:szCs w:val="20"/>
                <w:color w:val="auto"/>
              </w:rPr>
            </w:pPr>
            <w:r>
              <w:rPr>
                <w:rFonts w:ascii="Arial" w:cs="Arial" w:eastAsia="Arial" w:hAnsi="Arial"/>
                <w:sz w:val="18"/>
                <w:szCs w:val="18"/>
                <w:color w:val="auto"/>
              </w:rPr>
              <w:t>Georgia</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Air Serv Facility Services,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Georgia</w:t>
            </w:r>
          </w:p>
        </w:tc>
      </w:tr>
      <w:tr>
        <w:trPr>
          <w:trHeight w:val="270"/>
        </w:trPr>
        <w:tc>
          <w:tcPr>
            <w:tcW w:w="3980" w:type="dxa"/>
            <w:vAlign w:val="bottom"/>
          </w:tcPr>
          <w:p>
            <w:pPr>
              <w:ind w:left="540"/>
              <w:spacing w:after="0"/>
              <w:rPr>
                <w:sz w:val="20"/>
                <w:szCs w:val="20"/>
                <w:color w:val="auto"/>
              </w:rPr>
            </w:pPr>
            <w:r>
              <w:rPr>
                <w:rFonts w:ascii="Arial" w:cs="Arial" w:eastAsia="Arial" w:hAnsi="Arial"/>
                <w:sz w:val="18"/>
                <w:szCs w:val="18"/>
                <w:color w:val="auto"/>
              </w:rPr>
              <w:t>Omni Serv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England</w:t>
            </w:r>
          </w:p>
        </w:tc>
      </w:tr>
      <w:tr>
        <w:trPr>
          <w:trHeight w:val="270"/>
        </w:trPr>
        <w:tc>
          <w:tcPr>
            <w:tcW w:w="3980" w:type="dxa"/>
            <w:vAlign w:val="bottom"/>
          </w:tcPr>
          <w:p>
            <w:pPr>
              <w:ind w:left="520"/>
              <w:spacing w:after="0"/>
              <w:rPr>
                <w:sz w:val="20"/>
                <w:szCs w:val="20"/>
                <w:color w:val="auto"/>
              </w:rPr>
            </w:pPr>
            <w:r>
              <w:rPr>
                <w:rFonts w:ascii="Arial" w:cs="Arial" w:eastAsia="Arial" w:hAnsi="Arial"/>
                <w:sz w:val="18"/>
                <w:szCs w:val="18"/>
                <w:color w:val="auto"/>
              </w:rPr>
              <w:t>ABM Group UK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England</w:t>
            </w:r>
          </w:p>
        </w:tc>
      </w:tr>
      <w:tr>
        <w:trPr>
          <w:trHeight w:val="270"/>
        </w:trPr>
        <w:tc>
          <w:tcPr>
            <w:tcW w:w="3980" w:type="dxa"/>
            <w:vAlign w:val="bottom"/>
          </w:tcPr>
          <w:p>
            <w:pPr>
              <w:ind w:left="700"/>
              <w:spacing w:after="0"/>
              <w:rPr>
                <w:sz w:val="20"/>
                <w:szCs w:val="20"/>
                <w:color w:val="auto"/>
              </w:rPr>
            </w:pPr>
            <w:r>
              <w:rPr>
                <w:rFonts w:ascii="Arial" w:cs="Arial" w:eastAsia="Arial" w:hAnsi="Arial"/>
                <w:sz w:val="18"/>
                <w:szCs w:val="18"/>
                <w:color w:val="auto"/>
              </w:rPr>
              <w:t>ABM Facility Services UK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England</w:t>
            </w:r>
          </w:p>
        </w:tc>
      </w:tr>
      <w:tr>
        <w:trPr>
          <w:trHeight w:val="270"/>
        </w:trPr>
        <w:tc>
          <w:tcPr>
            <w:tcW w:w="3980" w:type="dxa"/>
            <w:vAlign w:val="bottom"/>
          </w:tcPr>
          <w:p>
            <w:pPr>
              <w:ind w:left="700"/>
              <w:spacing w:after="0"/>
              <w:rPr>
                <w:sz w:val="20"/>
                <w:szCs w:val="20"/>
                <w:color w:val="auto"/>
              </w:rPr>
            </w:pPr>
            <w:r>
              <w:rPr>
                <w:rFonts w:ascii="Arial" w:cs="Arial" w:eastAsia="Arial" w:hAnsi="Arial"/>
                <w:sz w:val="18"/>
                <w:szCs w:val="18"/>
                <w:color w:val="auto"/>
              </w:rPr>
              <w:t>ABM Facility Services Scotland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England</w:t>
            </w:r>
          </w:p>
        </w:tc>
      </w:tr>
      <w:tr>
        <w:trPr>
          <w:trHeight w:val="270"/>
        </w:trPr>
        <w:tc>
          <w:tcPr>
            <w:tcW w:w="3980" w:type="dxa"/>
            <w:vAlign w:val="bottom"/>
          </w:tcPr>
          <w:p>
            <w:pPr>
              <w:ind w:left="840"/>
              <w:spacing w:after="0"/>
              <w:rPr>
                <w:sz w:val="20"/>
                <w:szCs w:val="20"/>
                <w:color w:val="auto"/>
              </w:rPr>
            </w:pPr>
            <w:r>
              <w:rPr>
                <w:rFonts w:ascii="Arial" w:cs="Arial" w:eastAsia="Arial" w:hAnsi="Arial"/>
                <w:sz w:val="18"/>
                <w:szCs w:val="18"/>
                <w:color w:val="auto"/>
              </w:rPr>
              <w:t>Eclipse Contract Cleaning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Scotland</w:t>
            </w:r>
          </w:p>
        </w:tc>
      </w:tr>
      <w:tr>
        <w:trPr>
          <w:trHeight w:val="270"/>
        </w:trPr>
        <w:tc>
          <w:tcPr>
            <w:tcW w:w="3980" w:type="dxa"/>
            <w:vAlign w:val="bottom"/>
          </w:tcPr>
          <w:p>
            <w:pPr>
              <w:ind w:left="720"/>
              <w:spacing w:after="0"/>
              <w:rPr>
                <w:sz w:val="20"/>
                <w:szCs w:val="20"/>
                <w:color w:val="auto"/>
              </w:rPr>
            </w:pPr>
            <w:r>
              <w:rPr>
                <w:rFonts w:ascii="Arial" w:cs="Arial" w:eastAsia="Arial" w:hAnsi="Arial"/>
                <w:sz w:val="18"/>
                <w:szCs w:val="18"/>
                <w:color w:val="auto"/>
              </w:rPr>
              <w:t>GBM Services (Civic) Limited</w:t>
            </w:r>
          </w:p>
        </w:tc>
        <w:tc>
          <w:tcPr>
            <w:tcW w:w="7440" w:type="dxa"/>
            <w:vAlign w:val="bottom"/>
          </w:tcPr>
          <w:p>
            <w:pPr>
              <w:ind w:left="4960"/>
              <w:spacing w:after="0"/>
              <w:rPr>
                <w:sz w:val="20"/>
                <w:szCs w:val="20"/>
                <w:color w:val="auto"/>
              </w:rPr>
            </w:pPr>
            <w:r>
              <w:rPr>
                <w:rFonts w:ascii="Arial" w:cs="Arial" w:eastAsia="Arial" w:hAnsi="Arial"/>
                <w:sz w:val="18"/>
                <w:szCs w:val="18"/>
                <w:color w:val="auto"/>
              </w:rPr>
              <w:t>England</w:t>
            </w:r>
          </w:p>
        </w:tc>
      </w:tr>
      <w:tr>
        <w:trPr>
          <w:trHeight w:val="270"/>
        </w:trPr>
        <w:tc>
          <w:tcPr>
            <w:tcW w:w="3980" w:type="dxa"/>
            <w:vAlign w:val="bottom"/>
          </w:tcPr>
          <w:p>
            <w:pPr>
              <w:ind w:left="480"/>
              <w:spacing w:after="0"/>
              <w:rPr>
                <w:sz w:val="20"/>
                <w:szCs w:val="20"/>
                <w:color w:val="auto"/>
              </w:rPr>
            </w:pPr>
            <w:r>
              <w:rPr>
                <w:rFonts w:ascii="Arial" w:cs="Arial" w:eastAsia="Arial" w:hAnsi="Arial"/>
                <w:sz w:val="18"/>
                <w:szCs w:val="18"/>
                <w:color w:val="auto"/>
              </w:rPr>
              <w:t>ABM Onsite Services - Canada ULC</w:t>
            </w:r>
          </w:p>
        </w:tc>
        <w:tc>
          <w:tcPr>
            <w:tcW w:w="7440" w:type="dxa"/>
            <w:vAlign w:val="bottom"/>
          </w:tcPr>
          <w:p>
            <w:pPr>
              <w:ind w:left="4960"/>
              <w:spacing w:after="0"/>
              <w:rPr>
                <w:sz w:val="20"/>
                <w:szCs w:val="20"/>
                <w:color w:val="auto"/>
              </w:rPr>
            </w:pPr>
            <w:r>
              <w:rPr>
                <w:rFonts w:ascii="Arial" w:cs="Arial" w:eastAsia="Arial" w:hAnsi="Arial"/>
                <w:sz w:val="18"/>
                <w:szCs w:val="18"/>
                <w:color w:val="auto"/>
              </w:rPr>
              <w:t>Canada</w:t>
            </w:r>
          </w:p>
        </w:tc>
      </w:tr>
      <w:tr>
        <w:trPr>
          <w:trHeight w:val="270"/>
        </w:trPr>
        <w:tc>
          <w:tcPr>
            <w:tcW w:w="3980" w:type="dxa"/>
            <w:vAlign w:val="bottom"/>
          </w:tcPr>
          <w:p>
            <w:pPr>
              <w:ind w:left="160"/>
              <w:spacing w:after="0"/>
              <w:rPr>
                <w:sz w:val="20"/>
                <w:szCs w:val="20"/>
                <w:color w:val="auto"/>
              </w:rPr>
            </w:pPr>
            <w:r>
              <w:rPr>
                <w:rFonts w:ascii="Arial" w:cs="Arial" w:eastAsia="Arial" w:hAnsi="Arial"/>
                <w:sz w:val="18"/>
                <w:szCs w:val="18"/>
                <w:color w:val="auto"/>
              </w:rPr>
              <w:t>ABM Facility Solutions Group,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Franchising Group,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GreenHomes America,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Government Services,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Kentucky</w:t>
            </w:r>
          </w:p>
        </w:tc>
      </w:tr>
      <w:tr>
        <w:trPr>
          <w:trHeight w:val="270"/>
        </w:trPr>
        <w:tc>
          <w:tcPr>
            <w:tcW w:w="3980" w:type="dxa"/>
            <w:vAlign w:val="bottom"/>
          </w:tcPr>
          <w:p>
            <w:pPr>
              <w:ind w:left="300"/>
              <w:spacing w:after="0"/>
              <w:rPr>
                <w:sz w:val="20"/>
                <w:szCs w:val="20"/>
                <w:color w:val="auto"/>
              </w:rPr>
            </w:pPr>
            <w:r>
              <w:rPr>
                <w:rFonts w:ascii="Arial" w:cs="Arial" w:eastAsia="Arial" w:hAnsi="Arial"/>
                <w:sz w:val="18"/>
                <w:szCs w:val="18"/>
                <w:color w:val="auto"/>
              </w:rPr>
              <w:t>ABM Building &amp; Energy Solutions,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Building Solutions,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Building Services,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Electrical Power Solutions,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560"/>
              <w:spacing w:after="0"/>
              <w:rPr>
                <w:sz w:val="20"/>
                <w:szCs w:val="20"/>
                <w:color w:val="auto"/>
              </w:rPr>
            </w:pPr>
            <w:r>
              <w:rPr>
                <w:rFonts w:ascii="Arial" w:cs="Arial" w:eastAsia="Arial" w:hAnsi="Arial"/>
                <w:sz w:val="18"/>
                <w:szCs w:val="18"/>
                <w:color w:val="auto"/>
              </w:rPr>
              <w:t>ABM Electrical Power Services,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Health, Inc.</w:t>
            </w:r>
          </w:p>
        </w:tc>
        <w:tc>
          <w:tcPr>
            <w:tcW w:w="7440" w:type="dxa"/>
            <w:vAlign w:val="bottom"/>
          </w:tcPr>
          <w:p>
            <w:pPr>
              <w:ind w:left="4960"/>
              <w:spacing w:after="0"/>
              <w:rPr>
                <w:sz w:val="20"/>
                <w:szCs w:val="20"/>
                <w:color w:val="auto"/>
              </w:rPr>
            </w:pPr>
            <w:r>
              <w:rPr>
                <w:rFonts w:ascii="Arial" w:cs="Arial" w:eastAsia="Arial" w:hAnsi="Arial"/>
                <w:sz w:val="18"/>
                <w:szCs w:val="18"/>
                <w:color w:val="auto"/>
              </w:rPr>
              <w:t>Massachusetts</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Electrical Network,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440"/>
              <w:spacing w:after="0"/>
              <w:rPr>
                <w:sz w:val="20"/>
                <w:szCs w:val="20"/>
                <w:color w:val="auto"/>
              </w:rPr>
            </w:pPr>
            <w:r>
              <w:rPr>
                <w:rFonts w:ascii="Arial" w:cs="Arial" w:eastAsia="Arial" w:hAnsi="Arial"/>
                <w:sz w:val="18"/>
                <w:szCs w:val="18"/>
                <w:color w:val="auto"/>
              </w:rPr>
              <w:t>ABM Electrical &amp; Lighting Solutions, Inc.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560"/>
              <w:spacing w:after="0"/>
              <w:rPr>
                <w:sz w:val="20"/>
                <w:szCs w:val="20"/>
                <w:color w:val="auto"/>
              </w:rPr>
            </w:pPr>
            <w:r>
              <w:rPr>
                <w:rFonts w:ascii="Arial" w:cs="Arial" w:eastAsia="Arial" w:hAnsi="Arial"/>
                <w:sz w:val="18"/>
                <w:szCs w:val="18"/>
                <w:color w:val="auto"/>
              </w:rPr>
              <w:t>ABM Electrical &amp; Lighting Services, LLC</w:t>
            </w:r>
          </w:p>
        </w:tc>
        <w:tc>
          <w:tcPr>
            <w:tcW w:w="7440" w:type="dxa"/>
            <w:vAlign w:val="bottom"/>
          </w:tcPr>
          <w:p>
            <w:pPr>
              <w:ind w:left="4960"/>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tcPr>
          <w:p>
            <w:pPr>
              <w:ind w:left="180"/>
              <w:spacing w:after="0"/>
              <w:rPr>
                <w:sz w:val="20"/>
                <w:szCs w:val="20"/>
                <w:color w:val="auto"/>
              </w:rPr>
            </w:pPr>
            <w:r>
              <w:rPr>
                <w:rFonts w:ascii="Arial" w:cs="Arial" w:eastAsia="Arial" w:hAnsi="Arial"/>
                <w:sz w:val="18"/>
                <w:szCs w:val="18"/>
                <w:color w:val="auto"/>
              </w:rPr>
              <w:t>IFM Assurance Company</w:t>
            </w:r>
          </w:p>
        </w:tc>
        <w:tc>
          <w:tcPr>
            <w:tcW w:w="7440" w:type="dxa"/>
            <w:vAlign w:val="bottom"/>
          </w:tcPr>
          <w:p>
            <w:pPr>
              <w:ind w:left="4960"/>
              <w:spacing w:after="0"/>
              <w:rPr>
                <w:sz w:val="20"/>
                <w:szCs w:val="20"/>
                <w:color w:val="auto"/>
              </w:rPr>
            </w:pPr>
            <w:r>
              <w:rPr>
                <w:rFonts w:ascii="Arial" w:cs="Arial" w:eastAsia="Arial" w:hAnsi="Arial"/>
                <w:sz w:val="18"/>
                <w:szCs w:val="18"/>
                <w:color w:val="auto"/>
              </w:rPr>
              <w:t>New York</w:t>
            </w:r>
          </w:p>
        </w:tc>
      </w:tr>
      <w:tr>
        <w:trPr>
          <w:trHeight w:val="270"/>
        </w:trPr>
        <w:tc>
          <w:tcPr>
            <w:tcW w:w="3980" w:type="dxa"/>
            <w:vAlign w:val="bottom"/>
          </w:tcPr>
          <w:p>
            <w:pPr>
              <w:ind w:left="180"/>
              <w:spacing w:after="0"/>
              <w:rPr>
                <w:sz w:val="20"/>
                <w:szCs w:val="20"/>
                <w:color w:val="auto"/>
              </w:rPr>
            </w:pPr>
            <w:r>
              <w:rPr>
                <w:rFonts w:ascii="Arial" w:cs="Arial" w:eastAsia="Arial" w:hAnsi="Arial"/>
                <w:sz w:val="18"/>
                <w:szCs w:val="18"/>
                <w:color w:val="auto"/>
              </w:rPr>
              <w:t>IFM Capital Ltd.</w:t>
            </w:r>
          </w:p>
        </w:tc>
        <w:tc>
          <w:tcPr>
            <w:tcW w:w="7440" w:type="dxa"/>
            <w:vAlign w:val="bottom"/>
          </w:tcPr>
          <w:p>
            <w:pPr>
              <w:ind w:left="4960"/>
              <w:spacing w:after="0"/>
              <w:rPr>
                <w:sz w:val="20"/>
                <w:szCs w:val="20"/>
                <w:color w:val="auto"/>
              </w:rPr>
            </w:pPr>
            <w:r>
              <w:rPr>
                <w:rFonts w:ascii="Arial" w:cs="Arial" w:eastAsia="Arial" w:hAnsi="Arial"/>
                <w:sz w:val="18"/>
                <w:szCs w:val="18"/>
                <w:color w:val="auto"/>
              </w:rPr>
              <w:t>Bermuda</w:t>
            </w:r>
          </w:p>
        </w:tc>
      </w:tr>
    </w:tbl>
    <w:p>
      <w:pPr>
        <w:sectPr>
          <w:pgSz w:w="11900" w:h="16838" w:orient="portrait"/>
          <w:cols w:equalWidth="0" w:num="1">
            <w:col w:w="11420"/>
          </w:cols>
          <w:pgMar w:left="240" w:top="36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ABM Industries Incorporated:</w:t>
      </w:r>
    </w:p>
    <w:p>
      <w:pPr>
        <w:spacing w:after="0" w:line="21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consent to the incorporation by reference in the registration statements listed below of ABM Industries Incorporated of our report, dated December 17, 2015, with respect to the consolidated balance sheets of ABM Industries Incorporated and subsidiaries as of October 31, 2015 and 2014, and the related consolidated statements of comprehensive income, stockholders' equity, and cash flows for each of the years in the three-year period ended October 31, 2015 and the related financial statement Schedule II, and the effectiveness of internal control over financial reporting as of October 31, 2015, which report appears in the October 31, 2015 annual report on Form 10-K of ABM Industries Incorporated.</w:t>
      </w:r>
    </w:p>
    <w:p>
      <w:pPr>
        <w:spacing w:after="0" w:line="255" w:lineRule="exact"/>
        <w:rPr>
          <w:sz w:val="20"/>
          <w:szCs w:val="20"/>
          <w:color w:val="auto"/>
        </w:rPr>
      </w:pPr>
    </w:p>
    <w:tbl>
      <w:tblPr>
        <w:tblLayout w:type="fixed"/>
        <w:tblInd w:w="740" w:type="dxa"/>
        <w:tblCellMar>
          <w:top w:w="0" w:type="dxa"/>
          <w:left w:w="0" w:type="dxa"/>
          <w:bottom w:w="0" w:type="dxa"/>
          <w:right w:w="0" w:type="dxa"/>
        </w:tblCellMar>
      </w:tblPr>
      <w:tr>
        <w:trPr>
          <w:trHeight w:val="250"/>
        </w:trPr>
        <w:tc>
          <w:tcPr>
            <w:tcW w:w="1820" w:type="dxa"/>
            <w:vAlign w:val="bottom"/>
          </w:tcPr>
          <w:p>
            <w:pPr>
              <w:ind w:left="20"/>
              <w:spacing w:after="0"/>
              <w:rPr>
                <w:sz w:val="20"/>
                <w:szCs w:val="20"/>
                <w:color w:val="auto"/>
              </w:rPr>
            </w:pPr>
            <w:r>
              <w:rPr>
                <w:rFonts w:ascii="Arial" w:cs="Arial" w:eastAsia="Arial" w:hAnsi="Arial"/>
                <w:sz w:val="20"/>
                <w:szCs w:val="20"/>
                <w:color w:val="auto"/>
              </w:rPr>
              <w:t>Registration No.</w:t>
            </w:r>
          </w:p>
        </w:tc>
        <w:tc>
          <w:tcPr>
            <w:tcW w:w="1360" w:type="dxa"/>
            <w:vAlign w:val="bottom"/>
          </w:tcPr>
          <w:p>
            <w:pPr>
              <w:ind w:left="500"/>
              <w:spacing w:after="0"/>
              <w:rPr>
                <w:sz w:val="20"/>
                <w:szCs w:val="20"/>
                <w:color w:val="auto"/>
              </w:rPr>
            </w:pPr>
            <w:r>
              <w:rPr>
                <w:rFonts w:ascii="Arial" w:cs="Arial" w:eastAsia="Arial" w:hAnsi="Arial"/>
                <w:sz w:val="20"/>
                <w:szCs w:val="20"/>
                <w:color w:val="auto"/>
              </w:rPr>
              <w:t>Form</w:t>
            </w:r>
          </w:p>
        </w:tc>
        <w:tc>
          <w:tcPr>
            <w:tcW w:w="860" w:type="dxa"/>
            <w:vAlign w:val="bottom"/>
          </w:tcPr>
          <w:p>
            <w:pPr>
              <w:ind w:left="440"/>
              <w:spacing w:after="0"/>
              <w:rPr>
                <w:sz w:val="20"/>
                <w:szCs w:val="20"/>
                <w:color w:val="auto"/>
              </w:rPr>
            </w:pPr>
            <w:r>
              <w:rPr>
                <w:rFonts w:ascii="Arial" w:cs="Arial" w:eastAsia="Arial" w:hAnsi="Arial"/>
                <w:sz w:val="20"/>
                <w:szCs w:val="20"/>
                <w:color w:val="auto"/>
                <w:w w:val="99"/>
              </w:rPr>
              <w:t>Plan</w:t>
            </w:r>
          </w:p>
        </w:tc>
        <w:tc>
          <w:tcPr>
            <w:tcW w:w="5920" w:type="dxa"/>
            <w:vAlign w:val="bottom"/>
          </w:tcPr>
          <w:p>
            <w:pPr>
              <w:spacing w:after="0"/>
              <w:rPr>
                <w:sz w:val="21"/>
                <w:szCs w:val="21"/>
                <w:color w:val="auto"/>
              </w:rPr>
            </w:pPr>
          </w:p>
        </w:tc>
      </w:tr>
      <w:tr>
        <w:trPr>
          <w:trHeight w:val="23"/>
        </w:trPr>
        <w:tc>
          <w:tcPr>
            <w:tcW w:w="1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54"/>
        </w:trPr>
        <w:tc>
          <w:tcPr>
            <w:tcW w:w="1820" w:type="dxa"/>
            <w:vAlign w:val="bottom"/>
          </w:tcPr>
          <w:p>
            <w:pPr>
              <w:ind w:left="20"/>
              <w:spacing w:after="0"/>
              <w:rPr>
                <w:sz w:val="20"/>
                <w:szCs w:val="20"/>
                <w:color w:val="auto"/>
              </w:rPr>
            </w:pPr>
            <w:r>
              <w:rPr>
                <w:rFonts w:ascii="Arial" w:cs="Arial" w:eastAsia="Arial" w:hAnsi="Arial"/>
                <w:sz w:val="20"/>
                <w:szCs w:val="20"/>
                <w:color w:val="auto"/>
              </w:rPr>
              <w:t>333-167464</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2004</w:t>
            </w:r>
          </w:p>
        </w:tc>
        <w:tc>
          <w:tcPr>
            <w:tcW w:w="5920" w:type="dxa"/>
            <w:vAlign w:val="bottom"/>
          </w:tcPr>
          <w:p>
            <w:pPr>
              <w:ind w:left="20"/>
              <w:spacing w:after="0"/>
              <w:rPr>
                <w:sz w:val="20"/>
                <w:szCs w:val="20"/>
                <w:color w:val="auto"/>
              </w:rPr>
            </w:pPr>
            <w:r>
              <w:rPr>
                <w:rFonts w:ascii="Arial" w:cs="Arial" w:eastAsia="Arial" w:hAnsi="Arial"/>
                <w:sz w:val="20"/>
                <w:szCs w:val="20"/>
                <w:color w:val="auto"/>
              </w:rPr>
              <w:t>Employee Stock Purchase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333-78423</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6780" w:type="dxa"/>
            <w:vAlign w:val="bottom"/>
            <w:gridSpan w:val="2"/>
          </w:tcPr>
          <w:p>
            <w:pPr>
              <w:ind w:left="440"/>
              <w:spacing w:after="0"/>
              <w:rPr>
                <w:sz w:val="20"/>
                <w:szCs w:val="20"/>
                <w:color w:val="auto"/>
              </w:rPr>
            </w:pPr>
            <w:r>
              <w:rPr>
                <w:rFonts w:ascii="Arial" w:cs="Arial" w:eastAsia="Arial" w:hAnsi="Arial"/>
                <w:sz w:val="20"/>
                <w:szCs w:val="20"/>
                <w:color w:val="auto"/>
              </w:rPr>
              <w:t>“Age-Vested” Career Stock Option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333-78421</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6780" w:type="dxa"/>
            <w:vAlign w:val="bottom"/>
            <w:gridSpan w:val="2"/>
          </w:tcPr>
          <w:p>
            <w:pPr>
              <w:ind w:left="440"/>
              <w:spacing w:after="0"/>
              <w:rPr>
                <w:sz w:val="20"/>
                <w:szCs w:val="20"/>
                <w:color w:val="auto"/>
              </w:rPr>
            </w:pPr>
            <w:r>
              <w:rPr>
                <w:rFonts w:ascii="Arial" w:cs="Arial" w:eastAsia="Arial" w:hAnsi="Arial"/>
                <w:sz w:val="20"/>
                <w:szCs w:val="20"/>
                <w:color w:val="auto"/>
              </w:rPr>
              <w:t>“Time-Vested” Incentive Stock Option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333-48857</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1996</w:t>
            </w:r>
          </w:p>
        </w:tc>
        <w:tc>
          <w:tcPr>
            <w:tcW w:w="5920" w:type="dxa"/>
            <w:vAlign w:val="bottom"/>
          </w:tcPr>
          <w:p>
            <w:pPr>
              <w:ind w:left="20"/>
              <w:spacing w:after="0"/>
              <w:rPr>
                <w:sz w:val="20"/>
                <w:szCs w:val="20"/>
                <w:color w:val="auto"/>
              </w:rPr>
            </w:pPr>
            <w:r>
              <w:rPr>
                <w:rFonts w:ascii="Arial" w:cs="Arial" w:eastAsia="Arial" w:hAnsi="Arial"/>
                <w:sz w:val="20"/>
                <w:szCs w:val="20"/>
                <w:color w:val="auto"/>
              </w:rPr>
              <w:t>Price Vested Performance Stock Option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333-85390</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2002</w:t>
            </w:r>
          </w:p>
        </w:tc>
        <w:tc>
          <w:tcPr>
            <w:tcW w:w="5920" w:type="dxa"/>
            <w:vAlign w:val="bottom"/>
          </w:tcPr>
          <w:p>
            <w:pPr>
              <w:ind w:left="20"/>
              <w:spacing w:after="0"/>
              <w:rPr>
                <w:sz w:val="20"/>
                <w:szCs w:val="20"/>
                <w:color w:val="auto"/>
              </w:rPr>
            </w:pPr>
            <w:r>
              <w:rPr>
                <w:rFonts w:ascii="Arial" w:cs="Arial" w:eastAsia="Arial" w:hAnsi="Arial"/>
                <w:sz w:val="20"/>
                <w:szCs w:val="20"/>
                <w:color w:val="auto"/>
              </w:rPr>
              <w:t>Price Vested Performance Stock Option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333-116487</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2004</w:t>
            </w:r>
          </w:p>
        </w:tc>
        <w:tc>
          <w:tcPr>
            <w:tcW w:w="5920" w:type="dxa"/>
            <w:vAlign w:val="bottom"/>
          </w:tcPr>
          <w:p>
            <w:pPr>
              <w:ind w:left="20"/>
              <w:spacing w:after="0"/>
              <w:rPr>
                <w:sz w:val="20"/>
                <w:szCs w:val="20"/>
                <w:color w:val="auto"/>
              </w:rPr>
            </w:pPr>
            <w:r>
              <w:rPr>
                <w:rFonts w:ascii="Arial" w:cs="Arial" w:eastAsia="Arial" w:hAnsi="Arial"/>
                <w:sz w:val="20"/>
                <w:szCs w:val="20"/>
                <w:color w:val="auto"/>
              </w:rPr>
              <w:t>Employee Stock Purchase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333-137241</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2006</w:t>
            </w:r>
          </w:p>
        </w:tc>
        <w:tc>
          <w:tcPr>
            <w:tcW w:w="592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333-159770</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2006</w:t>
            </w:r>
          </w:p>
        </w:tc>
        <w:tc>
          <w:tcPr>
            <w:tcW w:w="592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333-179991</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2006</w:t>
            </w:r>
          </w:p>
        </w:tc>
        <w:tc>
          <w:tcPr>
            <w:tcW w:w="592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r>
        <w:trPr>
          <w:trHeight w:val="284"/>
        </w:trPr>
        <w:tc>
          <w:tcPr>
            <w:tcW w:w="1820" w:type="dxa"/>
            <w:vAlign w:val="bottom"/>
          </w:tcPr>
          <w:p>
            <w:pPr>
              <w:ind w:left="20"/>
              <w:spacing w:after="0"/>
              <w:rPr>
                <w:sz w:val="20"/>
                <w:szCs w:val="20"/>
                <w:color w:val="auto"/>
              </w:rPr>
            </w:pPr>
            <w:r>
              <w:rPr>
                <w:rFonts w:ascii="Arial" w:cs="Arial" w:eastAsia="Arial" w:hAnsi="Arial"/>
                <w:sz w:val="20"/>
                <w:szCs w:val="20"/>
                <w:color w:val="auto"/>
              </w:rPr>
              <w:t>333-202521</w:t>
            </w:r>
          </w:p>
        </w:tc>
        <w:tc>
          <w:tcPr>
            <w:tcW w:w="1360" w:type="dxa"/>
            <w:vAlign w:val="bottom"/>
          </w:tcPr>
          <w:p>
            <w:pPr>
              <w:ind w:left="500"/>
              <w:spacing w:after="0"/>
              <w:rPr>
                <w:sz w:val="20"/>
                <w:szCs w:val="20"/>
                <w:color w:val="auto"/>
              </w:rPr>
            </w:pPr>
            <w:r>
              <w:rPr>
                <w:rFonts w:ascii="Arial" w:cs="Arial" w:eastAsia="Arial" w:hAnsi="Arial"/>
                <w:sz w:val="20"/>
                <w:szCs w:val="20"/>
                <w:color w:val="auto"/>
              </w:rPr>
              <w:t>S-8</w:t>
            </w:r>
          </w:p>
        </w:tc>
        <w:tc>
          <w:tcPr>
            <w:tcW w:w="860" w:type="dxa"/>
            <w:vAlign w:val="bottom"/>
          </w:tcPr>
          <w:p>
            <w:pPr>
              <w:ind w:left="440"/>
              <w:spacing w:after="0"/>
              <w:rPr>
                <w:sz w:val="20"/>
                <w:szCs w:val="20"/>
                <w:color w:val="auto"/>
              </w:rPr>
            </w:pPr>
            <w:r>
              <w:rPr>
                <w:rFonts w:ascii="Arial" w:cs="Arial" w:eastAsia="Arial" w:hAnsi="Arial"/>
                <w:sz w:val="20"/>
                <w:szCs w:val="20"/>
                <w:color w:val="auto"/>
                <w:w w:val="89"/>
              </w:rPr>
              <w:t>2006</w:t>
            </w:r>
          </w:p>
        </w:tc>
        <w:tc>
          <w:tcPr>
            <w:tcW w:w="592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(signed) KPMG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December 17, 2015</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December 17, 2015</w:t>
      </w:r>
      <w:r>
        <w:rPr>
          <w:sz w:val="20"/>
          <w:szCs w:val="20"/>
          <w:color w:val="auto"/>
        </w:rPr>
        <w:tab/>
      </w:r>
      <w:r>
        <w:rPr>
          <w:rFonts w:ascii="Arial" w:cs="Arial" w:eastAsia="Arial" w:hAnsi="Arial"/>
          <w:sz w:val="16"/>
          <w:szCs w:val="16"/>
          <w:color w:val="auto"/>
        </w:rPr>
        <w:t>/s/ Scott Salmirs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-10160</wp:posOffset>
            </wp:positionV>
            <wp:extent cx="1206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Scott Salmirs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17, 2015</w:t>
            </w: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Anthony Scaglione</w:t>
            </w:r>
          </w:p>
        </w:tc>
        <w:tc>
          <w:tcPr>
            <w:tcW w:w="1440" w:type="dxa"/>
            <w:vAlign w:val="bottom"/>
          </w:tcPr>
          <w:p>
            <w:pPr>
              <w:spacing w:after="0"/>
              <w:rPr>
                <w:sz w:val="18"/>
                <w:szCs w:val="18"/>
                <w:color w:val="auto"/>
              </w:rPr>
            </w:pPr>
          </w:p>
        </w:tc>
      </w:tr>
      <w:tr>
        <w:trPr>
          <w:trHeight w:val="222"/>
        </w:trPr>
        <w:tc>
          <w:tcPr>
            <w:tcW w:w="2140" w:type="dxa"/>
            <w:vAlign w:val="bottom"/>
          </w:tcPr>
          <w:p>
            <w:pPr>
              <w:spacing w:after="0"/>
              <w:rPr>
                <w:sz w:val="19"/>
                <w:szCs w:val="19"/>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3800" w:type="dxa"/>
            <w:vAlign w:val="bottom"/>
            <w:gridSpan w:val="2"/>
          </w:tcPr>
          <w:p>
            <w:pPr>
              <w:ind w:left="1760"/>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420"/>
          </w:cols>
          <w:pgMar w:left="240" w:top="36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2015,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71" w:lineRule="exact"/>
        <w:rPr>
          <w:sz w:val="20"/>
          <w:szCs w:val="20"/>
          <w:color w:val="auto"/>
        </w:rPr>
      </w:pPr>
    </w:p>
    <w:p>
      <w:pPr>
        <w:ind w:left="980" w:hanging="648"/>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December 17, 2015</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Salmirs</w:t>
            </w:r>
          </w:p>
        </w:tc>
        <w:tc>
          <w:tcPr>
            <w:tcW w:w="1960" w:type="dxa"/>
            <w:vAlign w:val="bottom"/>
            <w:gridSpan w:val="2"/>
          </w:tcPr>
          <w:p>
            <w:pPr>
              <w:spacing w:after="0"/>
              <w:rPr>
                <w:sz w:val="17"/>
                <w:szCs w:val="17"/>
                <w:color w:val="auto"/>
              </w:rPr>
            </w:pPr>
          </w:p>
        </w:tc>
      </w:tr>
      <w:tr>
        <w:trPr>
          <w:trHeight w:val="222"/>
        </w:trPr>
        <w:tc>
          <w:tcPr>
            <w:tcW w:w="2140" w:type="dxa"/>
            <w:vAlign w:val="bottom"/>
          </w:tcPr>
          <w:p>
            <w:pPr>
              <w:spacing w:after="0"/>
              <w:rPr>
                <w:sz w:val="19"/>
                <w:szCs w:val="19"/>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rPr>
              <w:t>Scott Salmirs</w:t>
            </w:r>
          </w:p>
        </w:tc>
      </w:tr>
      <w:tr>
        <w:trPr>
          <w:trHeight w:val="216"/>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rPr>
              <w:t>Chief Executive Officer</w:t>
            </w:r>
          </w:p>
        </w:tc>
      </w:tr>
      <w:tr>
        <w:trPr>
          <w:trHeight w:val="230"/>
        </w:trPr>
        <w:tc>
          <w:tcPr>
            <w:tcW w:w="2140" w:type="dxa"/>
            <w:vAlign w:val="bottom"/>
          </w:tcPr>
          <w:p>
            <w:pPr>
              <w:spacing w:after="0"/>
              <w:rPr>
                <w:sz w:val="20"/>
                <w:szCs w:val="20"/>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w w:val="93"/>
              </w:rPr>
              <w:t>(Principal Executive Officer)</w:t>
            </w:r>
          </w:p>
        </w:tc>
      </w:tr>
      <w:tr>
        <w:trPr>
          <w:trHeight w:val="608"/>
        </w:trPr>
        <w:tc>
          <w:tcPr>
            <w:tcW w:w="2140" w:type="dxa"/>
            <w:vAlign w:val="bottom"/>
          </w:tcPr>
          <w:p>
            <w:pPr>
              <w:spacing w:after="0"/>
              <w:rPr>
                <w:sz w:val="20"/>
                <w:szCs w:val="20"/>
                <w:color w:val="auto"/>
              </w:rPr>
            </w:pPr>
            <w:r>
              <w:rPr>
                <w:rFonts w:ascii="Arial" w:cs="Arial" w:eastAsia="Arial" w:hAnsi="Arial"/>
                <w:sz w:val="18"/>
                <w:szCs w:val="18"/>
                <w:color w:val="auto"/>
              </w:rPr>
              <w:t>December 17, 2015</w:t>
            </w: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 Anthony Scaglione</w:t>
            </w:r>
          </w:p>
        </w:tc>
        <w:tc>
          <w:tcPr>
            <w:tcW w:w="1500" w:type="dxa"/>
            <w:vAlign w:val="bottom"/>
          </w:tcPr>
          <w:p>
            <w:pPr>
              <w:spacing w:after="0"/>
              <w:rPr>
                <w:sz w:val="24"/>
                <w:szCs w:val="24"/>
                <w:color w:val="auto"/>
              </w:rPr>
            </w:pPr>
          </w:p>
        </w:tc>
      </w:tr>
      <w:tr>
        <w:trPr>
          <w:trHeight w:val="222"/>
        </w:trPr>
        <w:tc>
          <w:tcPr>
            <w:tcW w:w="2140" w:type="dxa"/>
            <w:vAlign w:val="bottom"/>
          </w:tcPr>
          <w:p>
            <w:pPr>
              <w:spacing w:after="0"/>
              <w:rPr>
                <w:sz w:val="19"/>
                <w:szCs w:val="19"/>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rPr>
              <w:t>D. Anthony Scaglione</w:t>
            </w:r>
          </w:p>
        </w:tc>
      </w:tr>
      <w:tr>
        <w:trPr>
          <w:trHeight w:val="216"/>
        </w:trPr>
        <w:tc>
          <w:tcPr>
            <w:tcW w:w="2140" w:type="dxa"/>
            <w:vAlign w:val="bottom"/>
          </w:tcPr>
          <w:p>
            <w:pPr>
              <w:spacing w:after="0"/>
              <w:rPr>
                <w:sz w:val="18"/>
                <w:szCs w:val="18"/>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rPr>
              <w:t>Chief Financial Officer</w:t>
            </w:r>
          </w:p>
        </w:tc>
      </w:tr>
      <w:tr>
        <w:trPr>
          <w:trHeight w:val="230"/>
        </w:trPr>
        <w:tc>
          <w:tcPr>
            <w:tcW w:w="2140" w:type="dxa"/>
            <w:vAlign w:val="bottom"/>
          </w:tcPr>
          <w:p>
            <w:pPr>
              <w:spacing w:after="0"/>
              <w:rPr>
                <w:sz w:val="20"/>
                <w:szCs w:val="20"/>
                <w:color w:val="auto"/>
              </w:rPr>
            </w:pPr>
          </w:p>
        </w:tc>
        <w:tc>
          <w:tcPr>
            <w:tcW w:w="3860" w:type="dxa"/>
            <w:vAlign w:val="bottom"/>
            <w:gridSpan w:val="3"/>
          </w:tcPr>
          <w:p>
            <w:pPr>
              <w:ind w:left="1760"/>
              <w:spacing w:after="0"/>
              <w:rPr>
                <w:sz w:val="20"/>
                <w:szCs w:val="20"/>
                <w:color w:val="auto"/>
              </w:rPr>
            </w:pPr>
            <w:r>
              <w:rPr>
                <w:rFonts w:ascii="Arial" w:cs="Arial" w:eastAsia="Arial" w:hAnsi="Arial"/>
                <w:sz w:val="18"/>
                <w:szCs w:val="18"/>
                <w:color w:val="auto"/>
                <w:w w:val="96"/>
              </w:rPr>
              <w:t>(Principal Financial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2"/>
    </w:lvl>
    <w:lvl w:ilvl="1">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4"/>
    </w:lvl>
  </w:abstractNum>
  <w:abstractNum w:abstractNumId="22">
    <w:nsid w:val="3855585C"/>
    <w:multiLevelType w:val="hybridMultilevel"/>
    <w:lvl w:ilvl="0">
      <w:lvlJc w:val="left"/>
      <w:lvlText w:val="(%1)"/>
      <w:numFmt w:val="decimal"/>
      <w:start w:val="7"/>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3"/>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7"/>
    </w:lvl>
  </w:abstractNum>
  <w:abstractNum w:abstractNumId="33">
    <w:nsid w:val="6DE91B18"/>
    <w:multiLevelType w:val="hybridMultilevel"/>
    <w:lvl w:ilvl="0">
      <w:lvlJc w:val="left"/>
      <w:lvlText w:val="%1."/>
      <w:numFmt w:val="decimal"/>
      <w:start w:val="10"/>
    </w:lvl>
  </w:abstractNum>
  <w:abstractNum w:abstractNumId="34">
    <w:nsid w:val="38437FDB"/>
    <w:multiLevelType w:val="hybridMultilevel"/>
    <w:lvl w:ilvl="0">
      <w:lvlJc w:val="left"/>
      <w:lvlText w:val="%1."/>
      <w:numFmt w:val="decimal"/>
      <w:start w:val="1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4"/>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5"/>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9"/>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bullet"/>
      <w:start w:val="1"/>
    </w:lvl>
  </w:abstractNum>
  <w:abstractNum w:abstractNumId="51">
    <w:nsid w:val="275AC794"/>
    <w:multiLevelType w:val="hybridMultilevel"/>
    <w:lvl w:ilvl="0">
      <w:lvlJc w:val="left"/>
      <w:lvlText w:val="1"/>
      <w:numFmt w:val="bullet"/>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3"/>
      <w:numFmt w:val="bullet"/>
      <w:start w:val="1"/>
    </w:lvl>
  </w:abstractNum>
  <w:abstractNum w:abstractNumId="54">
    <w:nsid w:val="180115BE"/>
    <w:multiLevelType w:val="hybridMultilevel"/>
    <w:lvl w:ilvl="0">
      <w:lvlJc w:val="left"/>
      <w:lvlText w:val="4"/>
      <w:numFmt w:val="bullet"/>
      <w:start w:val="1"/>
    </w:lvl>
  </w:abstractNum>
  <w:abstractNum w:abstractNumId="55">
    <w:nsid w:val="235BA861"/>
    <w:multiLevelType w:val="hybridMultilevel"/>
    <w:lvl w:ilvl="0">
      <w:lvlJc w:val="left"/>
      <w:lvlText w:val="%1."/>
      <w:numFmt w:val="decimal"/>
      <w:start w:val="10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2019-12-29T13:26:25Z</dcterms:created>
  <dcterms:modified xsi:type="dcterms:W3CDTF">2019-12-29T13:26:25Z</dcterms:modified>
</cp:coreProperties>
</file>