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McConnell Sarah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43"/>
        <w:spacing w:after="0"/>
        <w:rPr>
          <w:sz w:val="20"/>
          <w:szCs w:val="20"/>
          <w:color w:val="auto"/>
        </w:rPr>
      </w:pPr>
      <w:r>
        <w:rPr>
          <w:rFonts w:ascii="Arial" w:cs="Arial" w:eastAsia="Arial" w:hAnsi="Arial"/>
          <w:sz w:val="16"/>
          <w:szCs w:val="16"/>
          <w:color w:val="0000FF"/>
        </w:rPr>
        <w:t>EVP/GEN. COUNSEL/CORP. SECTY.</w:t>
      </w:r>
    </w:p>
    <w:p>
      <w:pPr>
        <w:spacing w:after="0" w:line="429"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07/11/2016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1,375</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64,891</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14,754 unvested RSUs, 24,502 vested RSUs, the receipt of which has been deferred and DERS relating to the RSUs, adjusted to reflect the cumulative effect of fractional shares, 3,589 performance shares earned but not vested with respect to performance shares granted on 1/14/2014, 978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07/15/2016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355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2019-12-23T21:39:13Z</dcterms:created>
  <dcterms:modified xsi:type="dcterms:W3CDTF">2019-12-23T21:39:13Z</dcterms:modified>
</cp:coreProperties>
</file>