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16" w:lineRule="exact"/>
        <w:rPr>
          <w:sz w:val="20"/>
          <w:szCs w:val="20"/>
          <w:color w:val="auto"/>
        </w:rPr>
      </w:pPr>
    </w:p>
    <w:p>
      <w:pPr>
        <w:ind w:left="1460" w:right="2920" w:hanging="890"/>
        <w:spacing w:after="0" w:line="261"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July 31, 2010</w:t>
      </w:r>
    </w:p>
    <w:p>
      <w:pPr>
        <w:spacing w:after="0" w:line="17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189" w:lineRule="exact"/>
        <w:rPr>
          <w:sz w:val="20"/>
          <w:szCs w:val="20"/>
          <w:color w:val="auto"/>
        </w:rPr>
      </w:pPr>
    </w:p>
    <w:p>
      <w:pPr>
        <w:ind w:left="1460" w:right="2940" w:hanging="850"/>
        <w:spacing w:after="0" w:line="261"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0"/>
          <w:szCs w:val="20"/>
          <w:color w:val="auto"/>
        </w:rPr>
      </w:pPr>
    </w:p>
    <w:p>
      <w:pPr>
        <w:ind w:left="258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5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141"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right"/>
              <w:ind w:right="1650"/>
              <w:spacing w:after="0"/>
              <w:rPr>
                <w:sz w:val="20"/>
                <w:szCs w:val="20"/>
                <w:color w:val="auto"/>
              </w:rPr>
            </w:pPr>
            <w:r>
              <w:rPr>
                <w:rFonts w:ascii="Arial" w:cs="Arial" w:eastAsia="Arial" w:hAnsi="Arial"/>
                <w:sz w:val="18"/>
                <w:szCs w:val="18"/>
                <w:b w:val="1"/>
                <w:bCs w:val="1"/>
                <w:color w:val="auto"/>
              </w:rPr>
              <w:t>94-1369354</w:t>
            </w:r>
          </w:p>
        </w:tc>
      </w:tr>
      <w:tr>
        <w:trPr>
          <w:trHeight w:val="209"/>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42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69"/>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9"/>
              </w:rPr>
              <w:t>551 Fifth Avenue, Suite 300, New York,</w:t>
            </w:r>
          </w:p>
        </w:tc>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5"/>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w:t>
            </w:r>
          </w:p>
        </w:tc>
        <w:tc>
          <w:tcPr>
            <w:tcW w:w="490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10176</w:t>
            </w:r>
          </w:p>
        </w:tc>
      </w:tr>
      <w:tr>
        <w:trPr>
          <w:trHeight w:val="223"/>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53"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212/297-0200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11430</wp:posOffset>
            </wp:positionV>
            <wp:extent cx="2684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1"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4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None</w:t>
      </w:r>
    </w:p>
    <w:p>
      <w:pPr>
        <w:spacing w:after="0" w:line="18"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1" w:lineRule="exact"/>
        <w:rPr>
          <w:sz w:val="20"/>
          <w:szCs w:val="20"/>
          <w:color w:val="auto"/>
        </w:rPr>
      </w:pPr>
    </w:p>
    <w:p>
      <w:pPr>
        <w:jc w:val="both"/>
        <w:ind w:left="340" w:right="17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70" w:lineRule="exact"/>
        <w:rPr>
          <w:sz w:val="20"/>
          <w:szCs w:val="20"/>
          <w:color w:val="auto"/>
        </w:rPr>
      </w:pPr>
    </w:p>
    <w:p>
      <w:pPr>
        <w:jc w:val="both"/>
        <w:ind w:left="340" w:right="1760"/>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8" w:lineRule="exact"/>
        <w:rPr>
          <w:sz w:val="20"/>
          <w:szCs w:val="20"/>
          <w:color w:val="auto"/>
        </w:rPr>
      </w:pPr>
    </w:p>
    <w:p>
      <w:pPr>
        <w:jc w:val="both"/>
        <w:ind w:left="340" w:right="176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3" w:lineRule="exact"/>
        <w:rPr>
          <w:sz w:val="20"/>
          <w:szCs w:val="20"/>
          <w:color w:val="auto"/>
        </w:rPr>
      </w:pPr>
    </w:p>
    <w:p>
      <w:pPr>
        <w:ind w:left="3020" w:right="1780" w:hanging="4621"/>
        <w:spacing w:after="0" w:line="216" w:lineRule="exact"/>
        <w:tabs>
          <w:tab w:leader="none" w:pos="3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w:t>
      </w:r>
    </w:p>
    <w:p>
      <w:pPr>
        <w:spacing w:after="0" w:line="3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reporting company)</w:t>
      </w:r>
    </w:p>
    <w:p>
      <w:pPr>
        <w:spacing w:after="0" w:line="171" w:lineRule="exact"/>
        <w:rPr>
          <w:sz w:val="20"/>
          <w:szCs w:val="20"/>
          <w:color w:val="auto"/>
        </w:rPr>
      </w:pPr>
    </w:p>
    <w:p>
      <w:pPr>
        <w:ind w:left="340" w:right="176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70"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Class</w:t>
            </w:r>
          </w:p>
        </w:tc>
        <w:tc>
          <w:tcPr>
            <w:tcW w:w="460" w:type="dxa"/>
            <w:vAlign w:val="bottom"/>
          </w:tcPr>
          <w:p>
            <w:pPr>
              <w:spacing w:after="0"/>
              <w:rPr>
                <w:sz w:val="18"/>
                <w:szCs w:val="18"/>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Outstanding at August 27, 2010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9"/>
              </w:rPr>
              <w:t>Common Stock, $0.01 par value per share</w:t>
            </w:r>
          </w:p>
        </w:tc>
        <w:tc>
          <w:tcPr>
            <w:tcW w:w="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52,219,972 shares</w:t>
            </w:r>
          </w:p>
        </w:tc>
        <w:tc>
          <w:tcPr>
            <w:tcW w:w="1760" w:type="dxa"/>
            <w:vAlign w:val="bottom"/>
          </w:tcPr>
          <w:p>
            <w:pPr>
              <w:spacing w:after="0"/>
              <w:rPr>
                <w:sz w:val="19"/>
                <w:szCs w:val="19"/>
                <w:color w:val="auto"/>
              </w:rPr>
            </w:pPr>
          </w:p>
        </w:tc>
      </w:tr>
      <w:tr>
        <w:trPr>
          <w:trHeight w:val="176"/>
        </w:trPr>
        <w:tc>
          <w:tcPr>
            <w:tcW w:w="340" w:type="dxa"/>
            <w:vAlign w:val="bottom"/>
          </w:tcPr>
          <w:p>
            <w:pPr>
              <w:spacing w:after="0"/>
              <w:rPr>
                <w:sz w:val="15"/>
                <w:szCs w:val="15"/>
                <w:color w:val="auto"/>
              </w:rPr>
            </w:pPr>
          </w:p>
        </w:tc>
        <w:tc>
          <w:tcPr>
            <w:tcW w:w="4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760" w:type="dxa"/>
            <w:vAlign w:val="bottom"/>
          </w:tcPr>
          <w:p>
            <w:pPr>
              <w:spacing w:after="0"/>
              <w:rPr>
                <w:sz w:val="15"/>
                <w:szCs w:val="15"/>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996"/>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80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80" w:type="dxa"/>
            <w:vAlign w:val="bottom"/>
            <w:gridSpan w:val="11"/>
          </w:tcPr>
          <w:p>
            <w:pPr>
              <w:jc w:val="center"/>
              <w:ind w:right="1120"/>
              <w:spacing w:after="0"/>
              <w:rPr>
                <w:sz w:val="20"/>
                <w:szCs w:val="20"/>
                <w:color w:val="auto"/>
              </w:rPr>
            </w:pPr>
            <w:r>
              <w:rPr>
                <w:rFonts w:ascii="Arial" w:cs="Arial" w:eastAsia="Arial" w:hAnsi="Arial"/>
                <w:sz w:val="18"/>
                <w:szCs w:val="18"/>
                <w:b w:val="1"/>
                <w:bCs w:val="1"/>
                <w:color w:val="auto"/>
                <w:w w:val="99"/>
              </w:rPr>
              <w:t>ABM INDUSTRIES INCORPORATED AND SUBSIDIARIES</w:t>
            </w:r>
          </w:p>
        </w:tc>
        <w:tc>
          <w:tcPr>
            <w:tcW w:w="8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20" w:type="dxa"/>
            <w:vAlign w:val="bottom"/>
            <w:gridSpan w:val="5"/>
          </w:tcPr>
          <w:p>
            <w:pPr>
              <w:jc w:val="center"/>
              <w:ind w:right="3000"/>
              <w:spacing w:after="0"/>
              <w:rPr>
                <w:sz w:val="20"/>
                <w:szCs w:val="20"/>
                <w:color w:val="auto"/>
              </w:rPr>
            </w:pPr>
            <w:r>
              <w:rPr>
                <w:rFonts w:ascii="Arial" w:cs="Arial" w:eastAsia="Arial" w:hAnsi="Arial"/>
                <w:sz w:val="18"/>
                <w:szCs w:val="18"/>
                <w:b w:val="1"/>
                <w:bCs w:val="1"/>
                <w:color w:val="auto"/>
                <w:w w:val="99"/>
              </w:rPr>
              <w:t>FORM 10-Q</w:t>
            </w:r>
          </w:p>
        </w:tc>
        <w:tc>
          <w:tcPr>
            <w:tcW w:w="8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9"/>
              </w:rPr>
              <w:t>For the quarterly period ended July 31, 2010</w:t>
            </w:r>
          </w:p>
        </w:tc>
        <w:tc>
          <w:tcPr>
            <w:tcW w:w="8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9"/>
              </w:rPr>
              <w:t>Table of Contents</w:t>
            </w:r>
          </w:p>
        </w:tc>
        <w:tc>
          <w:tcPr>
            <w:tcW w:w="880" w:type="dxa"/>
            <w:vAlign w:val="bottom"/>
          </w:tcPr>
          <w:p>
            <w:pPr>
              <w:spacing w:after="0"/>
              <w:rPr>
                <w:sz w:val="24"/>
                <w:szCs w:val="24"/>
                <w:color w:val="auto"/>
              </w:rPr>
            </w:pPr>
          </w:p>
        </w:tc>
      </w:tr>
      <w:tr>
        <w:trPr>
          <w:trHeight w:val="365"/>
        </w:trPr>
        <w:tc>
          <w:tcPr>
            <w:tcW w:w="836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Item 1. Financial Statements</w:t>
              </w:r>
            </w:hyperlink>
          </w:p>
        </w:tc>
        <w:tc>
          <w:tcPr>
            <w:tcW w:w="660" w:type="dxa"/>
            <w:vAlign w:val="bottom"/>
            <w:tcBorders>
              <w:top w:val="single" w:sz="8" w:color="0000EE"/>
            </w:tcBorders>
            <w:gridSpan w:val="3"/>
          </w:tcPr>
          <w:p>
            <w:pPr>
              <w:spacing w:after="0"/>
              <w:rPr>
                <w:sz w:val="24"/>
                <w:szCs w:val="24"/>
                <w:color w:val="auto"/>
              </w:rPr>
            </w:pPr>
          </w:p>
        </w:tc>
        <w:tc>
          <w:tcPr>
            <w:tcW w:w="542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76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Item 2. Management’s Discussion and Analysis of Financial Condition and Results of Operations</w:t>
              </w:r>
            </w:hyperlink>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5"/>
        </w:trPr>
        <w:tc>
          <w:tcPr>
            <w:tcW w:w="836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85"/>
        </w:trPr>
        <w:tc>
          <w:tcPr>
            <w:tcW w:w="5300" w:type="dxa"/>
            <w:vAlign w:val="bottom"/>
            <w:tcBorders>
              <w:top w:val="single" w:sz="8" w:color="0000EE"/>
            </w:tcBorders>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306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2660" w:type="dxa"/>
            <w:vAlign w:val="bottom"/>
            <w:tcBorders>
              <w:bottom w:val="single" w:sz="8" w:color="0000EE"/>
            </w:tcBorders>
            <w:gridSpan w:val="14"/>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II. OTHER INFORMATION</w:t>
              </w:r>
            </w:hyperlink>
          </w:p>
        </w:tc>
        <w:tc>
          <w:tcPr>
            <w:tcW w:w="570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836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208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28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836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5440" w:type="dxa"/>
            <w:vAlign w:val="bottom"/>
            <w:tcBorders>
              <w:top w:val="single" w:sz="8" w:color="0000EE"/>
            </w:tcBorders>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Defaults Upon Senior Securities</w:t>
              </w:r>
            </w:hyperlink>
          </w:p>
        </w:tc>
        <w:tc>
          <w:tcPr>
            <w:tcW w:w="292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3140" w:type="dxa"/>
            <w:vAlign w:val="bottom"/>
            <w:tcBorders>
              <w:top w:val="single" w:sz="8" w:color="0000EE"/>
            </w:tcBorders>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Reserved</w:t>
              </w:r>
            </w:hyperlink>
          </w:p>
        </w:tc>
        <w:tc>
          <w:tcPr>
            <w:tcW w:w="522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20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5. Other Information</w:t>
              </w:r>
            </w:hyperlink>
          </w:p>
        </w:tc>
        <w:tc>
          <w:tcPr>
            <w:tcW w:w="636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836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12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7140" w:type="dxa"/>
            <w:vAlign w:val="bottom"/>
            <w:gridSpan w:val="15"/>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5"/>
        </w:trPr>
        <w:tc>
          <w:tcPr>
            <w:tcW w:w="40" w:type="dxa"/>
            <w:vAlign w:val="bottom"/>
            <w:tcBorders>
              <w:top w:val="single" w:sz="8" w:color="0000EE"/>
            </w:tcBorders>
          </w:tcPr>
          <w:p>
            <w:pPr>
              <w:spacing w:after="0"/>
              <w:rPr>
                <w:sz w:val="24"/>
                <w:szCs w:val="24"/>
                <w:color w:val="auto"/>
              </w:rPr>
            </w:pPr>
          </w:p>
        </w:tc>
        <w:tc>
          <w:tcPr>
            <w:tcW w:w="9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Exhibit 31.1</w:t>
            </w:r>
          </w:p>
        </w:tc>
        <w:tc>
          <w:tcPr>
            <w:tcW w:w="180" w:type="dxa"/>
            <w:vAlign w:val="bottom"/>
            <w:tcBorders>
              <w:top w:val="single" w:sz="8" w:color="0000EE"/>
            </w:tcBorders>
          </w:tcPr>
          <w:p>
            <w:pPr>
              <w:spacing w:after="0"/>
              <w:rPr>
                <w:sz w:val="24"/>
                <w:szCs w:val="24"/>
                <w:color w:val="auto"/>
              </w:rPr>
            </w:pPr>
          </w:p>
        </w:tc>
        <w:tc>
          <w:tcPr>
            <w:tcW w:w="7200" w:type="dxa"/>
            <w:vAlign w:val="bottom"/>
            <w:gridSpan w:val="16"/>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Exhibit 31.2</w:t>
            </w:r>
          </w:p>
        </w:tc>
        <w:tc>
          <w:tcPr>
            <w:tcW w:w="7400" w:type="dxa"/>
            <w:vAlign w:val="bottom"/>
            <w:gridSpan w:val="18"/>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78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Exhibit 32</w:t>
            </w:r>
          </w:p>
        </w:tc>
        <w:tc>
          <w:tcPr>
            <w:tcW w:w="7540" w:type="dxa"/>
            <w:vAlign w:val="bottom"/>
            <w:gridSpan w:val="19"/>
          </w:tcPr>
          <w:p>
            <w:pPr>
              <w:spacing w:after="0"/>
              <w:rPr>
                <w:sz w:val="15"/>
                <w:szCs w:val="15"/>
                <w:color w:val="auto"/>
              </w:rPr>
            </w:pPr>
          </w:p>
        </w:tc>
        <w:tc>
          <w:tcPr>
            <w:tcW w:w="880" w:type="dxa"/>
            <w:vAlign w:val="bottom"/>
          </w:tcPr>
          <w:p>
            <w:pPr>
              <w:spacing w:after="0"/>
              <w:rPr>
                <w:sz w:val="15"/>
                <w:szCs w:val="15"/>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ind w:left="40"/>
        <w:spacing w:after="0" w:line="234" w:lineRule="auto"/>
        <w:rPr>
          <w:sz w:val="20"/>
          <w:szCs w:val="20"/>
          <w:color w:val="auto"/>
        </w:rPr>
      </w:pPr>
      <w:r>
        <w:rPr>
          <w:rFonts w:ascii="Arial" w:cs="Arial" w:eastAsia="Arial" w:hAnsi="Arial"/>
          <w:sz w:val="18"/>
          <w:szCs w:val="18"/>
          <w:u w:val="single" w:color="auto"/>
          <w:color w:val="0000EE"/>
        </w:rPr>
        <w:t>EX-101 SCHEMA DOCUMENT</w:t>
      </w:r>
    </w:p>
    <w:p>
      <w:pPr>
        <w:ind w:left="40"/>
        <w:spacing w:after="0" w:line="235" w:lineRule="auto"/>
        <w:rPr>
          <w:sz w:val="20"/>
          <w:szCs w:val="20"/>
          <w:color w:val="auto"/>
        </w:rPr>
      </w:pPr>
      <w:r>
        <w:rPr>
          <w:rFonts w:ascii="Arial" w:cs="Arial" w:eastAsia="Arial" w:hAnsi="Arial"/>
          <w:sz w:val="18"/>
          <w:szCs w:val="18"/>
          <w:u w:val="single" w:color="auto"/>
          <w:color w:val="0000EE"/>
        </w:rPr>
        <w:t>EX-101 CALCULATION LINKBASE DOCUMENT</w:t>
      </w:r>
    </w:p>
    <w:p>
      <w:pPr>
        <w:ind w:left="40"/>
        <w:spacing w:after="0" w:line="235" w:lineRule="auto"/>
        <w:rPr>
          <w:sz w:val="20"/>
          <w:szCs w:val="20"/>
          <w:color w:val="auto"/>
        </w:rPr>
      </w:pPr>
      <w:r>
        <w:rPr>
          <w:rFonts w:ascii="Arial" w:cs="Arial" w:eastAsia="Arial" w:hAnsi="Arial"/>
          <w:sz w:val="18"/>
          <w:szCs w:val="18"/>
          <w:u w:val="single" w:color="auto"/>
          <w:color w:val="0000EE"/>
        </w:rPr>
        <w:t>EX-101 LABELS LINKBASE DOCUMENT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5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r>
      <w:tr>
        <w:trPr>
          <w:trHeight w:val="225"/>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amounts)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r>
      <w:tr>
        <w:trPr>
          <w:trHeight w:val="210"/>
        </w:trPr>
        <w:tc>
          <w:tcPr>
            <w:tcW w:w="6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(Unaudited)</w:t>
            </w:r>
          </w:p>
        </w:tc>
      </w:tr>
      <w:tr>
        <w:trPr>
          <w:trHeight w:val="188"/>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05"/>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32,902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34,153</w:t>
            </w:r>
          </w:p>
        </w:tc>
      </w:tr>
      <w:tr>
        <w:trPr>
          <w:trHeight w:val="202"/>
        </w:trPr>
        <w:tc>
          <w:tcPr>
            <w:tcW w:w="6680" w:type="dxa"/>
            <w:vAlign w:val="bottom"/>
          </w:tcPr>
          <w:p>
            <w:pPr>
              <w:ind w:left="200"/>
              <w:spacing w:after="0" w:line="201" w:lineRule="exact"/>
              <w:rPr>
                <w:sz w:val="20"/>
                <w:szCs w:val="20"/>
                <w:color w:val="auto"/>
              </w:rPr>
            </w:pPr>
            <w:r>
              <w:rPr>
                <w:rFonts w:ascii="Arial" w:cs="Arial" w:eastAsia="Arial" w:hAnsi="Arial"/>
                <w:sz w:val="18"/>
                <w:szCs w:val="18"/>
                <w:color w:val="auto"/>
              </w:rPr>
              <w:t>Trade accounts receivable, net of allowances of $10,941 and $10,772 at July 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80" w:type="dxa"/>
            <w:vAlign w:val="bottom"/>
          </w:tcPr>
          <w:p>
            <w:pPr>
              <w:ind w:left="400"/>
              <w:spacing w:after="0" w:line="203" w:lineRule="exact"/>
              <w:rPr>
                <w:sz w:val="20"/>
                <w:szCs w:val="20"/>
                <w:color w:val="auto"/>
              </w:rPr>
            </w:pPr>
            <w:r>
              <w:rPr>
                <w:rFonts w:ascii="Arial" w:cs="Arial" w:eastAsia="Arial" w:hAnsi="Arial"/>
                <w:sz w:val="18"/>
                <w:szCs w:val="18"/>
                <w:color w:val="auto"/>
              </w:rPr>
              <w:t>2010 and October 31, 2009, respectively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458,689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445,241</w:t>
            </w:r>
          </w:p>
        </w:tc>
      </w:tr>
      <w:tr>
        <w:trPr>
          <w:trHeight w:val="203"/>
        </w:trPr>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income taxes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13,473</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5,554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10,787</w:t>
            </w:r>
          </w:p>
        </w:tc>
      </w:tr>
      <w:tr>
        <w:trPr>
          <w:trHeight w:val="203"/>
        </w:trPr>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41,760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38,781</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Notes receivable and other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17,964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21,374</w:t>
            </w:r>
          </w:p>
        </w:tc>
      </w:tr>
      <w:tr>
        <w:trPr>
          <w:trHeight w:val="203"/>
        </w:trPr>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49,752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52,171</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4,898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5,017</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617,757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620,997</w:t>
            </w:r>
          </w:p>
        </w:tc>
      </w:tr>
      <w:tr>
        <w:trPr>
          <w:trHeight w:val="20"/>
        </w:trPr>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66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4,567</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deposits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42,161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42,500</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Other investments and long-term receivables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4,980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6,240</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55,994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63,444</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Insurance recoverables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65,819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67,100</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34,425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32,446</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Investments in auction rate securities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19,589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19,531</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 $104,472 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$92,563 at July 31, 2010 and October 31, 2009, respectively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59,860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56,892</w:t>
            </w: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rPr>
              <w:t>Other intangible assets, net of accumulated amortization of $51,713 and $43,464 at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80" w:type="dxa"/>
            <w:vAlign w:val="bottom"/>
          </w:tcPr>
          <w:p>
            <w:pPr>
              <w:ind w:left="200"/>
              <w:spacing w:after="0" w:line="203" w:lineRule="exact"/>
              <w:rPr>
                <w:sz w:val="20"/>
                <w:szCs w:val="20"/>
                <w:color w:val="auto"/>
              </w:rPr>
            </w:pPr>
            <w:r>
              <w:rPr>
                <w:rFonts w:ascii="Arial" w:cs="Arial" w:eastAsia="Arial" w:hAnsi="Arial"/>
                <w:sz w:val="18"/>
                <w:szCs w:val="18"/>
                <w:color w:val="auto"/>
              </w:rPr>
              <w:t>July 31, 2010 and October 31, 2009, respectively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62,749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60,199</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563,404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547,237</w:t>
            </w:r>
          </w:p>
        </w:tc>
      </w:tr>
      <w:tr>
        <w:trPr>
          <w:trHeight w:val="20"/>
        </w:trPr>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1,528,798</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1,521,153</w:t>
            </w:r>
          </w:p>
        </w:tc>
      </w:tr>
      <w:tr>
        <w:trPr>
          <w:trHeight w:val="20"/>
        </w:trPr>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2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9"/>
              </w:rPr>
              <w:t>ABM INDUSTRIES INCORPORATED AND SUBSIDIARIES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9"/>
              </w:rPr>
              <w:t>(Continued)</w:t>
            </w: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July 31,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r>
      <w:tr>
        <w:trPr>
          <w:trHeight w:val="225"/>
        </w:trPr>
        <w:tc>
          <w:tcPr>
            <w:tcW w:w="340" w:type="dxa"/>
            <w:vAlign w:val="bottom"/>
          </w:tcPr>
          <w:p>
            <w:pPr>
              <w:spacing w:after="0"/>
              <w:rPr>
                <w:sz w:val="19"/>
                <w:szCs w:val="19"/>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except share amounts)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8"/>
                <w:szCs w:val="18"/>
                <w:color w:val="auto"/>
              </w:rPr>
              <w:t>(Unaudited)</w:t>
            </w:r>
          </w:p>
        </w:tc>
      </w:tr>
      <w:tr>
        <w:trPr>
          <w:trHeight w:val="188"/>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80,313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84,701</w:t>
            </w:r>
          </w:p>
        </w:tc>
      </w:tr>
      <w:tr>
        <w:trPr>
          <w:trHeight w:val="203"/>
        </w:trPr>
        <w:tc>
          <w:tcPr>
            <w:tcW w:w="340" w:type="dxa"/>
            <w:vAlign w:val="bottom"/>
          </w:tcPr>
          <w:p>
            <w:pPr>
              <w:spacing w:after="0"/>
              <w:rPr>
                <w:sz w:val="17"/>
                <w:szCs w:val="17"/>
                <w:color w:val="auto"/>
              </w:rPr>
            </w:pPr>
          </w:p>
        </w:tc>
        <w:tc>
          <w:tcPr>
            <w:tcW w:w="6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85,673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93,095</w:t>
            </w:r>
          </w:p>
        </w:tc>
      </w:tr>
      <w:tr>
        <w:trPr>
          <w:trHeight w:val="203"/>
        </w:trPr>
        <w:tc>
          <w:tcPr>
            <w:tcW w:w="340" w:type="dxa"/>
            <w:vAlign w:val="bottom"/>
          </w:tcPr>
          <w:p>
            <w:pPr>
              <w:spacing w:after="0"/>
              <w:rPr>
                <w:sz w:val="17"/>
                <w:szCs w:val="17"/>
                <w:color w:val="auto"/>
              </w:rPr>
            </w:pPr>
          </w:p>
        </w:tc>
        <w:tc>
          <w:tcPr>
            <w:tcW w:w="694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Taxes — other than income</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15,293</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17,539</w:t>
            </w: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Insurance claims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78,397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78,144</w:t>
            </w:r>
          </w:p>
        </w:tc>
      </w:tr>
      <w:tr>
        <w:trPr>
          <w:trHeight w:val="203"/>
        </w:trPr>
        <w:tc>
          <w:tcPr>
            <w:tcW w:w="340" w:type="dxa"/>
            <w:vAlign w:val="bottom"/>
          </w:tcPr>
          <w:p>
            <w:pPr>
              <w:spacing w:after="0"/>
              <w:rPr>
                <w:sz w:val="17"/>
                <w:szCs w:val="17"/>
                <w:color w:val="auto"/>
              </w:rPr>
            </w:pPr>
          </w:p>
        </w:tc>
        <w:tc>
          <w:tcPr>
            <w:tcW w:w="694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74,098</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66,279</w:t>
            </w: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1,871</w:t>
            </w:r>
          </w:p>
        </w:tc>
      </w:tr>
      <w:tr>
        <w:trPr>
          <w:trHeight w:val="203"/>
        </w:trPr>
        <w:tc>
          <w:tcPr>
            <w:tcW w:w="340" w:type="dxa"/>
            <w:vAlign w:val="bottom"/>
          </w:tcPr>
          <w:p>
            <w:pPr>
              <w:spacing w:after="0"/>
              <w:rPr>
                <w:sz w:val="17"/>
                <w:szCs w:val="17"/>
                <w:color w:val="auto"/>
              </w:rPr>
            </w:pPr>
          </w:p>
        </w:tc>
        <w:tc>
          <w:tcPr>
            <w:tcW w:w="6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Current liabilities of discontinued operations</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336,210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342,694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27,432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17,763</w:t>
            </w: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Line of credit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172,500</w:t>
            </w:r>
          </w:p>
        </w:tc>
      </w:tr>
      <w:tr>
        <w:trPr>
          <w:trHeight w:val="203"/>
        </w:trPr>
        <w:tc>
          <w:tcPr>
            <w:tcW w:w="340" w:type="dxa"/>
            <w:vAlign w:val="bottom"/>
          </w:tcPr>
          <w:p>
            <w:pPr>
              <w:spacing w:after="0"/>
              <w:rPr>
                <w:sz w:val="17"/>
                <w:szCs w:val="17"/>
                <w:color w:val="auto"/>
              </w:rPr>
            </w:pPr>
          </w:p>
        </w:tc>
        <w:tc>
          <w:tcPr>
            <w:tcW w:w="6940" w:type="dxa"/>
            <w:vAlign w:val="bottom"/>
            <w:gridSpan w:val="3"/>
          </w:tcPr>
          <w:p>
            <w:pPr>
              <w:spacing w:after="0" w:line="202" w:lineRule="exact"/>
              <w:rPr>
                <w:sz w:val="20"/>
                <w:szCs w:val="20"/>
                <w:color w:val="auto"/>
              </w:rPr>
            </w:pPr>
            <w:r>
              <w:rPr>
                <w:rFonts w:ascii="Arial" w:cs="Arial" w:eastAsia="Arial" w:hAnsi="Arial"/>
                <w:sz w:val="18"/>
                <w:szCs w:val="18"/>
                <w:color w:val="auto"/>
              </w:rPr>
              <w:t>Retirement plans and other</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31,694</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32,963</w:t>
            </w: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Insurance claims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266,572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268,183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940" w:type="dxa"/>
            <w:vAlign w:val="bottom"/>
            <w:gridSpan w:val="3"/>
          </w:tcPr>
          <w:p>
            <w:pPr>
              <w:ind w:left="4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811,908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834,103</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9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Common stock, $0.01 par value; 100,000,000 shares authorized; 52,203,570 and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51,688,218 shares issued at July 31, 2010 and October 31, 2009, respectively</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522</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517</w:t>
            </w: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185,129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176,480</w:t>
            </w:r>
          </w:p>
        </w:tc>
      </w:tr>
      <w:tr>
        <w:trPr>
          <w:trHeight w:val="203"/>
        </w:trPr>
        <w:tc>
          <w:tcPr>
            <w:tcW w:w="340" w:type="dxa"/>
            <w:vAlign w:val="bottom"/>
          </w:tcPr>
          <w:p>
            <w:pPr>
              <w:spacing w:after="0"/>
              <w:rPr>
                <w:sz w:val="17"/>
                <w:szCs w:val="17"/>
                <w:color w:val="auto"/>
              </w:rPr>
            </w:pPr>
          </w:p>
        </w:tc>
        <w:tc>
          <w:tcPr>
            <w:tcW w:w="69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taxes</w:t>
            </w:r>
          </w:p>
        </w:tc>
        <w:tc>
          <w:tcPr>
            <w:tcW w:w="1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(2,125)</w:t>
            </w:r>
          </w:p>
        </w:tc>
        <w:tc>
          <w:tcPr>
            <w:tcW w:w="12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(2,423)</w:t>
            </w: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533,364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512,476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940" w:type="dxa"/>
            <w:vAlign w:val="bottom"/>
            <w:gridSpan w:val="3"/>
          </w:tcPr>
          <w:p>
            <w:pPr>
              <w:ind w:left="40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716,890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687,050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1,528,798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1,521,153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22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4120" w:type="dxa"/>
            <w:vAlign w:val="bottom"/>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July 31,</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100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869,029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870,635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2,594,374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2,613,818</w:t>
            </w:r>
          </w:p>
        </w:tc>
        <w:tc>
          <w:tcPr>
            <w:tcW w:w="0" w:type="dxa"/>
            <w:vAlign w:val="bottom"/>
          </w:tcPr>
          <w:p>
            <w:pPr>
              <w:spacing w:after="0"/>
              <w:rPr>
                <w:sz w:val="1"/>
                <w:szCs w:val="1"/>
                <w:color w:val="auto"/>
              </w:rPr>
            </w:pPr>
          </w:p>
        </w:tc>
      </w:tr>
      <w:tr>
        <w:trPr>
          <w:trHeight w:val="40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776,224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782,449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2,330,299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2,335,865</w:t>
            </w: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54,697</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64,736</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182,743</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200,388</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8,251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40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833,703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850,137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2,521,293</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2,544,708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35,326</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20,498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73,081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69,110</w:t>
            </w:r>
          </w:p>
        </w:tc>
        <w:tc>
          <w:tcPr>
            <w:tcW w:w="0" w:type="dxa"/>
            <w:vAlign w:val="bottom"/>
          </w:tcPr>
          <w:p>
            <w:pPr>
              <w:spacing w:after="0"/>
              <w:rPr>
                <w:sz w:val="1"/>
                <w:szCs w:val="1"/>
                <w:color w:val="auto"/>
              </w:rPr>
            </w:pPr>
          </w:p>
        </w:tc>
      </w:tr>
      <w:tr>
        <w:trPr>
          <w:trHeight w:val="202"/>
        </w:trPr>
        <w:tc>
          <w:tcPr>
            <w:tcW w:w="44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02"/>
        </w:trPr>
        <w:tc>
          <w:tcPr>
            <w:tcW w:w="44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(2,009)</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3,541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taxes</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34,177</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17,460</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69,413</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63,091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13,204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26,981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22,887</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42,432</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40,204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20,963</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12,276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42,315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Basic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0.81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Diluted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0.80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0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Weighted-average common and common</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equivalent shares outstanding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Basic</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52,149</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51,471</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51,992</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52,996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51,937</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52,754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51,653</w:t>
            </w:r>
          </w:p>
        </w:tc>
        <w:tc>
          <w:tcPr>
            <w:tcW w:w="0" w:type="dxa"/>
            <w:vAlign w:val="bottom"/>
          </w:tcPr>
          <w:p>
            <w:pPr>
              <w:spacing w:after="0"/>
              <w:rPr>
                <w:sz w:val="1"/>
                <w:szCs w:val="1"/>
                <w:color w:val="auto"/>
              </w:rPr>
            </w:pPr>
          </w:p>
        </w:tc>
      </w:tr>
      <w:tr>
        <w:trPr>
          <w:trHeight w:val="41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0.135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0.130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0.390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67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80" w:type="dxa"/>
            <w:vAlign w:val="bottom"/>
            <w:vMerge w:val="restart"/>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July 31,</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8"/>
                <w:szCs w:val="18"/>
                <w:color w:val="auto"/>
                <w:w w:val="99"/>
              </w:rPr>
              <w:t>(Unaudited)</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42,315</w:t>
            </w:r>
          </w:p>
        </w:tc>
        <w:tc>
          <w:tcPr>
            <w:tcW w:w="3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40,204</w:t>
            </w:r>
          </w:p>
        </w:tc>
        <w:tc>
          <w:tcPr>
            <w:tcW w:w="0" w:type="dxa"/>
            <w:vAlign w:val="bottom"/>
          </w:tcPr>
          <w:p>
            <w:pPr>
              <w:spacing w:after="0"/>
              <w:rPr>
                <w:sz w:val="1"/>
                <w:szCs w:val="1"/>
                <w:color w:val="auto"/>
              </w:rPr>
            </w:pPr>
          </w:p>
        </w:tc>
      </w:tr>
      <w:tr>
        <w:trPr>
          <w:trHeight w:val="180"/>
        </w:trPr>
        <w:tc>
          <w:tcPr>
            <w:tcW w:w="700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Adjustments to reconcile income from continuing operations to net cash</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provided by continuing operating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26,072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23,871</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19,792</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2,113</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2,461</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Discount accretion on insurance claims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Auction rate security credit loss impairment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assets</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(1,043)</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Trade accounts receivable</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(6,026)</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assets and long-term receivables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16,113</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Retirement plans and other non-current liabilities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Insurance claims payable</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(3,006)</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 and other accrued liabilities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(18,646)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(16,916)</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30,527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72,959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52,636</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7,331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80,290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76,465</w:t>
            </w: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(19,217)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2,494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of businesses, net of cash acquired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(31,209)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(19,863)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(47,932)</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(32,293)</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exercises of stock options (including income tax benefit)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6,166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(21,051)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(20,007)</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Borrowings from line of credit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298,500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Repayment of borrowings from line of credit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(321,000)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(559,000)</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Changes in book cash overdrafts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3,776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(33,609)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(47,340)</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34,153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32,902</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23,573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(Continued)</w:t>
            </w:r>
          </w:p>
        </w:tc>
        <w:tc>
          <w:tcPr>
            <w:tcW w:w="0" w:type="dxa"/>
            <w:vAlign w:val="bottom"/>
          </w:tcPr>
          <w:p>
            <w:pPr>
              <w:spacing w:after="0"/>
              <w:rPr>
                <w:sz w:val="1"/>
                <w:szCs w:val="1"/>
                <w:color w:val="auto"/>
              </w:rPr>
            </w:pPr>
          </w:p>
        </w:tc>
      </w:tr>
      <w:tr>
        <w:trPr>
          <w:trHeight w:val="369"/>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67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80" w:type="dxa"/>
            <w:vAlign w:val="bottom"/>
            <w:vMerge w:val="restart"/>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9"/>
              </w:rPr>
              <w:t>July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240"/>
              <w:spacing w:after="0" w:line="196" w:lineRule="exact"/>
              <w:rPr>
                <w:sz w:val="20"/>
                <w:szCs w:val="20"/>
                <w:color w:val="auto"/>
              </w:rPr>
            </w:pPr>
            <w:r>
              <w:rPr>
                <w:rFonts w:ascii="Arial" w:cs="Arial" w:eastAsia="Arial" w:hAnsi="Arial"/>
                <w:sz w:val="18"/>
                <w:szCs w:val="18"/>
                <w:color w:val="auto"/>
                <w:w w:val="99"/>
              </w:rPr>
              <w:t>(Unaudited)</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Data:</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Cash paid for income taxes, net of refunds received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223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effect from exercise of options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Cash received from exercise of options</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5,506</w:t>
            </w:r>
          </w:p>
        </w:tc>
        <w:tc>
          <w:tcPr>
            <w:tcW w:w="2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paid on line of credit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2,527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 issued for business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80" w:right="1520"/>
        <w:spacing w:after="0" w:line="539" w:lineRule="auto"/>
        <w:rPr>
          <w:sz w:val="20"/>
          <w:szCs w:val="20"/>
          <w:color w:val="auto"/>
        </w:rPr>
      </w:pPr>
      <w:r>
        <w:rPr>
          <w:rFonts w:ascii="Arial" w:cs="Arial" w:eastAsia="Arial" w:hAnsi="Arial"/>
          <w:sz w:val="18"/>
          <w:szCs w:val="18"/>
          <w:b w:val="1"/>
          <w:bCs w:val="1"/>
          <w:color w:val="auto"/>
        </w:rPr>
        <w:t>ABM INDUSTRIES INCORPORATED AND SUBSIDIARIES NOTES TO THE CONDENSED CONSOLIDATED FINANCIAL STATEMENTS (UNAUDITED)</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accompanying condensed consolidated financial statements of ABM Industries Incorporated (“ABM”, and together with its subsidiaries, the “Company”) contained in this report are unaudited and should be read in conjunction with the consolidated financial statements and accompanying notes filed with the U.S. Securities and Exchange Commission (“SEC”) in ABM’s Annual Report on Form 10-K for the fiscal year ended October 31, 2009. All references to years are to the Company’s fiscal year, which ends on October 31.</w:t>
      </w:r>
    </w:p>
    <w:p>
      <w:pPr>
        <w:spacing w:after="0" w:line="162"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 The preparation of financial statements in accordance with GAAP requires management to make estimates and assumptions that affect the amounts reported in ABM’s condensed consolidated financial statements and the accompanying notes. These estimates are based on information available as of the date of these financial statements. As future events and their effects cannot be determined with precision, actual results could differ significantly from these estimates. Changes in those estimates resulting from continuing changes in the economic environment will be reflected in the financial statements in future periods. In the opinion of management, the accompanying condensed consolidated financial statements reflect all adjustments, which are normal and recurring, necessary to fairly state the information for each period contained therein. The results of operations for the three and nine months ended July 31, 2010 are not necessarily indicative of the operating results that might be expected for the full fiscal year or any future periods.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Parking Revenue Presentation</w:t>
      </w:r>
    </w:p>
    <w:p>
      <w:pPr>
        <w:spacing w:after="0" w:line="20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Company’s Parking segment reports both revenues and expenses, in equal amounts, for costs directly reimbursed from its managed parking lot clients. Parking revenues related solely to the reimbursement of expenses totaled $55.8 million and $57.2 million for the three months ended July 31, 2010 and 2009, respectively, and $169.0 million and $175.0 million for the nine months ended July 31, 2010 and 2009,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Recently Adopted Accounting Pronouncements</w:t>
      </w:r>
    </w:p>
    <w:p>
      <w:pPr>
        <w:spacing w:after="0" w:line="19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 xml:space="preserve">Effective November 1, 2009, the Company adopted the Financial Accounting Standards Board (“FASB”) updated authoritative standard for accounting for business combinations, which is included in Accounting Standards Codification </w:t>
      </w:r>
      <w:r>
        <w:rPr>
          <w:rFonts w:ascii="Arial" w:cs="Arial" w:eastAsia="Arial" w:hAnsi="Arial"/>
          <w:sz w:val="15"/>
          <w:szCs w:val="15"/>
          <w:color w:val="auto"/>
        </w:rPr>
        <w:t>TM</w:t>
      </w:r>
      <w:r>
        <w:rPr>
          <w:rFonts w:ascii="Arial" w:cs="Arial" w:eastAsia="Arial" w:hAnsi="Arial"/>
          <w:sz w:val="18"/>
          <w:szCs w:val="18"/>
          <w:color w:val="auto"/>
        </w:rPr>
        <w:t xml:space="preserve"> (“ASC”) Topic 805 “Business Combinations” (“ASC 805”). Upon adoption, on November 1, 2009, the Company expensed approximately $1.0 million of deferred acquisition costs for acquisitions then being pursued. In addition, during the nine months ended July 31, 2010, the Company incurred an additional $0.6 million of acquisition costs related to the acquisition of Diversco, Inc. (“Diversco”) and other acquisitions currently being pursued. This authoritative standard will impact the way in which the Company accounts for business combinations.</w:t>
      </w:r>
    </w:p>
    <w:p>
      <w:pPr>
        <w:spacing w:after="0" w:line="176"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Effective November 1, 2009, the Company adopted the FASB updated authoritative standard for determining the useful life of intangible assets, which is included in ASC Topic 350-30 “General Intangibles Other than Goodwill” (“ASC 350-30”). This authoritative standard amends the factors that should be considered in developing renewal or extension assumptions used to determine the useful life of a recognized intangible asset and requires additional disclosures. This authoritative standard must be applied prospectively to all intangible assets recognized as of the effective date. This authoritative standard had no impact on the Company’s condensed consolidated interim financial statements, but could impact the way in which the useful lives of intangible assets acquired in business combinations will be determined, if renewal or extension terms are apparent.</w:t>
      </w:r>
    </w:p>
    <w:p>
      <w:pPr>
        <w:spacing w:after="0" w:line="168"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Effective November 1, 2009, the Company adopted the FASB updated authoritative standard on employers’ disclosures about post-retirement benefit plan assets, which is included in ASC Topic 715 “Compensation— Retirement Benefits” (“ASC 715”). The authoritative standard expands the annual disclosures by adding required disclosures about how investment allocation decisions are made by management, major categories of plan assets and significant concentrations of risk. Additionally, an employer is now required to disclose information about the valuation of plan assets similar to the disclosure required under ASC Topic 820 “Fair Value Measurements and Disclosures” (“ASC 820”). This authoritative standard will not have an impact on the Company’s condensed consolidated interim financial statements as it only amends required annual disclosures.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1760"/>
        <w:spacing w:after="0" w:line="236" w:lineRule="auto"/>
        <w:rPr>
          <w:sz w:val="20"/>
          <w:szCs w:val="20"/>
          <w:color w:val="auto"/>
        </w:rPr>
      </w:pPr>
      <w:r>
        <w:rPr>
          <w:rFonts w:ascii="Arial" w:cs="Arial" w:eastAsia="Arial" w:hAnsi="Arial"/>
          <w:sz w:val="18"/>
          <w:szCs w:val="18"/>
          <w:color w:val="auto"/>
        </w:rPr>
        <w:t>Effective November 1, 2009, the Company adopted the FASB authoritative standard on fair value measurements for non-financial assets and non-financial liabilities measured on a non-recurring basis, which is included in ASC 820. The Company’s non-financial assets and non-financial liabilities principally consist of intangible assets acquired through business combinations and long-lived assets. During the nine months ended July 31, 2010, the Company did not re-measure any non-financial assets or non-financial liabilities at fair value, therefore, this authoritative standard did not have any impact on the Company’s condensed consolidated interim financial statements. This authoritative standard will impact the way in which fair value is measured and disclosed for non-financial assets and non-financial liabilities that are measured at fair value on a non-recurring basis in periods subsequent to initial recognition.</w:t>
      </w:r>
    </w:p>
    <w:p>
      <w:pPr>
        <w:spacing w:after="0" w:line="181" w:lineRule="exact"/>
        <w:rPr>
          <w:sz w:val="20"/>
          <w:szCs w:val="20"/>
          <w:color w:val="auto"/>
        </w:rPr>
      </w:pPr>
    </w:p>
    <w:p>
      <w:pPr>
        <w:jc w:val="both"/>
        <w:ind w:left="340" w:right="1760"/>
        <w:spacing w:after="0" w:line="236" w:lineRule="auto"/>
        <w:rPr>
          <w:sz w:val="20"/>
          <w:szCs w:val="20"/>
          <w:color w:val="auto"/>
        </w:rPr>
      </w:pPr>
      <w:r>
        <w:rPr>
          <w:rFonts w:ascii="Arial" w:cs="Arial" w:eastAsia="Arial" w:hAnsi="Arial"/>
          <w:sz w:val="18"/>
          <w:szCs w:val="18"/>
          <w:color w:val="auto"/>
        </w:rPr>
        <w:t>Effective February 1, 2010, the Company adopted FASB accounting standard update No. 2010-6, “Improving Disclosures about Fair Value Measurements”, issued in January 2010 related to fair value measurements and disclosures, except for the additional gross presentation disclosure requirements for Level 3 changes which will be adopted in the first quarter of 2012. The update requires entities to make new disclosures about recurring or non-recurring fair value measurements of assets and liabilities, including: (1) the amounts of significant transfers between Level 1 and Level 2 fair value measurements and the reasons for the transfers; (2) the reasons for any transfers in or out of Level 3; and (3) information on purchases, sales, issuances and settlements on a gross basis in the reconciliation of recurring Level 3 fair value measurements. The FASB also clarified existing fair value measurement disclosure guidance about the level of disaggregation of assets and liabilities, and information about the valuation techniques and inputs used in estimating Level 2 and Level 3 fair value measurements. The Company did not have transfers of assets and liabilities between Level 1, Level 2 and/or Level 3 during the nine months ended July 31, 2010 and the required additional disclosures had no impact on the Company’s financial position or results of operations. See Note 3, “Fair Value Measurements” and Note 4, “Auction Rate Securities”.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Measurements</w:t>
      </w:r>
    </w:p>
    <w:p>
      <w:pPr>
        <w:spacing w:after="0" w:line="193" w:lineRule="exact"/>
        <w:rPr>
          <w:sz w:val="20"/>
          <w:szCs w:val="20"/>
          <w:color w:val="auto"/>
        </w:rPr>
      </w:pPr>
    </w:p>
    <w:p>
      <w:pPr>
        <w:jc w:val="both"/>
        <w:ind w:left="340" w:right="1760"/>
        <w:spacing w:after="0" w:line="238" w:lineRule="auto"/>
        <w:rPr>
          <w:sz w:val="20"/>
          <w:szCs w:val="20"/>
          <w:color w:val="auto"/>
        </w:rPr>
      </w:pPr>
      <w:r>
        <w:rPr>
          <w:rFonts w:ascii="Arial" w:cs="Arial" w:eastAsia="Arial" w:hAnsi="Arial"/>
          <w:sz w:val="18"/>
          <w:szCs w:val="18"/>
          <w:color w:val="auto"/>
        </w:rPr>
        <w:t>As required by ASC 820, fair value is determined based on inputs or assumptions that market participants would use in pricing an asset or a liability. These assumptions consist of: (1) observable inputs — market data obtained from independent sources; or (2) unobservable inputs - market data determined using the company’s own assumptions about valuation. ASC 820 establishes a hierarchy to prioritize the inputs to valuation techniques, with the highest priority being given to Level 1 inputs and the lowest priority to Level 3 inputs, as described below:</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jc w:val="both"/>
        <w:ind w:left="700" w:right="1760"/>
        <w:spacing w:after="0" w:line="253"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 markets that are not active; and model-derived valuations in which all significant inputs or significant value-drivers are observable in active markets; and</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w:t>
      </w:r>
    </w:p>
    <w:p>
      <w:pPr>
        <w:spacing w:after="0" w:line="207"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The following tables presents the Company’s hierarchy for financial assets and liabilities measured at fair value on a recurring basis as of July 31, 2010 and October 31,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8"/>
          </w:tcPr>
          <w:p>
            <w:pPr>
              <w:jc w:val="center"/>
              <w:ind w:right="200"/>
              <w:spacing w:after="0"/>
              <w:rPr>
                <w:sz w:val="20"/>
                <w:szCs w:val="20"/>
                <w:color w:val="auto"/>
              </w:rPr>
            </w:pPr>
            <w:r>
              <w:rPr>
                <w:rFonts w:ascii="Arial" w:cs="Arial" w:eastAsia="Arial" w:hAnsi="Arial"/>
                <w:sz w:val="18"/>
                <w:szCs w:val="18"/>
                <w:color w:val="auto"/>
                <w:w w:val="98"/>
              </w:rPr>
              <w:t>Fair Value Measurements</w:t>
            </w:r>
          </w:p>
        </w:tc>
        <w:tc>
          <w:tcPr>
            <w:tcW w:w="17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Fair Value at</w:t>
            </w:r>
          </w:p>
        </w:tc>
        <w:tc>
          <w:tcPr>
            <w:tcW w:w="140" w:type="dxa"/>
            <w:vAlign w:val="bottom"/>
          </w:tcPr>
          <w:p>
            <w:pPr>
              <w:spacing w:after="0"/>
              <w:rPr>
                <w:sz w:val="17"/>
                <w:szCs w:val="17"/>
                <w:color w:val="auto"/>
              </w:rPr>
            </w:pPr>
          </w:p>
        </w:tc>
        <w:tc>
          <w:tcPr>
            <w:tcW w:w="3480" w:type="dxa"/>
            <w:vAlign w:val="bottom"/>
            <w:gridSpan w:val="8"/>
          </w:tcPr>
          <w:p>
            <w:pPr>
              <w:jc w:val="center"/>
              <w:ind w:right="220"/>
              <w:spacing w:after="0" w:line="203" w:lineRule="exact"/>
              <w:rPr>
                <w:sz w:val="20"/>
                <w:szCs w:val="20"/>
                <w:color w:val="auto"/>
              </w:rPr>
            </w:pPr>
            <w:r>
              <w:rPr>
                <w:rFonts w:ascii="Arial" w:cs="Arial" w:eastAsia="Arial" w:hAnsi="Arial"/>
                <w:sz w:val="18"/>
                <w:szCs w:val="18"/>
                <w:color w:val="auto"/>
              </w:rPr>
              <w:t>Using Inputs Considered as</w:t>
            </w:r>
          </w:p>
        </w:tc>
        <w:tc>
          <w:tcPr>
            <w:tcW w:w="17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0" w:type="dxa"/>
            <w:vAlign w:val="bottom"/>
          </w:tcPr>
          <w:p>
            <w:pPr>
              <w:spacing w:after="0" w:line="196" w:lineRule="exact"/>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7"/>
                <w:szCs w:val="17"/>
                <w:color w:val="auto"/>
              </w:rPr>
            </w:pPr>
          </w:p>
        </w:tc>
        <w:tc>
          <w:tcPr>
            <w:tcW w:w="1420" w:type="dxa"/>
            <w:vAlign w:val="bottom"/>
            <w:gridSpan w:val="3"/>
          </w:tcPr>
          <w:p>
            <w:pPr>
              <w:spacing w:after="0" w:line="196" w:lineRule="exact"/>
              <w:rPr>
                <w:sz w:val="20"/>
                <w:szCs w:val="20"/>
                <w:color w:val="auto"/>
              </w:rPr>
            </w:pPr>
            <w:r>
              <w:rPr>
                <w:rFonts w:ascii="Arial" w:cs="Arial" w:eastAsia="Arial" w:hAnsi="Arial"/>
                <w:sz w:val="18"/>
                <w:szCs w:val="18"/>
                <w:color w:val="auto"/>
              </w:rPr>
              <w:t>July 31, 2010</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Level 1</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500"/>
              <w:spacing w:after="0" w:line="196" w:lineRule="exact"/>
              <w:rPr>
                <w:sz w:val="20"/>
                <w:szCs w:val="20"/>
                <w:color w:val="auto"/>
              </w:rPr>
            </w:pPr>
            <w:r>
              <w:rPr>
                <w:rFonts w:ascii="Arial" w:cs="Arial" w:eastAsia="Arial" w:hAnsi="Arial"/>
                <w:sz w:val="18"/>
                <w:szCs w:val="18"/>
                <w:color w:val="auto"/>
                <w:w w:val="99"/>
              </w:rPr>
              <w:t>Level 2</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4000" w:type="dxa"/>
            <w:vAlign w:val="bottom"/>
          </w:tcPr>
          <w:p>
            <w:pPr>
              <w:ind w:left="200"/>
              <w:spacing w:after="0" w:line="201" w:lineRule="exact"/>
              <w:rPr>
                <w:sz w:val="20"/>
                <w:szCs w:val="20"/>
                <w:color w:val="auto"/>
              </w:rPr>
            </w:pPr>
            <w:r>
              <w:rPr>
                <w:rFonts w:ascii="Arial" w:cs="Arial" w:eastAsia="Arial" w:hAnsi="Arial"/>
                <w:sz w:val="18"/>
                <w:szCs w:val="18"/>
                <w:color w:val="auto"/>
              </w:rPr>
              <w:t>Assets held in funded deferred compensation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tcPr>
          <w:p>
            <w:pPr>
              <w:ind w:left="400"/>
              <w:spacing w:after="0" w:line="203" w:lineRule="exact"/>
              <w:rPr>
                <w:sz w:val="20"/>
                <w:szCs w:val="20"/>
                <w:color w:val="auto"/>
              </w:rPr>
            </w:pPr>
            <w:r>
              <w:rPr>
                <w:rFonts w:ascii="Arial" w:cs="Arial" w:eastAsia="Arial" w:hAnsi="Arial"/>
                <w:sz w:val="18"/>
                <w:szCs w:val="18"/>
                <w:color w:val="auto"/>
              </w:rPr>
              <w:t>plan</w:t>
            </w:r>
          </w:p>
        </w:tc>
        <w:tc>
          <w:tcPr>
            <w:tcW w:w="500" w:type="dxa"/>
            <w:vAlign w:val="bottom"/>
            <w:gridSpan w:val="2"/>
          </w:tcPr>
          <w:p>
            <w:pPr>
              <w:ind w:left="28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5,510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5,510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auction rate securities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19,589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19,589</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25,099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5,510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19,589</w:t>
            </w:r>
          </w:p>
        </w:tc>
        <w:tc>
          <w:tcPr>
            <w:tcW w:w="17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664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664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4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777"/>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8"/>
          </w:tcPr>
          <w:p>
            <w:pPr>
              <w:jc w:val="center"/>
              <w:ind w:right="200"/>
              <w:spacing w:after="0"/>
              <w:rPr>
                <w:sz w:val="20"/>
                <w:szCs w:val="20"/>
                <w:color w:val="auto"/>
              </w:rPr>
            </w:pPr>
            <w:r>
              <w:rPr>
                <w:rFonts w:ascii="Arial" w:cs="Arial" w:eastAsia="Arial" w:hAnsi="Arial"/>
                <w:sz w:val="18"/>
                <w:szCs w:val="18"/>
                <w:color w:val="auto"/>
                <w:w w:val="99"/>
              </w:rPr>
              <w:t>Fair Value Measurements</w:t>
            </w:r>
          </w:p>
        </w:tc>
      </w:tr>
      <w:tr>
        <w:trPr>
          <w:trHeight w:val="203"/>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Fair Value at</w:t>
            </w:r>
          </w:p>
        </w:tc>
        <w:tc>
          <w:tcPr>
            <w:tcW w:w="120" w:type="dxa"/>
            <w:vAlign w:val="bottom"/>
          </w:tcPr>
          <w:p>
            <w:pPr>
              <w:spacing w:after="0"/>
              <w:rPr>
                <w:sz w:val="17"/>
                <w:szCs w:val="17"/>
                <w:color w:val="auto"/>
              </w:rPr>
            </w:pPr>
          </w:p>
        </w:tc>
        <w:tc>
          <w:tcPr>
            <w:tcW w:w="3420" w:type="dxa"/>
            <w:vAlign w:val="bottom"/>
            <w:gridSpan w:val="8"/>
          </w:tcPr>
          <w:p>
            <w:pPr>
              <w:jc w:val="center"/>
              <w:ind w:right="200"/>
              <w:spacing w:after="0" w:line="203" w:lineRule="exact"/>
              <w:rPr>
                <w:sz w:val="20"/>
                <w:szCs w:val="20"/>
                <w:color w:val="auto"/>
              </w:rPr>
            </w:pPr>
            <w:r>
              <w:rPr>
                <w:rFonts w:ascii="Arial" w:cs="Arial" w:eastAsia="Arial" w:hAnsi="Arial"/>
                <w:sz w:val="18"/>
                <w:szCs w:val="18"/>
                <w:color w:val="auto"/>
              </w:rPr>
              <w:t>Using Inputs Considered as</w:t>
            </w: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7"/>
                <w:szCs w:val="17"/>
                <w:color w:val="auto"/>
              </w:rPr>
            </w:pPr>
          </w:p>
        </w:tc>
        <w:tc>
          <w:tcPr>
            <w:tcW w:w="1720" w:type="dxa"/>
            <w:vAlign w:val="bottom"/>
            <w:gridSpan w:val="3"/>
          </w:tcPr>
          <w:p>
            <w:pPr>
              <w:spacing w:after="0" w:line="196" w:lineRule="exact"/>
              <w:rPr>
                <w:sz w:val="20"/>
                <w:szCs w:val="20"/>
                <w:color w:val="auto"/>
              </w:rPr>
            </w:pPr>
            <w:r>
              <w:rPr>
                <w:rFonts w:ascii="Arial" w:cs="Arial" w:eastAsia="Arial" w:hAnsi="Arial"/>
                <w:sz w:val="18"/>
                <w:szCs w:val="18"/>
                <w:color w:val="auto"/>
              </w:rPr>
              <w:t>October 31, 2009</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Level 1</w:t>
            </w: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480"/>
              <w:spacing w:after="0" w:line="196" w:lineRule="exact"/>
              <w:rPr>
                <w:sz w:val="20"/>
                <w:szCs w:val="20"/>
                <w:color w:val="auto"/>
              </w:rPr>
            </w:pPr>
            <w:r>
              <w:rPr>
                <w:rFonts w:ascii="Arial" w:cs="Arial" w:eastAsia="Arial" w:hAnsi="Arial"/>
                <w:sz w:val="18"/>
                <w:szCs w:val="18"/>
                <w:color w:val="auto"/>
                <w:w w:val="99"/>
              </w:rPr>
              <w:t>Level 2</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7"/>
                <w:szCs w:val="17"/>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Assets held in funded deferred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800" w:type="dxa"/>
            <w:vAlign w:val="bottom"/>
          </w:tcPr>
          <w:p>
            <w:pPr>
              <w:ind w:left="400"/>
              <w:spacing w:after="0" w:line="203" w:lineRule="exact"/>
              <w:rPr>
                <w:sz w:val="20"/>
                <w:szCs w:val="20"/>
                <w:color w:val="auto"/>
              </w:rPr>
            </w:pPr>
            <w:r>
              <w:rPr>
                <w:rFonts w:ascii="Arial" w:cs="Arial" w:eastAsia="Arial" w:hAnsi="Arial"/>
                <w:sz w:val="18"/>
                <w:szCs w:val="18"/>
                <w:color w:val="auto"/>
              </w:rPr>
              <w:t>compensation plan</w:t>
            </w:r>
          </w:p>
        </w:tc>
        <w:tc>
          <w:tcPr>
            <w:tcW w:w="4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6,006</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6,006</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auction rate securities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19,531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19,531</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8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25,537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19,531</w:t>
            </w:r>
          </w:p>
        </w:tc>
      </w:t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4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1,014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assets held in the funded deferred compensation plan is based on quoted market prices.</w:t>
      </w:r>
    </w:p>
    <w:p>
      <w:pPr>
        <w:spacing w:after="0" w:line="171"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fair value of the investments in auction rate securities is based on discounted cash flow valuation models, primarily utilizing unobservable inputs. During the nine months ended July 31, 2010, the Company had no transfers of assets or liabilities between any of the above hierarchy levels. See Note 4, “Auction Rate Securities”, for the roll-forwards of assets measured at fair value using significant unobservable Level 3 inputs.</w:t>
      </w:r>
    </w:p>
    <w:p>
      <w:pPr>
        <w:spacing w:after="0" w:line="161"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London Interbank Offered Rate forward rates at the end of the period. See Note 7, “Line of Credit Facility”.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89"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Due to the short-term maturities of the Company’s cash, cash equivalents, receivables, payables, and current assets and liabilities of discontinued operations, the carrying value of these financial instruments approximates their fair market values. Due to the variable interest rates, the fair value of outstanding borrowings under the Company’s $450.0 million line of credit approximates its carrying value of $150.0 million. The carrying value of the receivables included in non-current assets of discontinued operations of $2.1 million and the acquired insurance deposits related to acquired self-insurance claims of $42.2 million approximates fair market value.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Auction Rate Securities</w:t>
      </w:r>
    </w:p>
    <w:p>
      <w:pPr>
        <w:spacing w:after="0" w:line="207"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As of July 31, 2010, the Company held investments in auction rate securities from five different issuers having an original principal amount of $5.0 million each (aggregating $25.0 million). At July 31, 2010 and October 31, 2009, the estimated fair value of these securities, in total, was approximately $19.6 million and $19.5 million, respectively. These auction rate securities are debt instruments with stated maturities ranging from 2025 to 2050, for which the interest rate is designed to be reset through Dutch auctions approximately every 30 days. Auctions for these securities have not occurred since August 2007.</w:t>
      </w:r>
    </w:p>
    <w:p>
      <w:pPr>
        <w:spacing w:after="0" w:line="165"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Company estimates the fair values of auction rate securities it holds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table presents the significant assumptions used to determine the fair value of the Company’s auction rate securities at July 31, 2010 and October 31, 2009:</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Assumption</w:t>
            </w:r>
          </w:p>
        </w:tc>
        <w:tc>
          <w:tcPr>
            <w:tcW w:w="30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July 31, 2010</w:t>
            </w:r>
          </w:p>
        </w:tc>
        <w:tc>
          <w:tcPr>
            <w:tcW w:w="54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October 31, 2009</w:t>
            </w: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rates</w:t>
            </w:r>
          </w:p>
        </w:tc>
        <w:tc>
          <w:tcPr>
            <w:tcW w:w="30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L + 0.33% - L + 21.99%</w:t>
            </w:r>
          </w:p>
        </w:tc>
        <w:tc>
          <w:tcPr>
            <w:tcW w:w="54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L + 0.34% - L + 24.43%</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Yields</w:t>
            </w:r>
          </w:p>
        </w:tc>
        <w:tc>
          <w:tcPr>
            <w:tcW w:w="3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9"/>
              </w:rPr>
              <w:t>L + 2.0% - L + 3.5%</w:t>
            </w:r>
          </w:p>
        </w:tc>
        <w:tc>
          <w:tcPr>
            <w:tcW w:w="54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rPr>
              <w:t>L + 2.0% - L + 3.5%</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expected lives</w:t>
            </w:r>
          </w:p>
        </w:tc>
        <w:tc>
          <w:tcPr>
            <w:tcW w:w="30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4 - 10 years</w:t>
            </w:r>
          </w:p>
        </w:tc>
        <w:tc>
          <w:tcPr>
            <w:tcW w:w="54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4 - 8 years</w:t>
            </w:r>
          </w:p>
        </w:tc>
      </w:tr>
      <w:tr>
        <w:trPr>
          <w:trHeight w:val="405"/>
        </w:trPr>
        <w:tc>
          <w:tcPr>
            <w:tcW w:w="4400" w:type="dxa"/>
            <w:vAlign w:val="bottom"/>
          </w:tcPr>
          <w:p>
            <w:pPr>
              <w:spacing w:after="0"/>
              <w:rPr>
                <w:sz w:val="20"/>
                <w:szCs w:val="20"/>
                <w:color w:val="auto"/>
              </w:rPr>
            </w:pPr>
            <w:r>
              <w:rPr>
                <w:rFonts w:ascii="Arial" w:cs="Arial" w:eastAsia="Arial" w:hAnsi="Arial"/>
                <w:sz w:val="18"/>
                <w:szCs w:val="18"/>
                <w:color w:val="auto"/>
              </w:rPr>
              <w:t>L — London Interbank Offered Rate</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161"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Company’s determination of whether impairments of its auction rate securities are other-than-temporary is based on an evaluation of several factors, circumstances and known or reasonably supportable trends including, but not limited to: (1) the Company’s intent to not sell the securities; (2) the Company’s assessment that it is not more likely than not that the Company will be required to sell the securities before recovering its cost basis; (3) expected defaults; (4) 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67"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Based primarily on an unfavorable development in the Company’s assumption about the expected life for one security, at April 30, 2010 the Company recognized an additional other-than-temporary impairment credit loss of $0.1 million. The Company had previously recognized an other-than-temporary impairment credit loss of $1.6 million for this security in 2009. The credit losses were based upon the difference between the present value of the expected cash flows to be collected and the amortized cost basis of the security. Significant assumptions used in estimating the credit loss include: (1) default rates for the security and the mono-line insurer, if any (which were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 No further other-than-temporary impairments were identified.</w:t>
      </w:r>
    </w:p>
    <w:p>
      <w:pPr>
        <w:spacing w:after="0" w:line="180"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tables presents the changes in the cost basis and fair value of the Company’s auction rate securities for the nine months ended July 31, 2010:</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1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Cost Basis</w:t>
            </w:r>
          </w:p>
        </w:tc>
        <w:tc>
          <w:tcPr>
            <w:tcW w:w="1620" w:type="dxa"/>
            <w:vAlign w:val="bottom"/>
            <w:gridSpan w:val="3"/>
          </w:tcPr>
          <w:p>
            <w:pPr>
              <w:spacing w:after="0"/>
              <w:rPr>
                <w:sz w:val="20"/>
                <w:szCs w:val="20"/>
                <w:color w:val="auto"/>
              </w:rPr>
            </w:pPr>
            <w:r>
              <w:rPr>
                <w:rFonts w:ascii="Arial" w:cs="Arial" w:eastAsia="Arial" w:hAnsi="Arial"/>
                <w:sz w:val="18"/>
                <w:szCs w:val="18"/>
                <w:color w:val="auto"/>
              </w:rPr>
              <w:t>Fair Value (Level 3)</w:t>
            </w:r>
          </w:p>
        </w:tc>
      </w:tr>
      <w:tr>
        <w:trPr>
          <w:trHeight w:val="196"/>
        </w:trPr>
        <w:tc>
          <w:tcPr>
            <w:tcW w:w="6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5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23,434</w:t>
            </w: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19,531</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Unrealized gains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229</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(171)</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Other-than-temporary credit loss recognized in earnings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(127)</w:t>
            </w:r>
          </w:p>
        </w:tc>
        <w:tc>
          <w:tcPr>
            <w:tcW w:w="5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July 31, 2010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23,307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19,589</w:t>
            </w:r>
          </w:p>
        </w:tc>
      </w:tr>
      <w:tr>
        <w:trPr>
          <w:trHeight w:val="20"/>
        </w:trPr>
        <w:tc>
          <w:tcPr>
            <w:tcW w:w="6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other-than-temporary impairment (“OTTI”) related to credit losses recognized in earnings for the nine months ended July 31, 2010 is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rPr>
              <w:t>Beginning balance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rPr>
              <w:t>OTTI credit losses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Ending balance of the</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rPr>
              <w:t>recognized for the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Reductions for</w:t>
            </w: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amount related to</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rPr>
              <w:t>auction rate security</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Additions for</w:t>
            </w:r>
          </w:p>
        </w:tc>
        <w:tc>
          <w:tcPr>
            <w:tcW w:w="1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increases in</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credit losses held at</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rPr>
              <w:t>held at the beginning of</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the amount</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increases to the</w:t>
            </w: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cash flows</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the end of the period</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rPr>
              <w:t>the period for which a</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color w:val="auto"/>
              </w:rPr>
              <w:t>related to credit</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color w:val="auto"/>
              </w:rPr>
              <w:t>amount related</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expected to be</w:t>
            </w:r>
          </w:p>
        </w:tc>
        <w:tc>
          <w:tcPr>
            <w:tcW w:w="1460" w:type="dxa"/>
            <w:vAlign w:val="bottom"/>
            <w:gridSpan w:val="3"/>
          </w:tcPr>
          <w:p>
            <w:pPr>
              <w:jc w:val="center"/>
              <w:ind w:right="40"/>
              <w:spacing w:after="0"/>
              <w:rPr>
                <w:sz w:val="20"/>
                <w:szCs w:val="20"/>
                <w:color w:val="auto"/>
              </w:rPr>
            </w:pPr>
            <w:r>
              <w:rPr>
                <w:rFonts w:ascii="Arial" w:cs="Arial" w:eastAsia="Arial" w:hAnsi="Arial"/>
                <w:sz w:val="14"/>
                <w:szCs w:val="14"/>
                <w:color w:val="auto"/>
              </w:rPr>
              <w:t>for which a portion of</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color w:val="auto"/>
              </w:rPr>
              <w:t>portion of OTTI was</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color w:val="auto"/>
              </w:rPr>
              <w:t>loss for which</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to credit loss for</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collected that are</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OTTI was recognized</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color w:val="auto"/>
              </w:rPr>
              <w:t>recognized in Other</w:t>
            </w: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color w:val="auto"/>
              </w:rPr>
              <w:t>OTTI was not</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which an OTTI</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recognized over</w:t>
            </w: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in Other</w:t>
            </w:r>
          </w:p>
        </w:tc>
      </w:tr>
      <w:tr>
        <w:trPr>
          <w:trHeight w:val="162"/>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previously</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was previously</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the remaining life</w:t>
            </w: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Comprehensive</w:t>
            </w:r>
          </w:p>
        </w:tc>
      </w:tr>
      <w:tr>
        <w:trPr>
          <w:trHeight w:val="157"/>
        </w:trPr>
        <w:tc>
          <w:tcPr>
            <w:tcW w:w="208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3"/>
                <w:szCs w:val="13"/>
                <w:color w:val="auto"/>
              </w:rPr>
            </w:pPr>
          </w:p>
        </w:tc>
        <w:tc>
          <w:tcPr>
            <w:tcW w:w="11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rPr>
              <w:t>recognized</w:t>
            </w: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rPr>
              <w:t>recognized</w:t>
            </w:r>
          </w:p>
        </w:tc>
        <w:tc>
          <w:tcPr>
            <w:tcW w:w="8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color w:val="auto"/>
              </w:rPr>
              <w:t>of the security</w:t>
            </w:r>
          </w:p>
        </w:tc>
        <w:tc>
          <w:tcPr>
            <w:tcW w:w="120" w:type="dxa"/>
            <w:vAlign w:val="bottom"/>
          </w:tcPr>
          <w:p>
            <w:pPr>
              <w:spacing w:after="0"/>
              <w:rPr>
                <w:sz w:val="13"/>
                <w:szCs w:val="13"/>
                <w:color w:val="auto"/>
              </w:rPr>
            </w:pPr>
          </w:p>
        </w:tc>
        <w:tc>
          <w:tcPr>
            <w:tcW w:w="1340" w:type="dxa"/>
            <w:vAlign w:val="bottom"/>
            <w:gridSpan w:val="2"/>
          </w:tcPr>
          <w:p>
            <w:pPr>
              <w:jc w:val="center"/>
              <w:ind w:right="180"/>
              <w:spacing w:after="0" w:line="157" w:lineRule="exact"/>
              <w:rPr>
                <w:sz w:val="20"/>
                <w:szCs w:val="20"/>
                <w:color w:val="auto"/>
              </w:rPr>
            </w:pPr>
            <w:r>
              <w:rPr>
                <w:rFonts w:ascii="Arial" w:cs="Arial" w:eastAsia="Arial" w:hAnsi="Arial"/>
                <w:sz w:val="14"/>
                <w:szCs w:val="14"/>
                <w:color w:val="auto"/>
              </w:rPr>
              <w:t>Income</w:t>
            </w:r>
          </w:p>
        </w:tc>
      </w:tr>
      <w:tr>
        <w:trPr>
          <w:trHeight w:val="16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OTTI credit loss recognized for</w:t>
            </w: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7"/>
        </w:trPr>
        <w:tc>
          <w:tcPr>
            <w:tcW w:w="20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auction rate security</w:t>
            </w:r>
          </w:p>
        </w:tc>
        <w:tc>
          <w:tcPr>
            <w:tcW w:w="2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7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8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1,693</w:t>
            </w:r>
          </w:p>
        </w:tc>
      </w:tr>
    </w:tbl>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At July 31, 2010 and October 31, 2009, unrealized losses of $3.7 million ($2.2 million net of taxes) and $3.9 million ($2.3 million net of taxes) were recorded in accumulated other comprehensive loss,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Net Income per Common Share</w:t>
      </w:r>
    </w:p>
    <w:p>
      <w:pPr>
        <w:spacing w:after="0" w:line="193"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Basic net income per common share is net income divided by the weighted average number of shares outstanding during the period. Diluted net income per common share is based on the weighted average number of shares outstanding during the period, adjusted to include the assumed exercise and conversion of certain stock options, restricted stock units and performance shares. The calculation of basic and diluted net income per common share is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7"/>
                <w:szCs w:val="17"/>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3"/>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20,973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12,400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42,432</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40,204</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(124)</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(117)</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20,963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12,276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42,315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52,149</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51,471</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51,992</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502</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216</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441</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units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Performance shares</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52,996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51,937</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52,754</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51,653</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7"/>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diluted net income per common share excludes certain stock options and restricted stock units since the effect of including these stock options and restricted stock units would have been anti-dilutive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Arial" w:cs="Arial" w:eastAsia="Arial" w:hAnsi="Arial"/>
                <w:sz w:val="18"/>
                <w:szCs w:val="18"/>
                <w:color w:val="auto"/>
              </w:rPr>
              <w:t>Three Months Ended</w:t>
            </w:r>
          </w:p>
        </w:tc>
        <w:tc>
          <w:tcPr>
            <w:tcW w:w="228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03"/>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520" w:type="dxa"/>
            <w:vAlign w:val="bottom"/>
            <w:tcBorders>
              <w:bottom w:val="single" w:sz="8" w:color="auto"/>
            </w:tcBorders>
            <w:gridSpan w:val="3"/>
          </w:tcPr>
          <w:p>
            <w:pPr>
              <w:ind w:left="820"/>
              <w:spacing w:after="0" w:line="203" w:lineRule="exact"/>
              <w:rPr>
                <w:sz w:val="20"/>
                <w:szCs w:val="20"/>
                <w:color w:val="auto"/>
              </w:rPr>
            </w:pPr>
            <w:r>
              <w:rPr>
                <w:rFonts w:ascii="Arial" w:cs="Arial" w:eastAsia="Arial" w:hAnsi="Arial"/>
                <w:sz w:val="18"/>
                <w:szCs w:val="18"/>
                <w:color w:val="auto"/>
              </w:rPr>
              <w:t>July 31,</w:t>
            </w:r>
          </w:p>
        </w:tc>
        <w:tc>
          <w:tcPr>
            <w:tcW w:w="7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Borders>
              <w:bottom w:val="single" w:sz="8" w:color="auto"/>
            </w:tcBorders>
            <w:gridSpan w:val="3"/>
          </w:tcPr>
          <w:p>
            <w:pPr>
              <w:jc w:val="center"/>
              <w:ind w:left="650"/>
              <w:spacing w:after="0" w:line="203" w:lineRule="exact"/>
              <w:rPr>
                <w:sz w:val="20"/>
                <w:szCs w:val="20"/>
                <w:color w:val="auto"/>
              </w:rPr>
            </w:pPr>
            <w:r>
              <w:rPr>
                <w:rFonts w:ascii="Arial" w:cs="Arial" w:eastAsia="Arial" w:hAnsi="Arial"/>
                <w:sz w:val="18"/>
                <w:szCs w:val="18"/>
                <w:color w:val="auto"/>
                <w:w w:val="99"/>
              </w:rPr>
              <w:t>July 31,</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940" w:type="dxa"/>
            <w:vAlign w:val="bottom"/>
          </w:tcPr>
          <w:p>
            <w:pPr>
              <w:ind w:left="260"/>
              <w:spacing w:after="0" w:line="196" w:lineRule="exact"/>
              <w:rPr>
                <w:sz w:val="20"/>
                <w:szCs w:val="20"/>
                <w:color w:val="auto"/>
              </w:rPr>
            </w:pPr>
            <w:r>
              <w:rPr>
                <w:rFonts w:ascii="Arial" w:cs="Arial" w:eastAsia="Arial" w:hAnsi="Arial"/>
                <w:sz w:val="18"/>
                <w:szCs w:val="18"/>
                <w:color w:val="auto"/>
              </w:rPr>
              <w:t>2010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94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1,857</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7"/>
        </w:trPr>
        <w:tc>
          <w:tcPr>
            <w:tcW w:w="44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Self-Insurance</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Company’s self-insurance reserves during interim periods are based on actuarial rates established from the most recent third-party actuarial report, considering known or expected subsequent trends. An actuarial report is expected to be completed during the fourth quarter of 2010 and may result in an adjustment to earnings in that period.</w:t>
      </w:r>
    </w:p>
    <w:p>
      <w:pPr>
        <w:spacing w:after="0" w:line="16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At July 31, 2010, the Company had $103.8 million in standby letters of credit (primarily related to its workers’ compensation, general liability, automobile, and property damage programs), $ 42.2 million in restricted insurance deposits and $112.1 million in surety bonds supporting insurance claim liabilities. At October 31, 2009, the Company had $118.6 million in standby letters of credit, $42.5 million in restricted insurance deposits and $103.2 million in surety bonds supporting insurance claim liabilities.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Line of Credit Facility</w:t>
      </w:r>
    </w:p>
    <w:p>
      <w:pPr>
        <w:spacing w:after="0" w:line="207"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Company holds a $450.0 million five-year syndicated line of credit that is scheduled to expire on November 14, 2012 (the “Facility”). The Facility is available for working capital, the issuance of standby letters of credit, the financing of capital expenditures, and other general corporate purposes.</w:t>
      </w:r>
    </w:p>
    <w:p>
      <w:pPr>
        <w:spacing w:after="0" w:line="162"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Facility includes covenants limiting liens, dispositions, fundamental changes, investments, indebtedness and certain transactions and payments. In addition, the Facility also requires that the Company maintain the following three financial covenants which are described in Note 9, “Line of Credit Facility”, to the Consolidated Financial Statements set forth in the Company’s Annual Report on Form 10-K for 2009: (1) a fixed charge coverage ratio; (2) a leverage ratio; and (3) a combined net worth test. The Company was in compliance with all covenants as of July 31, 2010 and expects to be in compliance in the foreseeable future.</w:t>
      </w:r>
    </w:p>
    <w:p>
      <w:pPr>
        <w:spacing w:after="0" w:line="165"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As of July 31, 2010, the total outstanding amount under the Facility in the form of cash borrowings was $150.0 million. Available credit under the line of credit was up to $196.2 million at July 31, 2010. The Company’s ability to draw down available amounts under its line of credit is subject to compliance with the covenants described above.</w:t>
      </w:r>
    </w:p>
    <w:p>
      <w:pPr>
        <w:spacing w:after="0" w:line="378"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As of July 31, 2010, the fair value of the interest rate swap was a $0.7 million liability, which is included in retirement plans and other on the accompanying condensed consolidated balance sheet. No ineffectiveness existed at July 31, 2010. The amount included in accumulated other comprehensive loss is $0.7 million ($0.4 million, net of taxes).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Benefit Plans</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components of net periodic benefit cost of the Company’s defined benefit plans and the post-retirement benefit plans, including participants associated with continuing operations, for the three and nine months ended July 31, 2010 and 2009, were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7"/>
                <w:szCs w:val="17"/>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3"/>
        </w:trPr>
        <w:tc>
          <w:tcPr>
            <w:tcW w:w="41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80" w:type="dxa"/>
            <w:vAlign w:val="bottom"/>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Plans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(80)</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(299)</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actuarial gain</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expense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Contingencies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has been named a defendant in certain proceedings arising in the ordinary course of business.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accompanying condensed consolidated financial statements when it is both: (1)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pacing w:after="0" w:line="168"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is a defendant in various purported class action and class action lawsuits related to alleged violations of federal or California wage-and-hour laws.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is a defendant in the lawsuit filed July 19, 2007 in the United States District Court, Eastern District of California, entitled U.S. Equal Employment Opportunity Commission, Plaintiff Erika Morales and Anonymous Plaintiffs One through Eight v. ABM Industries Incorporated et. al. (the “Morales case”). The plaintiffs in the Morales case allege sexual harassment and retaliation. In 2009, fourteen claimants joined the lawsuit alleging various claims against the Company. The case involved both Title VII federal law claims and California state law claims. In June 2010, the Company agreed to a settlement of $ 5.8 million for the Morales case, subject to court approval, which amount was accrued for at July 31, 2010. At April 30, 2010, $5.0 million had been accrued for this matter. The Company expects the court to approve the settlement in the fourth quarter of 2010.</w:t>
      </w:r>
    </w:p>
    <w:p>
      <w:pPr>
        <w:spacing w:after="0" w:line="18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accrues amounts it believes are adequate to cover any liabilities related to litigation and arbitration proceedings, and other contingencies that the Company believes will result in a probable loss. However, the ultimate resolution of such matters is always uncertain. It is possible that any such proceedings brought against the Company could have a material adverse impact on its financial condition and results of operations. The total amount accrued for probable losses was $10.8 million at July 31, 2010.</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Share-Based Compensation Plans</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On January 11, 2010, the Company’s Compensation Committee approved the grant of 256,637 performance share awards under the terms of the Company’s 2006 Equity Incentive Plan, as amended and restated. The fair value of the performance share awards granted and valued as of January 28, 2010 was approximately $5.0 million and these awards vest over a period of three years.</w:t>
      </w:r>
    </w:p>
    <w:p>
      <w:pPr>
        <w:spacing w:after="0" w:line="175" w:lineRule="exact"/>
        <w:rPr>
          <w:sz w:val="20"/>
          <w:szCs w:val="20"/>
          <w:color w:val="auto"/>
        </w:rPr>
      </w:pPr>
    </w:p>
    <w:p>
      <w:pPr>
        <w:jc w:val="both"/>
        <w:ind w:left="340" w:right="559"/>
        <w:spacing w:after="0" w:line="234" w:lineRule="auto"/>
        <w:rPr>
          <w:sz w:val="20"/>
          <w:szCs w:val="20"/>
          <w:color w:val="auto"/>
        </w:rPr>
      </w:pPr>
      <w:r>
        <w:rPr>
          <w:rFonts w:ascii="Arial" w:cs="Arial" w:eastAsia="Arial" w:hAnsi="Arial"/>
          <w:sz w:val="18"/>
          <w:szCs w:val="18"/>
          <w:color w:val="auto"/>
        </w:rPr>
        <w:t>On March 31, 2010, the Company’s Compensation Committee approved the following grants: 262,344 stock options and 80,185 restricted stock units, each under the terms of the Company’s 2006 Equity Incentive Plan, as amended and restated. The fair value of the awards granted on March 31, 2010 was approximately $3.4 million and these awards vest 100% on the fifth anniversary of the grant date. The Company estimates the fair value of stock options on the date of grant using the Black-Scholes option valuation model. The fair value of stock options granted was $6.41 per share. The assumptions used in the option valuation model for the stock options granted on March 31, 2010 were: (1) expected life from date of grant of 5.6 years; (2) expected stock price volatility of 38.52%;</w:t>
      </w:r>
    </w:p>
    <w:p>
      <w:pPr>
        <w:spacing w:after="0" w:line="5" w:lineRule="exact"/>
        <w:rPr>
          <w:sz w:val="20"/>
          <w:szCs w:val="20"/>
          <w:color w:val="auto"/>
        </w:rPr>
      </w:pPr>
    </w:p>
    <w:p>
      <w:pPr>
        <w:ind w:left="340" w:right="559" w:hanging="8"/>
        <w:spacing w:after="0" w:line="246" w:lineRule="auto"/>
        <w:tabs>
          <w:tab w:leader="none" w:pos="619"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dividend yield of 2.66%; and (4) a risk-free interest rate of 2.62%. The fair value of the restricted stock units granted was determined using the closing stock price on the date of grant.</w:t>
      </w:r>
    </w:p>
    <w:p>
      <w:pPr>
        <w:spacing w:after="0" w:line="156"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No share-based grants were made under the Company’s 2006 Equity Incentive Plan during the three months ended July 31, 2010.</w:t>
      </w:r>
    </w:p>
    <w:p>
      <w:pPr>
        <w:spacing w:after="0" w:line="156"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During the three months ended July 31, 2010, the Company determined that the financial performance targets, which were established in connection with certain performance share grants, were no longer probable of achievement. As a result, the Company reversed approximately $3.4 million of previously recorded share-based compensation expense in the three and nine months ended July 31, 2010. This adjustment was recorded in selling, general and administrative expenses.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Comprehensive Income</w:t>
      </w:r>
    </w:p>
    <w:p>
      <w:pPr>
        <w:spacing w:after="0" w:line="207"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table presents the components of comprehensive income for the three months ended July 31, 2010 and 2009:</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3"/>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ind w:left="10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20,963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(losses) gains on auction rate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Reclass adjustment for credit losses recognized in earnings</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gain on interest rate swap agreement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(207)</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Actuarial gain (loss) — adjustments to pension &amp; other post-retirement plans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Income tax expense related to other comprehensive income (loss)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20,671</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13,754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table presents the components of comprehensive income for the nine months ended July 31, 2010 and 2009:</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3"/>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42,315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03"/>
        </w:trPr>
        <w:tc>
          <w:tcPr>
            <w:tcW w:w="700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gains on auction rate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Reclass adjustment for credit losses recognized in earnings</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127</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gain (loss) on interest rate swap agreement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3"/>
        </w:trPr>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Actuarial gain (loss) — adjustments to pension &amp; other post-retirement plans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Income tax expense related to other comprehensive income (loss)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42,613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40,616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Acquisitions</w:t>
      </w:r>
    </w:p>
    <w:p>
      <w:pPr>
        <w:spacing w:after="0" w:line="207"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During the three months ended July 31, 2010, the Company acquired all of the outstanding shares of Diversco from DHI Holdings, Inc. for $30.6 million in cash and incurred direct acquisition costs of $0.2 million, which were expensed as incurred. The purchase price was subsequently adjusted to $30.3 million in connection with a working capital adjustment. Diversco is a national provider of outsourced facility services. The acquisition expands the geographic reach of the Company’s janitorial and security businesses, particularly in the Southeast, Midwest and Mid-Atlantic regions of the United States. The results of operations for Diversco are included in the Company’s Janitorial and Security segments as of June 30, 2010. The amounts of Diversco’s revenues and earnings included in the Company’s condensed consolidated statements of income for the three and nine months ended July 31, 2010 were $6.9 million and $0.3 million, respectively. Pro forma financial information for this acquisition is not required to be provided as this acquisition is not material to the Company’s financial statements.</w:t>
      </w:r>
    </w:p>
    <w:p>
      <w:pPr>
        <w:spacing w:after="0" w:line="166"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preliminary allocation of the purchase price to the underlying net assets acquired and liabilities assumed was based on their estimated fair values as of the acquisition date, June 30, 2010, with any excess of the purchase price allocated to goodwill. Certain estimated values are not yet finalized, such as self-insurance reserves and residual goodwill, and are subject to change as the Company obtains the actuarial analysis of assumed insurance liabilities needed to complete the purchase price allocation. Accordingly, any further changes to the fair values of the self-insurance reserves and residual goodwill will be finalized during the remainder of 2010.</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The preliminary purchase price and related allocations are summarized as follows: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Total cash consideration</w:t>
            </w:r>
          </w:p>
        </w:tc>
        <w:tc>
          <w:tcPr>
            <w:tcW w:w="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30,334</w:t>
            </w:r>
          </w:p>
        </w:tc>
        <w:tc>
          <w:tcPr>
            <w:tcW w:w="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Allocated to:</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2,758</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9,884</w:t>
            </w: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3,063</w:t>
            </w: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10,800</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accounts payable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(1,327)</w:t>
            </w:r>
          </w:p>
        </w:tc>
      </w:tr>
      <w:tr>
        <w:trPr>
          <w:trHeight w:val="203"/>
        </w:trPr>
        <w:tc>
          <w:tcPr>
            <w:tcW w:w="340" w:type="dxa"/>
            <w:vAlign w:val="bottom"/>
          </w:tcPr>
          <w:p>
            <w:pPr>
              <w:spacing w:after="0"/>
              <w:rPr>
                <w:sz w:val="17"/>
                <w:szCs w:val="17"/>
                <w:color w:val="auto"/>
              </w:rPr>
            </w:pPr>
          </w:p>
        </w:tc>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(7,362)</w:t>
            </w: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Insurance claims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(964)</w:t>
            </w:r>
          </w:p>
        </w:tc>
      </w:tr>
      <w:tr>
        <w:trPr>
          <w:trHeight w:val="203"/>
        </w:trPr>
        <w:tc>
          <w:tcPr>
            <w:tcW w:w="340" w:type="dxa"/>
            <w:vAlign w:val="bottom"/>
          </w:tcPr>
          <w:p>
            <w:pPr>
              <w:spacing w:after="0"/>
              <w:rPr>
                <w:sz w:val="17"/>
                <w:szCs w:val="17"/>
                <w:color w:val="auto"/>
              </w:rPr>
            </w:pPr>
          </w:p>
        </w:tc>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34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12,698</w:t>
            </w:r>
          </w:p>
        </w:tc>
        <w:tc>
          <w:tcPr>
            <w:tcW w:w="80" w:type="dxa"/>
            <w:vAlign w:val="bottom"/>
            <w:shd w:val="clear" w:color="auto" w:fill="CCEEFF"/>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30,334</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acquired customer contracts and relationships will be amortized using the sum-of-the-years-digits method over their useful lives of 11 years, which is consistent with the estimated useful life considerations used in the determination of their fair values. Intangible assets of $ 10.8 million were assigned to the Janitorial and Security segments in the amounts of $9.2 million and $1.6 million, respectively. Goodwill of $12.7 million was assigned to the Janitorial and Security segments in the amounts of $10.8 million and $1.9 million, respectively, and is expected to be deductible for tax purposes. The amounts of intangible assets and goodwill have been assigned to the Janitorial and Security segments based on the respective profit margins of the acquired customer contracts. The transaction was taxable for income tax purposes and all assets and liabilities have been recorded at fair value for both book and income tax purposes. Therefore, no deferred taxes have been recorded.</w:t>
      </w:r>
    </w:p>
    <w:p>
      <w:pPr>
        <w:spacing w:after="0" w:line="167"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Total additional consideration paid during the nine months ended July 31, 2010 related to the prior years acquisitions totaled $3.3 million. The additional consideration represents contingent amounts based on financial performance, which has been recorded as goodwill.</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At July 31, 2010, the Company had unrecognized tax benefits of $102.4 million, all of which, if recognized in the future, would affect its effective tax rate. The Company includes interest and penalties related to unrecognized tax benefits in income tax expense. As of July 31, 2010, the Company had accrued interest related to uncertain tax positions of $0.8 million. The Company has recorded $2.0 million of the unrecognized tax benefits as a current liability.</w:t>
      </w:r>
    </w:p>
    <w:p>
      <w:pPr>
        <w:spacing w:after="0" w:line="162"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effective tax rate on income from continuing operations for the three months ended July 31, 2010 and 2009 were 38.6% and 29.0%, respectively. The effective tax rate on income from continuing operations for the nine months ended July 31, 2010 and 2009 were 38.9% and 36.3%, respectively. The effective tax rate for the three and nine months ended July 31, 2009 includes non-recurring tax benefits of $1.7 million and $1.5 million, respectively.</w:t>
      </w:r>
    </w:p>
    <w:p>
      <w:pPr>
        <w:spacing w:after="0" w:line="161"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Company’s major tax jurisdiction is the United States. ABM and OneSource Services, Inc. U.S. federal income tax returns remain open for examination for the periods ending October 31, 2006 through October 31, 2009 and March 31, 2000 through November 14, 2007, respectively. ABM is currently being examined by the Internal Revenue Service for the tax years 2006-2008. The Company does business in all 50 states, significantly in California, Texas and New York, as well as Puerto Rico and Canada. In major state jurisdictions, the tax years 2006-2009 remain open and subject to examination by the appropriate tax authorities. The Company is currently being examined by Illinois, Maryland, Arizona, Utah, New Jersey, Massachusetts, and Puerto Rico.</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Segment Information</w:t>
      </w:r>
    </w:p>
    <w:p>
      <w:pPr>
        <w:spacing w:after="0" w:line="207"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Company is organized into four reportable operating segments, Janitorial, Parking, Security and Engineering, which are summarized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3"/>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7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July 31,</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583,015</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595,115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1,741,140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1,792,879</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114,222</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114,721</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340,813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343,737</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84,900</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84,501</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249,209</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252,487</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86,572</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75,782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262,113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223,192</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1,099</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869,029</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870,635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2,594,374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2,613,818</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38,615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35,043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101,724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Parking</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5,823</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4,968</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16,033</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2,751</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4,313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Engineering</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5,883</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4,857</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15,731</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(17,021)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(27,121)</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(64,720)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(66,610)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35,326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73,081</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69,110</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3,575</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1,149</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1,472</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3,541</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34,177</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17,460</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69,413</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63,091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certain legal costs and settlements, certain information technology costs, share-based compensation costs, severance costs associated with acquisitions and certain chief executive officer and other finance and human resource departmental costs. Corporate expenses for the nine months ended July 31, 2009 included the net benefit of a $9.6 million legal settlement related to a claim that was settled and resolved in the three months ended January 31,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Discontinued Operations</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On October 31, 2008, the Company completed the sale of substantially all of the assets of its former Lighting segment, excluding accounts receivable and certain other assets and liabilities, to Sylvania Lighting Services Corp (“Sylvania”). The remaining assets and liabilities associated with the Lighting segment have been classified as assets and liabilities of discontinued operations for all periods presented. The results of operations of the Lighting segment for all periods presented are classified as “Loss from discontinued operations, net of taxes.”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559"/>
        <w:spacing w:after="0" w:line="246" w:lineRule="auto"/>
        <w:rPr>
          <w:sz w:val="20"/>
          <w:szCs w:val="20"/>
          <w:color w:val="auto"/>
        </w:rPr>
      </w:pPr>
      <w:r>
        <w:rPr>
          <w:rFonts w:ascii="Arial" w:cs="Arial" w:eastAsia="Arial" w:hAnsi="Arial"/>
          <w:sz w:val="18"/>
          <w:szCs w:val="18"/>
          <w:color w:val="auto"/>
        </w:rPr>
        <w:t>The carrying amounts of the major classes of assets and liabilities of the Lighting segment included in discontinued operations are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July 31,</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October 31,</w:t>
            </w:r>
          </w:p>
        </w:tc>
      </w:tr>
      <w:tr>
        <w:trPr>
          <w:trHeight w:val="203"/>
        </w:trPr>
        <w:tc>
          <w:tcPr>
            <w:tcW w:w="6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 net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499</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Notes receivable and other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886</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1,937</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 due from Sylvania (a)</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8,351</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10,787</w:t>
            </w:r>
          </w:p>
        </w:tc>
      </w:tr>
      <w:tr>
        <w:trPr>
          <w:trHeight w:val="210"/>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notes receivable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976</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Other receivables due from Sylvania (a)</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1,585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3,591</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assets of discontinued operations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4,567</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67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840</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Due to Sylvania, net (b)</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172</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 of discontinued operations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1,065</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80" w:right="559"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sale of the Lighting segment, Sylvania acquired certain contracts containing deferred charges. Payments received by Sylvania from clients with respect to the deferred charges for these contracts are paid to the Company.</w:t>
      </w:r>
    </w:p>
    <w:p>
      <w:pPr>
        <w:spacing w:after="0" w:line="54" w:lineRule="exact"/>
        <w:rPr>
          <w:rFonts w:ascii="Arial" w:cs="Arial" w:eastAsia="Arial" w:hAnsi="Arial"/>
          <w:sz w:val="18"/>
          <w:szCs w:val="18"/>
          <w:color w:val="auto"/>
        </w:rPr>
      </w:pPr>
    </w:p>
    <w:p>
      <w:pPr>
        <w:ind w:left="680" w:right="559" w:hanging="348"/>
        <w:spacing w:after="0" w:line="246"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net amounts collected on Sylvania’s behalf pursuant to a transition services agreement, which was entered into in connection with the sale of the Lighting segment.</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7"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following discussion should be read in conjunction with the unaudited accompanying condensed consolidated financial statements of ABM Industries Incorporated (“ABM”, and together with its subsidiaries, the “Company”) included in this Quarterly Report on Form 10-Q and with the consolidated financial statements and accompanying notes thereto and Management’s Discussion and Analysis of Financial Condition and Results of Operations included in the Company’s Annual Report on Form 10-K for the fiscal year ended October 31, 2009. All information in the discussion and references to years are based on the Company’s fiscal year, which ends on October 31.</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provides janitorial, parking, security and engineering services for thousands of commercial, industrial, institutional and retail client facilities in hundreds of cities, primarily throughout the United States. The Company’s business is impacted by, among other things, commercial office building occupancy and rental rates, industrial activity, air travel levels, tourism and transportation needs at colleges, universities and health care service facilities. Revenues at the Company’s Janitorial, Security and Engineering segments are primarily based on the performance of labor-intensive services at contractually specified prices. Revenues at the Parking segment relate to parking and transportation services, which are less labor-intensive. In addition to services defined within the scope of client contracts, the Janitorial segment also generates revenues from extra services (or tags) such as, but not limited to, flood cleanup services and snow removal, which generally provide higher margins.</w:t>
      </w:r>
    </w:p>
    <w:p>
      <w:pPr>
        <w:spacing w:after="0" w:line="180"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During 2009, the Company experienced losses of client contracts that exceeded new business, reductions in the level and scope of client services, contract price compression and declines in the level of tag work, primarily in the Janitorial segment. These losses and reductions continued to influence results in the nine months ended July 31, 2010. Total revenues in the nine months ended July 31, 2010, as compared to the nine months ended July 31, 2009, decreased $19.4 million, or 0.7%, primarily related to the losses and reductions experienced during 2009 and some additional reductions in the level and scope of client services and contract price compression in the nine months ended July 31, 2010 in the Janitorial segment. These revenue decreases in the Janitorial segment were partially offset by additional revenues from new clients and the expansion of services to existing clients in the Engineering segment. Despite the reductions in revenues, the Company’s operating profit, excluding Corporate, increased $2.1 million, or 1.5%, in the nine months ended July 31, 2010 compared to the nine months ended July 31, 2009, primarily related to increases in the operating profit in the Engineering and Parking segments as a result of increases in revenues from new clients and the expansion of services to existing clients and cost control measures in all segments.</w:t>
      </w:r>
    </w:p>
    <w:p>
      <w:pPr>
        <w:spacing w:after="0" w:line="16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timing of collections and payments to suppliers and other vendors, the quality of receivables, the timing and amount of income tax payments and the timing and amount of payments on self-insured claims. The Company’s cash flows provided by continuing operating activities was $73.0 million for the nine months ended July 31, 2010.</w:t>
      </w:r>
    </w:p>
    <w:p>
      <w:pPr>
        <w:spacing w:after="0" w:line="165"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believes that achieving desired levels of revenues and profitability in the future will depend upon, among other things, its ability to attract and retain clients at desirable profit margins, to pass on cost increases to clients, and to keep overall costs low. In the short-term, the Company plans to remain competitive by, among other things, continued cost control strategies. The Company is continuing to monitor, and in some cases exit, client arrangements where the Company believes the client is at high risk of bankruptcy or which produce low profit margins and focus on client arrangements that may generate less revenues but produce higher profit margins. Additionally, the Company is exploring acquisitions, both domestically and internationally. In the long-term, the Company expects to continue to grow organically and through acquisitions (including international expansion) in response to the perceived growing demand for a global integrated facility services solution provider.</w:t>
      </w:r>
    </w:p>
    <w:p>
      <w:pPr>
        <w:spacing w:after="0" w:line="180"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During the three months ended July 31, 2010, the Company acquired all of the outstanding shares of Diversco, Inc. (“Diversco”) from DHI Holdings, Inc. for $30.6 million in cash and incurred direct acquisition costs of $0.2 million, which were expensed as incurred. The purchase price was subsequently adjusted to $30.3 million in connection with a working capital adjustment. Diversco is a national provider of outsourced facility services. The acquisition expands the geographic reach of the Company’s janitorial and security businesses, particularly in the Southeast, Midwest and Mid-Atlantic regions of the United States. The results of operations for Diversco are included in the Company’s Janitorial and Security segments as of June 30, 2010. The amounts of Diversco’s revenues and earnings included in the Company’s condensed consolidated statements of income for the three and nine months ended July 31, 2010 were $6.9 million and $0.3 million,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Company’s self-insurance reserves during interim periods are based on actuarial rates established from the most recent third-party actuarial report, considering known or expected subsequent trends. An actuarial report is expected to be completed during the fourth quarter of 2010 and may result in an adjustment to earnings in that period.</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July 31,</w:t>
            </w: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October 31,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Change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32,902</w:t>
            </w:r>
          </w:p>
        </w:tc>
        <w:tc>
          <w:tcPr>
            <w:tcW w:w="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34,153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Working capital</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281,547</w:t>
            </w:r>
          </w:p>
        </w:tc>
        <w:tc>
          <w:tcPr>
            <w:tcW w:w="3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278,303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391"/>
        </w:trPr>
        <w:tc>
          <w:tcPr>
            <w:tcW w:w="54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2600" w:type="dxa"/>
            <w:vAlign w:val="bottom"/>
            <w:gridSpan w:val="8"/>
          </w:tcPr>
          <w:p>
            <w:pPr>
              <w:spacing w:after="0"/>
              <w:rPr>
                <w:sz w:val="20"/>
                <w:szCs w:val="20"/>
                <w:color w:val="auto"/>
              </w:rPr>
            </w:pPr>
            <w:r>
              <w:rPr>
                <w:rFonts w:ascii="Arial" w:cs="Arial" w:eastAsia="Arial" w:hAnsi="Arial"/>
                <w:sz w:val="18"/>
                <w:szCs w:val="18"/>
                <w:color w:val="auto"/>
              </w:rPr>
              <w:t>Nine Months Ended July 31,</w:t>
            </w:r>
          </w:p>
        </w:tc>
        <w:tc>
          <w:tcPr>
            <w:tcW w:w="120" w:type="dxa"/>
            <w:vAlign w:val="bottom"/>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Change</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80,290</w:t>
            </w:r>
          </w:p>
        </w:tc>
        <w:tc>
          <w:tcPr>
            <w:tcW w:w="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76,465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2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(47,932)</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(32,293)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4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(33,609)</w:t>
            </w:r>
          </w:p>
        </w:tc>
        <w:tc>
          <w:tcPr>
            <w:tcW w:w="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(47,340)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believes that the cash generated from operations and amounts available under its $450.0 million line of credit will be sufficient to fund the Company’s operations and cash requirements, except to the extent cash is required for significant acquisitions, if any. As of July 31, 2010, the total outstanding amounts under the Company’s line of credit in the form of cash borrowings and standby letters of credit were $150.0 million and $103.8 million, respectively. Available credit under the line of credit was up to $196.2 million as of July 31, 2010. The Company’s ability to draw down available amounts under its $450.0 million line of credit is subject to compliance with certain financial covenants, including covenants relating to consolidated net worth, a fixed charge coverage ratio and a leverage ratio. In addition, other covenants under the line of credit include limitations on liens, dispositions, fundamental changes, investments and certain transactions and payments. As of July 31, 2010, the Company was in compliance with all covenants and expects to be in the foreseeable future.</w:t>
      </w:r>
    </w:p>
    <w:p>
      <w:pPr>
        <w:spacing w:after="0" w:line="144"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increased by $3.2 million to $281.5 million at July 31, 2010 from $ 278.3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2009. Excluding the effects of discontinued operations, working capital increased by $8.2 million to $276.8 million at July 31, 2010 from $268.6 million at October 31, 2009.</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$13.4 million increase in trade accounts receivable, net, primarily related to the timing of collections received from clients; and</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$6.0 million decrease in trade accounts payable and accrued liabilities, primarily related to the timing of payments made on vendor invoices;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$7.2 million decrease in prepaid income taxes, primarily due to the timing of income tax payments;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$3.4 million decrease in notes receivable, primarily related to collections received during the nine months ended July 31, 2010.</w:t>
      </w:r>
    </w:p>
    <w:p>
      <w:pPr>
        <w:spacing w:after="0" w:line="148" w:lineRule="exact"/>
        <w:rPr>
          <w:sz w:val="20"/>
          <w:szCs w:val="20"/>
          <w:color w:val="auto"/>
        </w:rPr>
      </w:pPr>
    </w:p>
    <w:p>
      <w:pPr>
        <w:ind w:left="340" w:right="559"/>
        <w:spacing w:after="0" w:line="271" w:lineRule="auto"/>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 Net cash provided by operating activities was $80.3 million for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July 31, 2010, compared to $76.5 million for the nine months ended July 31,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cash flows from operating activities was primarily related to:</w:t>
      </w:r>
    </w:p>
    <w:p>
      <w:pPr>
        <w:spacing w:after="0" w:line="171" w:lineRule="exact"/>
        <w:rPr>
          <w:sz w:val="20"/>
          <w:szCs w:val="20"/>
          <w:color w:val="auto"/>
        </w:rPr>
      </w:pPr>
    </w:p>
    <w:p>
      <w:pPr>
        <w:jc w:val="both"/>
        <w:ind w:left="1040" w:right="559"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$13.5 million net increase in the year-over-year change in income taxes, primarily related to the timing of income tax payments and the utilization of deferred tax assets, including OneSource Services, Inc. deferred tax assets; and</w:t>
      </w:r>
    </w:p>
    <w:p>
      <w:pPr>
        <w:spacing w:after="0" w:line="175"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$5.8 million increase in the year-over-year change in other current assets, primarily related to collections received on notes receivables;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$16.5 million decrease in net cash provided by discontinued operating activities.</w:t>
      </w:r>
    </w:p>
    <w:p>
      <w:pPr>
        <w:spacing w:after="0" w:line="171"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Net cash provided by discontinued operating activities was $7.3 million for the nine months ended July 31, 2010, compared to $23.8 million for the nine months ended July 31, 2009. The cash provided by discontinued operating activities for the nine months ended July 31, 2010 primarily related to cash collections from the transferred client contracts that contained deferred charges related to services performed by the Company prior to the sale.</w:t>
      </w:r>
    </w:p>
    <w:p>
      <w:pPr>
        <w:spacing w:after="0" w:line="13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for the nine months ended July 31,</w:t>
      </w:r>
      <w:r>
        <w:rPr>
          <w:rFonts w:ascii="Arial" w:cs="Arial" w:eastAsia="Arial" w:hAnsi="Arial"/>
          <w:sz w:val="18"/>
          <w:szCs w:val="18"/>
          <w:b w:val="1"/>
          <w:bCs w:val="1"/>
          <w:color w:val="auto"/>
        </w:rPr>
        <w:t xml:space="preserve"> </w:t>
      </w:r>
      <w:r>
        <w:rPr>
          <w:rFonts w:ascii="Arial" w:cs="Arial" w:eastAsia="Arial" w:hAnsi="Arial"/>
          <w:sz w:val="18"/>
          <w:szCs w:val="18"/>
          <w:color w:val="auto"/>
        </w:rPr>
        <w:t>2010 was $47.9 million, compared to $32.3 million for the nine months ended July 31, 2009.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cash used in investing activities was primarily related to:</w:t>
      </w:r>
    </w:p>
    <w:p>
      <w:pPr>
        <w:spacing w:after="0" w:line="171" w:lineRule="exact"/>
        <w:rPr>
          <w:sz w:val="20"/>
          <w:szCs w:val="20"/>
          <w:color w:val="auto"/>
        </w:rPr>
      </w:pPr>
    </w:p>
    <w:p>
      <w:pPr>
        <w:jc w:val="both"/>
        <w:ind w:left="1040" w:right="559"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$27.9 million cash paid, net of cash acquired, for the Diversco acquisition in the nine months ended July 31, 2010, as compared to $15.1 million for the Control Building Services, Inc., Control Engineering Services, Inc., and TTF, Inc. acquisition in the nine months ended July 31, 2009; and</w:t>
      </w:r>
    </w:p>
    <w:p>
      <w:pPr>
        <w:spacing w:after="0" w:line="162"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$3.3 million of additional consideration paid for the achievement of certain financial performance targets in connection with prior years acquisitions in the nine months ended July 31, 2010, as compared to $4.7 million in the nine months ended July 31, 2009.</w:t>
      </w:r>
    </w:p>
    <w:p>
      <w:pPr>
        <w:spacing w:after="0" w:line="154"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used in financing activities was $33.6 million for the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July 31, 2010, compared to $47.3 million for the nine months ended July 31, 2009. The decrease in cash used in financing activities was primarily related to the financing of the Diversco acquisition which was partially offset by the repayments made on the Company’s line of credit.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July 31, 2010 vs. Three Months Ended July 31, 2009</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42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20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8"/>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4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July 31, 2010</w:t>
            </w:r>
          </w:p>
        </w:tc>
        <w:tc>
          <w:tcPr>
            <w:tcW w:w="14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July 31, 2009</w:t>
            </w: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869,029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870,635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(1,606)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776,224</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782,449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(6,225)</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54,697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64,736</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(10,039)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(170)</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400"/>
              <w:spacing w:after="0"/>
              <w:rPr>
                <w:sz w:val="20"/>
                <w:szCs w:val="20"/>
                <w:color w:val="auto"/>
              </w:rPr>
            </w:pPr>
            <w:r>
              <w:rPr>
                <w:rFonts w:ascii="Arial" w:cs="Arial" w:eastAsia="Arial" w:hAnsi="Arial"/>
                <w:sz w:val="18"/>
                <w:szCs w:val="18"/>
                <w:color w:val="auto"/>
              </w:rPr>
              <w:t>Total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833,703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850,137</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(16,434)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35,326</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20,498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14,828</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2"/>
        </w:trPr>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(3,575)</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00" w:type="dxa"/>
            <w:vAlign w:val="bottom"/>
          </w:tcPr>
          <w:p>
            <w:pPr>
              <w:ind w:left="6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(2,009)</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2,009</w:t>
            </w: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(323)</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line="203"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34,177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17,460</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16,717</w:t>
            </w:r>
          </w:p>
        </w:tc>
        <w:tc>
          <w:tcPr>
            <w:tcW w:w="11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13,204</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8,144</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20,973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8,573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114</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20,963</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12,276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8,687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the three months ended July 31, 2010 increased by $8.7 million, or 70.8%, to</w:t>
      </w:r>
      <w:r>
        <w:rPr>
          <w:rFonts w:ascii="Arial" w:cs="Arial" w:eastAsia="Arial" w:hAnsi="Arial"/>
          <w:sz w:val="18"/>
          <w:szCs w:val="18"/>
          <w:b w:val="1"/>
          <w:bCs w:val="1"/>
          <w:color w:val="auto"/>
        </w:rPr>
        <w:t xml:space="preserve"> </w:t>
      </w:r>
      <w:r>
        <w:rPr>
          <w:rFonts w:ascii="Arial" w:cs="Arial" w:eastAsia="Arial" w:hAnsi="Arial"/>
          <w:sz w:val="18"/>
          <w:szCs w:val="18"/>
          <w:color w:val="auto"/>
        </w:rPr>
        <w:t>$21.0 million ($0.40 per diluted share) from $12.3 million ($0.24 per diluted share) in the three months ended July 31, 2009.</w:t>
      </w:r>
    </w:p>
    <w:p>
      <w:pPr>
        <w:spacing w:after="0" w:line="354"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the three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$8.6 million, or 69.1%, to $21.0 million ($0.40 per diluted share) from $12.4 million ($0.24 per diluted share) in the three months ended July 31, 2009.</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income from continuing operations was primarily related to:</w:t>
      </w:r>
    </w:p>
    <w:p>
      <w:pPr>
        <w:spacing w:after="0" w:line="171" w:lineRule="exact"/>
        <w:rPr>
          <w:sz w:val="20"/>
          <w:szCs w:val="20"/>
          <w:color w:val="auto"/>
        </w:rPr>
      </w:pPr>
    </w:p>
    <w:p>
      <w:pPr>
        <w:jc w:val="both"/>
        <w:ind w:left="1040" w:right="559" w:hanging="343"/>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$4.7 million increase in operating profit, excluding the Corporate segment, primarily related to a decrease in labor expenses resulting from one less working day in the three months ended July 31, 2010 and cost control measures;</w:t>
      </w:r>
    </w:p>
    <w:p>
      <w:pPr>
        <w:spacing w:after="0" w:line="175"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absence of a $3.5 million adjustment to increase the self-insurance reserves related to prior year claims recorded in the three months ended July 31, 2009;</w:t>
      </w:r>
    </w:p>
    <w:p>
      <w:pPr>
        <w:spacing w:after="0" w:line="156"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$3.4 million reversal of previously recorded share-based compensation expense in the three months ended July 31, 2010, due to a change in our assessment of the probability of achieving the financial performance targets established in connection with certain performance share grants;</w:t>
      </w:r>
    </w:p>
    <w:p>
      <w:pPr>
        <w:spacing w:after="0" w:line="162"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$2.7 million period-over-period decrease in information technology costs, primarily related to the upgrade of the payroll, human resources and accounting systems that occurred in 2009; and</w:t>
      </w:r>
    </w:p>
    <w:p>
      <w:pPr>
        <w:spacing w:after="0" w:line="169"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absence of a $1.6 million credit loss associated with the other-than-temporary impairment of the Company’s investment in auction rate securities recognized in the three months ended July 31, 2009;</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jc w:val="both"/>
        <w:ind w:left="1040" w:right="559"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$8.1 million increase in income taxes, primarily related to the increase in income from continuing operations before income taxes and a $1.7 million period-over-period decrease of non-recurring tax benefits;</w:t>
      </w:r>
    </w:p>
    <w:p>
      <w:pPr>
        <w:spacing w:after="0" w:line="175"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$1.0 million increase in a litigation contingency, which includes associated legal fees; and</w:t>
      </w:r>
    </w:p>
    <w:p>
      <w:pPr>
        <w:spacing w:after="0" w:line="171"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acquisition costs of $0.6 million, expensed in the three months ended July 31, 2010, subsequent to the adoption of Accounting Standards Codification </w:t>
      </w:r>
      <w:r>
        <w:rPr>
          <w:rFonts w:ascii="Arial" w:cs="Arial" w:eastAsia="Arial" w:hAnsi="Arial"/>
          <w:sz w:val="15"/>
          <w:szCs w:val="15"/>
          <w:color w:val="auto"/>
        </w:rPr>
        <w:t>TM</w:t>
      </w:r>
      <w:r>
        <w:rPr>
          <w:rFonts w:ascii="Arial" w:cs="Arial" w:eastAsia="Arial" w:hAnsi="Arial"/>
          <w:sz w:val="18"/>
          <w:szCs w:val="18"/>
          <w:color w:val="auto"/>
        </w:rPr>
        <w:t xml:space="preserve"> Topic 805 “Business Combinations” (“ASC 805”) on November 1, 2009.</w:t>
      </w:r>
    </w:p>
    <w:p>
      <w:pPr>
        <w:spacing w:after="0" w:line="140"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Total revenues in the three months ended July 31, 2010 remained relatively flat,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July 31, 2009. Revenue decreases in the Janitorial segment were partially offset by revenue increases in the Engineering segment.</w:t>
      </w:r>
    </w:p>
    <w:p>
      <w:pPr>
        <w:spacing w:after="0" w:line="14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was 10.7% and 10.1% in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July 31, 2010 and 2009, respectively.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margin percentages are affected by the following:</w:t>
      </w:r>
    </w:p>
    <w:p>
      <w:pPr>
        <w:spacing w:after="0" w:line="171" w:lineRule="exact"/>
        <w:rPr>
          <w:sz w:val="20"/>
          <w:szCs w:val="20"/>
          <w:color w:val="auto"/>
        </w:rPr>
      </w:pPr>
    </w:p>
    <w:p>
      <w:pPr>
        <w:ind w:left="1040" w:right="559" w:hanging="343"/>
        <w:spacing w:after="0" w:line="246" w:lineRule="auto"/>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$3.5 million adjustment to increase the self-insurance reserves related to prior year claims recorded in the three months ended July 31, 2009; and</w:t>
      </w:r>
    </w:p>
    <w:p>
      <w:pPr>
        <w:spacing w:after="0" w:line="16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decrease in labor expenses resulting from one less working day in the three months ended July 31, 2010.</w:t>
      </w:r>
    </w:p>
    <w:p>
      <w:pPr>
        <w:spacing w:after="0" w:line="14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$10.0 million, or 15.5%, in the three months ended July 31, 2010 compared to the three months ended July 31,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selling, general and administrative expenses was primarily related to:</w:t>
      </w:r>
    </w:p>
    <w:p>
      <w:pPr>
        <w:spacing w:after="0" w:line="185" w:lineRule="exact"/>
        <w:rPr>
          <w:sz w:val="20"/>
          <w:szCs w:val="20"/>
          <w:color w:val="auto"/>
        </w:rPr>
      </w:pPr>
    </w:p>
    <w:p>
      <w:pPr>
        <w:ind w:left="1040" w:right="559" w:hanging="343"/>
        <w:spacing w:after="0" w:line="246" w:lineRule="auto"/>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$3.5 million decrease in selling, general and administrative costs at the Janitorial segment, primarily related to cost control measures;</w:t>
      </w:r>
    </w:p>
    <w:p>
      <w:pPr>
        <w:spacing w:after="0" w:line="156"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$3.4 million reversal of previously recorded share-based compensation expense in the three months ended July 31, 2010, due to a change in our assessment of the probability of achieving the financial performance targets established in connection with certain performance share grants; and</w:t>
      </w:r>
    </w:p>
    <w:p>
      <w:pPr>
        <w:spacing w:after="0" w:line="162"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$2.7 million period-over-period decrease in information technology costs, primarily related to the upgrade of the payroll, human resources and accounting systems that occurred in 2009;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1040" w:hanging="343"/>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$1.0 million increase in a litigation contingency, which includes associated legal fees;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acquisition costs of $0.6 million, expensed in the three months ended July 31, 2010, subsequent to the adoption of ASC 805 on November 1, 2009.</w:t>
      </w:r>
    </w:p>
    <w:p>
      <w:pPr>
        <w:sectPr>
          <w:pgSz w:w="11900" w:h="16838" w:orient="portrait"/>
          <w:cols w:equalWidth="0" w:num="1">
            <w:col w:w="10219"/>
          </w:cols>
          <w:pgMar w:left="240" w:top="419" w:right="1440" w:bottom="111"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1"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three months ended July 31, 2010 decreased $0.3 million, or 21.9%, to</w:t>
      </w:r>
      <w:r>
        <w:rPr>
          <w:rFonts w:ascii="Arial" w:cs="Arial" w:eastAsia="Arial" w:hAnsi="Arial"/>
          <w:sz w:val="18"/>
          <w:szCs w:val="18"/>
          <w:b w:val="1"/>
          <w:bCs w:val="1"/>
          <w:color w:val="auto"/>
        </w:rPr>
        <w:t xml:space="preserve"> </w:t>
      </w:r>
      <w:r>
        <w:rPr>
          <w:rFonts w:ascii="Arial" w:cs="Arial" w:eastAsia="Arial" w:hAnsi="Arial"/>
          <w:sz w:val="18"/>
          <w:szCs w:val="18"/>
          <w:color w:val="auto"/>
        </w:rPr>
        <w:t>$1.1 million from $1.5 million in the three months ended July 31, 2009. The decrease was primarily related to a lower average outstanding balance and a lower average interest rate under the line of credit in the three months ended July 31, 2010 compared to the three months ended July 31, 2009. The average outstanding balance under the Company’s line of credit was $148.2 million and $205.0 million during the three months ended July 31, 2010 and 2009, respectively.</w:t>
      </w:r>
    </w:p>
    <w:p>
      <w:pPr>
        <w:spacing w:after="0" w:line="152"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rates on income from continuing operations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July 31, 2010 and 2009 were 38.6% and 29.0%, respectively. The effective tax rate for the three months ended July 31, 2009 includes a non-recurring tax benefit of $1.7 million, which primarily consists of California Enterprise Zone hiring credits.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revenues and operating profits for the Company’s reportable segments (Janitorial,</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Parking, Security, and Engineering) were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42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20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8"/>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4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July 31, 2010</w:t>
            </w:r>
          </w:p>
        </w:tc>
        <w:tc>
          <w:tcPr>
            <w:tcW w:w="14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July 31, 2009</w:t>
            </w: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4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583,015</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595,115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(12,100)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114,222</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114,721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84,900</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84,501</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399</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86,572</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75,782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10,790</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516</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869,029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870,635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(1,606)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38,615</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35,043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3,572</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5,823</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4,968</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2,751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5,883</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4,857</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1,026</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(17,021)</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(27,121)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10,100</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35,326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20,498</w:t>
            </w: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14,828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3,575</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(3,575)</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2,009</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1,149</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1,472</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(323)</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w:t>
            </w: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income taxes</w:t>
            </w:r>
          </w:p>
        </w:tc>
        <w:tc>
          <w:tcPr>
            <w:tcW w:w="44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34,177</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17,460</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16,717</w:t>
            </w: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49"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decreased $12.1 million, or 2.0%, during the three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July 31, 2009. The decrease was primarily related to reductions in the level and scope of client services provided to existing clients and contract price compression as a result of decreases in client discretionary spending.</w:t>
      </w:r>
    </w:p>
    <w:p>
      <w:pPr>
        <w:spacing w:after="0" w:line="169"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Operating profit increased $3.6 million, or 10.2%, during the three months ended July 31, 2010 compared to the three months ended July 31, 2009. The increase was primarily related to lower labor expenses resulting from one less working day in the three months ended July 31, 2010 and cost control measures, partially offset by the reduction in revenues.</w:t>
      </w:r>
    </w:p>
    <w:p>
      <w:pPr>
        <w:spacing w:after="0" w:line="139"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decreased $0.5 million, or 0.4%, during the three months ended July 31,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July 31, 2009. The decrease was primarily related to a $1.4 million reduction of expenses incurred on the behalf of managed parking facilities, which are reimbursed to the Company. These reimbursed expenses are recognized as parking revenues and expenses, which have no impact on operating profit. The decrease in management reimbursement revenues was offset by a $0.9 million increase in lease and allowance revenues from new clients and the expansion of service to existing clients.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Operating profit increased $0.8 million, or 17.2%, during the three months ended July 31, 2010 compared to the three months ended July 31, 2009. The increase was primarily related to the increase in lease and allowance revenues and cost control measures.</w:t>
      </w:r>
    </w:p>
    <w:p>
      <w:pPr>
        <w:spacing w:after="0" w:line="154"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increased $0.4 million, or 0.5%, during the three months ended July 31,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July 31, 2009. The increase was primarily related to additional revenues from new clients, partially offset by a reduction in the level and scope of client services provided to existing clients as a result of a decrease in client discretionary spending.</w:t>
      </w:r>
    </w:p>
    <w:p>
      <w:pPr>
        <w:spacing w:after="0" w:line="156"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Operating profit decreased $0.7 million, or 26.4%, in the three months ended July 31, 2010 compared to the three months ended July 31, 2009. The decrease was primarily related to margin compression, which was the result of reductions in the level and scope of client services provided under arrangements that produced higher gross profit margins.</w:t>
      </w:r>
    </w:p>
    <w:p>
      <w:pPr>
        <w:spacing w:after="0" w:line="139"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$10.8 million, or 14.2%, during the three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July 31, 2009. The increase was primarily related to additional revenues from new clients and the expansion of services to existing clients, partially offset by the effects of one less working day in the three months ended July 31, 2010.</w:t>
      </w:r>
    </w:p>
    <w:p>
      <w:pPr>
        <w:spacing w:after="0" w:line="169"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Operating profit increased by $1.0 million, or 21.1%, in the three months ended July 31, 2010 compared to the three months ended July 31, 2009, primarily related to the increase in revenues.</w:t>
      </w:r>
    </w:p>
    <w:p>
      <w:pPr>
        <w:spacing w:after="0" w:line="134"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decreased $10.1 million, or 37.2%, in the three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July 31,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Corporate expense was primarily related to:</w:t>
      </w:r>
    </w:p>
    <w:p>
      <w:pPr>
        <w:spacing w:after="0" w:line="185" w:lineRule="exact"/>
        <w:rPr>
          <w:sz w:val="20"/>
          <w:szCs w:val="20"/>
          <w:color w:val="auto"/>
        </w:rPr>
      </w:pPr>
    </w:p>
    <w:p>
      <w:pPr>
        <w:ind w:left="1040" w:right="559" w:hanging="343"/>
        <w:spacing w:after="0" w:line="246"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absence of a $3.5 million adjustment to increase the self-insurance reserves related to prior year claims recorded in the three months ended July 31, 2009;</w:t>
      </w:r>
    </w:p>
    <w:p>
      <w:pPr>
        <w:spacing w:after="0" w:line="156"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$3.4 million reversal of previously recorded share-based compensation expense in the three months ended July 31, 2010, due to a change in our assessment of the probability of achieving the financial performance targets established in connection with certain performance share grants; and</w:t>
      </w:r>
    </w:p>
    <w:p>
      <w:pPr>
        <w:spacing w:after="0" w:line="162"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$2.7 million period-over-period decrease in information technology costs, primarily related to the upgrade of the payroll, human resources and accounting systems that occurred in 2009;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1040" w:hanging="343"/>
        <w:spacing w:after="0"/>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$1.0 million increase in a litigation contingency, which includes associated legal fees;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acquisition costs of $0.6 million, expensed in the three months ended July 31, 2010, subsequent to the adoption of ASC 805 on November 1, 2009.</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Nine Months Ended July 31, 2010 vs. Nine Months Ended July 31, 2009</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Nine Months</w:t>
            </w: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Nine Months</w:t>
            </w:r>
          </w:p>
        </w:tc>
        <w:tc>
          <w:tcPr>
            <w:tcW w:w="10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8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2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17"/>
                <w:szCs w:val="17"/>
                <w:color w:val="auto"/>
              </w:rPr>
            </w:pPr>
          </w:p>
        </w:tc>
        <w:tc>
          <w:tcPr>
            <w:tcW w:w="1400" w:type="dxa"/>
            <w:vAlign w:val="bottom"/>
            <w:gridSpan w:val="3"/>
          </w:tcPr>
          <w:p>
            <w:pPr>
              <w:spacing w:after="0" w:line="203" w:lineRule="exact"/>
              <w:rPr>
                <w:sz w:val="20"/>
                <w:szCs w:val="20"/>
                <w:color w:val="auto"/>
              </w:rPr>
            </w:pPr>
            <w:r>
              <w:rPr>
                <w:rFonts w:ascii="Arial" w:cs="Arial" w:eastAsia="Arial" w:hAnsi="Arial"/>
                <w:sz w:val="18"/>
                <w:szCs w:val="18"/>
                <w:color w:val="auto"/>
              </w:rPr>
              <w:t>July 31, 2010</w:t>
            </w: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July 31, 2009</w:t>
            </w:r>
          </w:p>
        </w:tc>
        <w:tc>
          <w:tcPr>
            <w:tcW w:w="100" w:type="dxa"/>
            <w:vAlign w:val="bottom"/>
          </w:tcPr>
          <w:p>
            <w:pPr>
              <w:spacing w:after="0"/>
              <w:rPr>
                <w:sz w:val="17"/>
                <w:szCs w:val="17"/>
                <w:color w:val="auto"/>
              </w:rPr>
            </w:pPr>
          </w:p>
        </w:tc>
        <w:tc>
          <w:tcPr>
            <w:tcW w:w="84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2,594,374</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2,613,818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(19,444)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405"/>
        </w:trPr>
        <w:tc>
          <w:tcPr>
            <w:tcW w:w="38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2,330,299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2,335,865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(5,566)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182,743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200,388</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(17,645)</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400"/>
              <w:spacing w:after="0"/>
              <w:rPr>
                <w:sz w:val="20"/>
                <w:szCs w:val="20"/>
                <w:color w:val="auto"/>
              </w:rPr>
            </w:pPr>
            <w:r>
              <w:rPr>
                <w:rFonts w:ascii="Arial" w:cs="Arial" w:eastAsia="Arial" w:hAnsi="Arial"/>
                <w:sz w:val="18"/>
                <w:szCs w:val="18"/>
                <w:color w:val="auto"/>
              </w:rPr>
              <w:t>Total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2,521,293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2,544,708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(23,415)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73,081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69,110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3,971</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3820" w:type="dxa"/>
            <w:vAlign w:val="bottom"/>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Gross impairment losses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(3,461)</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20" w:type="dxa"/>
            <w:vAlign w:val="bottom"/>
          </w:tcPr>
          <w:p>
            <w:pPr>
              <w:ind w:left="600"/>
              <w:spacing w:after="0" w:line="201" w:lineRule="exact"/>
              <w:rPr>
                <w:sz w:val="20"/>
                <w:szCs w:val="20"/>
                <w:color w:val="auto"/>
              </w:rPr>
            </w:pPr>
            <w:r>
              <w:rPr>
                <w:rFonts w:ascii="Arial" w:cs="Arial" w:eastAsia="Arial" w:hAnsi="Arial"/>
                <w:sz w:val="18"/>
                <w:szCs w:val="18"/>
                <w:color w:val="auto"/>
              </w:rPr>
              <w:t>Impairments recognized in other</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800"/>
              <w:spacing w:after="0" w:line="203" w:lineRule="exact"/>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2,022</w:t>
            </w: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4,453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(912)</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00"/>
              <w:spacing w:after="0" w:line="203" w:lineRule="exact"/>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69,413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63,091</w:t>
            </w:r>
          </w:p>
        </w:tc>
        <w:tc>
          <w:tcPr>
            <w:tcW w:w="10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6,322</w:t>
            </w:r>
          </w:p>
        </w:tc>
        <w:tc>
          <w:tcPr>
            <w:tcW w:w="11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26,981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22,887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4,094</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2,228</w:t>
            </w: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817</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42,315</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39,270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3,045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49"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the nine months ended July 31, 2010 increased by $3.0 million, or 7.8%, to $42.3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($0.80 per diluted share) from $ 39.3 million ($0.76 per diluted share) in the nine months ended July 31, 2009. Net income included a loss of $0.1 million and $0.9 million from discontinued operations in the nine months ended July 31, 2010 and 2009, respectively.</w:t>
      </w:r>
    </w:p>
    <w:p>
      <w:pPr>
        <w:spacing w:after="0" w:line="134"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the nine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$2.2 million, or 5.5%, to $42.4 million ($0.80 per diluted share) from $40.2 million ($0.78 per diluted share) in the nine months ended July 31, 2009.</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income from continuing operations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$8.8 million year-over-year decrease in information technology costs, primarily related to the upgrade of the payroll, human resources and accounting systems that occurred in 2009;</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absence of a $3.5 million adjustment to increase the self-insurance reserves related to prior year claims recorded in the nine months ended July 31, 2009;</w:t>
      </w:r>
    </w:p>
    <w:p>
      <w:pPr>
        <w:spacing w:after="0" w:line="169"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$3.4 million reversal of previously recorded share-based compensation expense in the nine months ended July 31, 2010, due to a change in our assessment of the probability of achieving the financial performance targets established in connection with certain performance share grants;</w:t>
      </w:r>
    </w:p>
    <w:p>
      <w:pPr>
        <w:spacing w:after="0" w:line="162" w:lineRule="exact"/>
        <w:rPr>
          <w:rFonts w:ascii="Arial" w:cs="Arial" w:eastAsia="Arial" w:hAnsi="Arial"/>
          <w:sz w:val="18"/>
          <w:szCs w:val="18"/>
          <w:b w:val="1"/>
          <w:bCs w:val="1"/>
          <w:color w:val="auto"/>
        </w:rPr>
      </w:pPr>
    </w:p>
    <w:p>
      <w:pPr>
        <w:jc w:val="both"/>
        <w:ind w:left="1040" w:right="559" w:hanging="343"/>
        <w:spacing w:after="0" w:line="239"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$2.9 million decrease in general and administrative expenses, primarily related to professional fees and costs associated with the move of the Company’s corporate headquarters to New York incurred during the nine months ended July 31, 2009 and decreases in costs associated with the centralization of certain back office support services;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040" w:right="559" w:hanging="343"/>
        <w:spacing w:after="0"/>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$2.1 million increase in operating profit, excluding the Corporate segment, primarily related to cost control measures and increases in the operating profit in the Engineering and Parking segments as a result of increases in revenues from new clients and the expansion of services to existing clients;</w:t>
      </w:r>
    </w:p>
    <w:p>
      <w:pPr>
        <w:spacing w:after="0" w:line="175"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$1.4 million year-over-year decrease in the credit loss associated with the other-than-temporary impairment of the Company’s investment in auction rate securities; and</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$0.9 million decrease in interest expense as a result of a lower average outstanding balance and lower average interest rate under the line of credit;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40" w:right="559" w:hanging="343"/>
        <w:spacing w:after="0" w:line="246" w:lineRule="auto"/>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absence of a $9.6 million net gain related to a legal settlement for a claim that was settled and resolved in the three months ended January 31, 2009;</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$5.4 million increase in a litigation contingency, which includes associated legal fees;</w:t>
      </w:r>
    </w:p>
    <w:p>
      <w:pPr>
        <w:spacing w:after="0" w:line="171"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$4.1 million increase in income taxes, primarily related to the increase in income from continuing operations before income taxes and a $1.5 million year-over-year decrease of non-recurring tax benefits; and</w:t>
      </w:r>
    </w:p>
    <w:p>
      <w:pPr>
        <w:spacing w:after="0" w:line="175"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acquisition costs of $1.6 million, expensed in the nine months ended July 31, 2010, subsequent to the adoption of ASC 805 on November 1, 2009.</w:t>
      </w:r>
    </w:p>
    <w:p>
      <w:pPr>
        <w:spacing w:after="0" w:line="134"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Total revenues in the nine months ended July 31, 2010 decreased $19.4 million, or 0.7%, to</w:t>
      </w:r>
      <w:r>
        <w:rPr>
          <w:rFonts w:ascii="Arial" w:cs="Arial" w:eastAsia="Arial" w:hAnsi="Arial"/>
          <w:sz w:val="18"/>
          <w:szCs w:val="18"/>
          <w:b w:val="1"/>
          <w:bCs w:val="1"/>
          <w:color w:val="auto"/>
        </w:rPr>
        <w:t xml:space="preserve"> </w:t>
      </w:r>
      <w:r>
        <w:rPr>
          <w:rFonts w:ascii="Arial" w:cs="Arial" w:eastAsia="Arial" w:hAnsi="Arial"/>
          <w:sz w:val="18"/>
          <w:szCs w:val="18"/>
          <w:color w:val="auto"/>
        </w:rPr>
        <w:t>$2,594.4 million from $2,613.8 million in the nine months ended July 31, 2009. During 2009, the Company experienced losses of client contracts that exceeded new business, reductions in the level and scope of client services, contract price compression and declines in the level of tag work, primarily in the Janitorial segment. These losses and reductions continued to influence results in the nine months ended July 31, 2010. In addition, the Janitorial segment experienced some reductions in the level and scope of client services and contract price compression in the nine months ended July 31, 2010. These revenue decreases in the Janitorial segment were partially offset by additional revenues from new clients and the expansion of services to existing clients in the Engineering segment. Additionally, approximately $6.0 million, or 30.9%, of the decrease in revenues was due to the reduction of expenses incurred on the behalf of managed parking facilities, which are reimbursed to the Company. These reimbursed expenses are recognized as parking revenues and expenses, which have no impact on operating profit.</w:t>
      </w:r>
    </w:p>
    <w:p>
      <w:pPr>
        <w:spacing w:after="0" w:line="330"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was 10.2% and 10.6% in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July 31, 2010 and 2009,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margin percentage in the nine months ended July 31, 2009 were affected by the following:</w:t>
      </w:r>
    </w:p>
    <w:p>
      <w:pPr>
        <w:spacing w:after="0" w:line="171" w:lineRule="exact"/>
        <w:rPr>
          <w:sz w:val="20"/>
          <w:szCs w:val="20"/>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$9.6 million net gain related to a legal settlement for a claim that was settled and resolved in the three months ended January 31, 2009; and</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$3.5 million adjustment to increase the self-insurance reserves related to prior year claims recorded in the nine months ended July 31, 2009.</w:t>
      </w:r>
    </w:p>
    <w:p>
      <w:pPr>
        <w:spacing w:after="0" w:line="148" w:lineRule="exact"/>
        <w:rPr>
          <w:sz w:val="20"/>
          <w:szCs w:val="20"/>
          <w:color w:val="auto"/>
        </w:rPr>
      </w:pPr>
    </w:p>
    <w:p>
      <w:pPr>
        <w:ind w:left="340" w:right="559"/>
        <w:spacing w:after="0" w:line="27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$17.6 million, or 8.8%, in the nine months ended July 31, 2010 compared to the nine months ended July 31,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selling, general and administrative expenses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$9.7 million decrease in selling, general and administrative costs at the Janitorial segment, primarily related to cost control measures;</w:t>
      </w:r>
    </w:p>
    <w:p>
      <w:pPr>
        <w:spacing w:after="0" w:line="169"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$8.8 million year-over-year decrease in information technology costs, primarily related to the upgrade of the payroll, human resources and accounting systems that occurred in 2009;</w:t>
      </w:r>
    </w:p>
    <w:p>
      <w:pPr>
        <w:spacing w:after="0" w:line="156"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$3.4 million reversal of previously recorded share-based compensation expense in the nine months ended July 31, 2010, due to a change in our assessment of the probability of achieving the financial performance targets established in connection with certain performance share grants; and</w:t>
      </w:r>
    </w:p>
    <w:p>
      <w:pPr>
        <w:spacing w:after="0" w:line="162" w:lineRule="exact"/>
        <w:rPr>
          <w:rFonts w:ascii="Arial" w:cs="Arial" w:eastAsia="Arial" w:hAnsi="Arial"/>
          <w:sz w:val="18"/>
          <w:szCs w:val="18"/>
          <w:b w:val="1"/>
          <w:bCs w:val="1"/>
          <w:color w:val="auto"/>
        </w:rPr>
      </w:pPr>
    </w:p>
    <w:p>
      <w:pPr>
        <w:jc w:val="both"/>
        <w:ind w:left="1040" w:right="559" w:hanging="343"/>
        <w:spacing w:after="0" w:line="239" w:lineRule="auto"/>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$2.9 million decrease in general and administrative expenses, primarily related to professional fees and costs associated with the move of the Company’s corporate headquarters to New York incurred during the nine months ended July 31, 2009 and decreases in costs associated with the centralization of certain back office support services;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40" w:hanging="343"/>
        <w:spacing w:after="0"/>
        <w:tabs>
          <w:tab w:leader="none" w:pos="10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$5.4 million increase in a litigation contingency, which includes associated legal fees;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acquisition costs of $1.6 million, expensed in the nine months ended July 31, 2010, subsequent to the adoption of ASC 805 on November 1, 2009.</w:t>
      </w:r>
    </w:p>
    <w:p>
      <w:pPr>
        <w:spacing w:after="0" w:line="134"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nine months ended July 31, 2010 decreased $0.9 million, or 20.5%, to</w:t>
      </w:r>
      <w:r>
        <w:rPr>
          <w:rFonts w:ascii="Arial" w:cs="Arial" w:eastAsia="Arial" w:hAnsi="Arial"/>
          <w:sz w:val="18"/>
          <w:szCs w:val="18"/>
          <w:b w:val="1"/>
          <w:bCs w:val="1"/>
          <w:color w:val="auto"/>
        </w:rPr>
        <w:t xml:space="preserve"> </w:t>
      </w:r>
      <w:r>
        <w:rPr>
          <w:rFonts w:ascii="Arial" w:cs="Arial" w:eastAsia="Arial" w:hAnsi="Arial"/>
          <w:sz w:val="18"/>
          <w:szCs w:val="18"/>
          <w:color w:val="auto"/>
        </w:rPr>
        <w:t>$3.5 million from $4.5 million in the nine months ended July 31, 2009. The decrease was primarily related to a lower average outstanding balance and a lower average interest rate under the line of credit in the nine months ended July 31, 2010 compared to the nine months ended July 31, 2009. The average outstanding balance under the Company’s line of credit was $160.9 million and $219.7 million during the nine months ended July 31, 2010 and 2009, respectively.</w:t>
      </w:r>
    </w:p>
    <w:p>
      <w:pPr>
        <w:spacing w:after="0" w:line="152"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rates on income from continuing operations for the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July 31, 2010 and 2009 were 38.9% and 36.3%, respectively. The effective tax rate for the nine months ended July 31, 2009 includes a non-recurring tax benefit of $1.5 million, which primarily consists of California Enterprise Zone hiring credits.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revenues and operating profits for the Company’s reportable segments (Janitorial,</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Parking, Security, and Engineering) were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Nine Months</w:t>
            </w: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Nine Months</w:t>
            </w:r>
          </w:p>
        </w:tc>
        <w:tc>
          <w:tcPr>
            <w:tcW w:w="10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8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2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July 31, 2010</w:t>
            </w: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July 31, 2009</w:t>
            </w:r>
          </w:p>
        </w:tc>
        <w:tc>
          <w:tcPr>
            <w:tcW w:w="100" w:type="dxa"/>
            <w:vAlign w:val="bottom"/>
          </w:tcPr>
          <w:p>
            <w:pPr>
              <w:spacing w:after="0"/>
              <w:rPr>
                <w:sz w:val="17"/>
                <w:szCs w:val="17"/>
                <w:color w:val="auto"/>
              </w:rPr>
            </w:pPr>
          </w:p>
        </w:tc>
        <w:tc>
          <w:tcPr>
            <w:tcW w:w="84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1,741,140</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1,792,879</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(51,739)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340,813</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343,737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(2,924)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249,209</w:t>
            </w: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252,487</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(3,278)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262,113</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223,192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38,921</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1,523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(424)</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2,594,374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2,613,818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(19,444)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101,724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102,248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(524)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16,033</w:t>
            </w: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13,969</w:t>
            </w:r>
          </w:p>
        </w:tc>
        <w:tc>
          <w:tcPr>
            <w:tcW w:w="10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2,064</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4,313</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(1,629)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15,731</w:t>
            </w: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13,561</w:t>
            </w:r>
          </w:p>
        </w:tc>
        <w:tc>
          <w:tcPr>
            <w:tcW w:w="10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2,170</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(64,720)</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(66,610)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1,890</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73,081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3,971</w:t>
            </w: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3,575</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(3,461)</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2,022</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3,541</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4,453</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(912)</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income taxes</w:t>
            </w:r>
          </w:p>
        </w:tc>
        <w:tc>
          <w:tcPr>
            <w:tcW w:w="42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69,413</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63,091</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6,322</w:t>
            </w: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49"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decreased $51.7 million, or 2.9%, during the nine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July 31, 2009. During 2009, Janitorial experienced losses of client contracts that exceeded new business, reductions in the level and scope of client services, contract price compression and declines in the level of tag work, which continued to influence results in the nine months ended July 31, 2010. In addition, during the nine months ended July 31, 2010, Janitorial continued to experience some reductions in the level and scope of client services and contract price compression as a result of decreases in client discretionary spending.</w:t>
      </w:r>
    </w:p>
    <w:p>
      <w:pPr>
        <w:spacing w:after="0" w:line="174"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Operating profit decreased $0.5 million, or 0.5%, during the nine months ended July 31, 2010 compared to the nine months ended July 31, 2009. The decrease was primarily related to the reduction in revenues, partially offset by the cost control measures.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decreased $2.9 million, or 0.9%, during the nine months ended July 31,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nine months ended July 31, 2009. The decrease was primarily related to a $6.0 million reduction of expenses incurred on the behalf of managed parking facilities, which are reimbursed to the Company. These reimbursed expenses are recognized as parking revenues and expenses, which have no impact on operating profit. The decrease in management reimbursement revenues was offset by a $3.1 million increase in lease and allowance revenues from new clients and the expansion of service to existing clients.</w:t>
      </w:r>
    </w:p>
    <w:p>
      <w:pPr>
        <w:spacing w:after="0" w:line="174"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Operating profit increased $2.1 million, or 14.8%, during the nine months ended July 31, 2010 compared to the nine months ended July 31, 2009. The increase was primarily related to the increase in lease and allowance revenues and cost control measures.</w:t>
      </w:r>
    </w:p>
    <w:p>
      <w:pPr>
        <w:spacing w:after="0" w:line="140"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decreased $3.3 million, or 1.3%, during the nine months ended July 31,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nine months ended July 31, 2009. The decrease in revenues was primarily related to reductions in the level and scope of client services and contract price compression as a result of decreases in client discretionary spending, partially offset by additional revenues from new clients in the nine months ended July 31, 2010.</w:t>
      </w:r>
    </w:p>
    <w:p>
      <w:pPr>
        <w:spacing w:after="0" w:line="156"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Operating profit decreased $1.6 million, or 27.4%, in the nine months ended July 31, 2010 compared to the nine months ended July 31, 2009. The decrease was primarily related to the decrease in revenues and margin compression.</w:t>
      </w:r>
    </w:p>
    <w:p>
      <w:pPr>
        <w:spacing w:after="0" w:line="154"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$38.9 million, or 17.4%, during the nine months ended July 31,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July 31, 2009. The increase was primarily related to additional revenues from new clients and the expansion of services to existing clients.</w:t>
      </w:r>
    </w:p>
    <w:p>
      <w:pPr>
        <w:spacing w:after="0" w:line="151"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Operating profit increased by $2.2 million, or 16.0%, in the nine months ended July 31, 2010 compared to the nine months ended July 31, 2009, primarily related to the increase in revenues.</w:t>
      </w:r>
    </w:p>
    <w:p>
      <w:pPr>
        <w:spacing w:after="0" w:line="134"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decreased $1.9 million, or 2.8%, in the nine months ended July 31,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nine months ended July 31, 2009.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Corporate expense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an $8.8 million year-over-year decrease in information technology costs, primarily related to the upgrade of the payroll, human resources and accounting systems that occurred in 2009;</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absence of a $3.5 million adjustment to increase the self-insurance reserves related to prior year claims recorded in the nine months ended July 31, 2009;</w:t>
      </w:r>
    </w:p>
    <w:p>
      <w:pPr>
        <w:spacing w:after="0" w:line="169"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$3.4 million reversal of previously recorded share-based compensation expense in the nine months ended July 31, 2010, due to a change in the probability of achieving the financial performance targets established in connection with certain performance share grants; and</w:t>
      </w:r>
    </w:p>
    <w:p>
      <w:pPr>
        <w:spacing w:after="0" w:line="162" w:lineRule="exact"/>
        <w:rPr>
          <w:rFonts w:ascii="Arial" w:cs="Arial" w:eastAsia="Arial" w:hAnsi="Arial"/>
          <w:sz w:val="18"/>
          <w:szCs w:val="18"/>
          <w:b w:val="1"/>
          <w:bCs w:val="1"/>
          <w:color w:val="auto"/>
        </w:rPr>
      </w:pPr>
    </w:p>
    <w:p>
      <w:pPr>
        <w:jc w:val="both"/>
        <w:ind w:left="1040" w:right="559" w:hanging="343"/>
        <w:spacing w:after="0" w:line="239" w:lineRule="auto"/>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$2.9 million decrease in general and administrative expenses, primarily related to professional fees and costs associated with the move of the Company’s corporate headquarters to New York incurred during the nine months ended July 31, 2009 and decreases in costs associated with the centralization of certain back office support services;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40" w:right="559" w:hanging="343"/>
        <w:spacing w:after="0" w:line="246" w:lineRule="auto"/>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absence of a $9.6 million net gain related to a legal settlement for a claim that was settled and resolved in the three months ended January 31, 2009;</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$5.4 million increase in a litigation contingency, which includes associated legal fees;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acquisition costs of $1.6 million, expensed in the nine months ended July 31, 2010, subsequent to the adoption of ASC 805 on November 1, 2009.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Contingencies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has been named a defendant in certain proceedings arising in the ordinary course of business.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accompanying condensed consolidated financial statements when it is both: (1)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is a defendant in various purported class action and class action lawsuits related to alleged violations of federal or California wage-and-hour laws.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w:t>
      </w:r>
    </w:p>
    <w:p>
      <w:pPr>
        <w:spacing w:after="0" w:line="176"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is a defendant in the lawsuit filed July 19, 2007 in the United States District Court, Eastern District of California, entitled U.S. Equal Employment Opportunity Commission, Plaintiff Erika Morales and Anonymous Plaintiffs One through Eight v. ABM Industries Incorporated et. al. (the “Morales case”). The plaintiffs in the Morales case allege sexual harassment and retaliation. In 2009, fourteen claimants joined the lawsuit alleging various claims against the Company. The case involved both Title VII federal law claims and California state law claims. In June 2010, the Company agreed to a settlement of $ 5.8 million for the Morales case, subject to court approval, which amount was accrued for at July 31, 2010. At April 30, 2010, $5.0 million had been accrued for this matter. The Company expects the court to approve the settlement in the fourth quarter of 2010.</w:t>
      </w:r>
    </w:p>
    <w:p>
      <w:pPr>
        <w:spacing w:after="0" w:line="168"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accrues amounts it believes are adequate to cover any liabilities related to litigation and arbitration proceedings, and other contingencies that the Company believes will result in a probable loss. However, the ultimate resolution of such matters is always uncertain. It is possible that any such proceedings brought against the Company could have a material adverse impact on its financial condition and results of operations. The total amount accrued for probable losses was $10.8 million at July 31, 2010.</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Pronouncements</w:t>
      </w:r>
    </w:p>
    <w:p>
      <w:pPr>
        <w:spacing w:after="0" w:line="207"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See Note 2, “Recently Adopted Accounting Pronouncements” in the Notes to the Condensed Consolidated Financial Statements contained in Item 1, “Financial Statements” for a discussion of recently adopted accounting pronouncements.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Company’s accompanying condensed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For a description of the Company’s critical accounting policies, see Item 7, Management’s Discussion and Analysis of Financial Conditions and Results of Operations, in the Company’s Annual Report on Form 10-K for the year ended October 31, 2009. Management does not believe that there has been any material changes in the Company’s critical accounting policies and estimates during the nine months ended July 31, 2010.</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Certain statements in this Quarterly Report on Form 10-Q, and in particular, statements found in Item 2. Management’s Discussion and Analysis of Financial Condition and Results of Operations, that are not historical in nature, constitute forward-looking statements. These statements are often identified by the words, “will,” “may,” “should,” “continue,” “anticipate,” “believe,” “expect,” “plan,” “appear,” “project,” “estimate,” “intend,” and words of a similar nature. Such statements reflect the current views of the Company with respect to future events and are subject to risks and uncertainties that could cause actual results to differ materially from those expressed or implied in these statements. We undertake no obligation to publicly update any forward-looking statements, whether as a result of new information, future events or otherwise.</w:t>
      </w:r>
    </w:p>
    <w:p>
      <w:pPr>
        <w:spacing w:after="0" w:line="168"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Any number of factors could cause the Company’s actual results to differ materially from those anticipated. These factors include but are not limited to the following:</w:t>
      </w:r>
    </w:p>
    <w:p>
      <w:pPr>
        <w:spacing w:after="0" w:line="170" w:lineRule="exact"/>
        <w:rPr>
          <w:sz w:val="20"/>
          <w:szCs w:val="20"/>
          <w:color w:val="auto"/>
        </w:rPr>
      </w:pPr>
    </w:p>
    <w:p>
      <w:pPr>
        <w:ind w:left="1040" w:hanging="343"/>
        <w:spacing w:after="0"/>
        <w:tabs>
          <w:tab w:leader="none" w:pos="10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risks relating to our acquisition strategy may adversely impact our results of operations;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intense competition can constrain our ability to gain business, as well as our profitability;</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we are subject to volatility associated with high deductibles for certain insurable risks;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an increase in costs that we cannot pass on to clients could affect our profitability;</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provide our services pursuant to agreements which are cancelable by either party upon 30 to 60 days’ notice;</w:t>
      </w:r>
    </w:p>
    <w:p>
      <w:pPr>
        <w:spacing w:after="0" w:line="16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success depends on our ability to preserve our long-term relationships with clients;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transition to a shared services function could create disruption in functions affected;</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incur significant accounting and other control costs that reduce profitability;</w:t>
      </w:r>
    </w:p>
    <w:p>
      <w:pPr>
        <w:spacing w:after="0" w:line="184"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deterioration in economic conditions in general could further reduce the demand for facility services and, as a result, reduce our earnings and adversely affect our financial condition;</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financial difficulties or bankruptcy of one or more of our major clients could adversely affect results;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ability to operate and pay our debt obligations depends upon our access to cash;</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future declines or fluctuations in the fair value of our investments in auction rate securities that are deemed other-than-temporarily impaired could negatively impact our earnings;</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uncertainty in the credit markets may negatively impact our costs of borrowings, our ability to collect receivables on a timely basis and our cash flow;</w:t>
      </w:r>
    </w:p>
    <w:p>
      <w:pPr>
        <w:spacing w:after="0" w:line="16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any future increase in the level of debt or in interest rates can affect our results of operations;</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are defendants in several class and representative actions or other lawsuits alleging various claims that could cause us to incur substantial liabilities;</w:t>
      </w:r>
    </w:p>
    <w:p>
      <w:pPr>
        <w:spacing w:after="0" w:line="169"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since we are an attractive employer for recent émigrés to this country and many of our jobs are filled by such, changes in immigration laws or enforcement actions or investigations under such laws could significantly adversely affect our labor force, operations and financial results and our reputation;</w:t>
      </w:r>
    </w:p>
    <w:p>
      <w:pPr>
        <w:spacing w:after="0" w:line="16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federal health care reform legislation may adversely affect our business and results of operations;</w:t>
      </w:r>
    </w:p>
    <w:p>
      <w:pPr>
        <w:spacing w:after="0" w:line="184"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participate in multi-employer defined benefit plans which could result in substantial liabilities being incurred; and</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natural disasters or acts of terrorism could disrupt our services.</w:t>
      </w:r>
    </w:p>
    <w:p>
      <w:pPr>
        <w:spacing w:after="0" w:line="171"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Additional information regarding these and other risks and uncertainties the Company faces is contained in the Company’s Annual Report on Form 10-K for the year ended October 31, 2009 and in other reports it files from time to time with the Securities and Exchange Commission.</w:t>
      </w:r>
    </w:p>
    <w:p>
      <w:pPr>
        <w:spacing w:after="0" w:line="154" w:lineRule="exact"/>
        <w:rPr>
          <w:sz w:val="20"/>
          <w:szCs w:val="20"/>
          <w:color w:val="auto"/>
        </w:rPr>
      </w:pPr>
    </w:p>
    <w:p>
      <w:pPr>
        <w:ind w:left="340" w:right="4079"/>
        <w:spacing w:after="0" w:line="451" w:lineRule="auto"/>
        <w:rPr>
          <w:sz w:val="20"/>
          <w:szCs w:val="20"/>
          <w:color w:val="auto"/>
        </w:rPr>
      </w:pPr>
      <w:r>
        <w:rPr>
          <w:rFonts w:ascii="Arial" w:cs="Arial" w:eastAsia="Arial" w:hAnsi="Arial"/>
          <w:sz w:val="18"/>
          <w:szCs w:val="18"/>
          <w:b w:val="1"/>
          <w:bCs w:val="1"/>
          <w:color w:val="auto"/>
        </w:rPr>
        <w:t>Item 3. Quantitative and Qualitative Disclosures About Market Risk Market Risk Sensitive Instruments</w:t>
      </w:r>
    </w:p>
    <w:p>
      <w:pPr>
        <w:jc w:val="both"/>
        <w:ind w:left="340" w:right="559"/>
        <w:spacing w:after="0" w:line="239" w:lineRule="auto"/>
        <w:rPr>
          <w:sz w:val="20"/>
          <w:szCs w:val="20"/>
          <w:color w:val="auto"/>
        </w:rPr>
      </w:pPr>
      <w:r>
        <w:rPr>
          <w:rFonts w:ascii="Arial" w:cs="Arial" w:eastAsia="Arial" w:hAnsi="Arial"/>
          <w:sz w:val="18"/>
          <w:szCs w:val="18"/>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Line of Credit</w:t>
      </w:r>
    </w:p>
    <w:p>
      <w:pPr>
        <w:spacing w:after="0" w:line="189" w:lineRule="exact"/>
        <w:rPr>
          <w:sz w:val="20"/>
          <w:szCs w:val="20"/>
          <w:color w:val="auto"/>
        </w:rPr>
      </w:pPr>
    </w:p>
    <w:p>
      <w:pPr>
        <w:jc w:val="both"/>
        <w:ind w:left="340" w:right="559"/>
        <w:spacing w:after="0" w:line="252" w:lineRule="auto"/>
        <w:rPr>
          <w:sz w:val="20"/>
          <w:szCs w:val="20"/>
          <w:color w:val="auto"/>
        </w:rPr>
      </w:pPr>
      <w:r>
        <w:rPr>
          <w:rFonts w:ascii="Arial" w:cs="Arial" w:eastAsia="Arial" w:hAnsi="Arial"/>
          <w:sz w:val="17"/>
          <w:szCs w:val="17"/>
          <w:color w:val="auto"/>
        </w:rPr>
        <w:t>The Company’s exposure to interest rate risk primarily relates to its cash equivalents and London Interbank Offered Rate (“LIBOR”) and Interbank Offered Rate (“IBOR”) based borrowings under the $450.0 million five-year syndicated line of credit that expires in November 2012. At July 31, 2010, outstanding LIBOR and IBOR based borrowings of $150.0 million represented 100% of the Company’s total debt obligations. While these borrowings mature over the next 90 days, the line of credit extends through November 2012, subject to the terms of the line of credit. The Company anticipates borrowing similar amounts for periods of one week to three months. A hypothetical 1% increase in interest rates would add an additional interest expense of $0.2 million on the average outstanding borrowings under the Company’s line of credit, net of the interest rate swap agreement, during the remainder of 2010.</w:t>
      </w:r>
    </w:p>
    <w:p>
      <w:pPr>
        <w:sectPr>
          <w:pgSz w:w="11900" w:h="16838" w:orient="portrait"/>
          <w:cols w:equalWidth="0" w:num="1">
            <w:col w:w="10219"/>
          </w:cols>
          <w:pgMar w:left="240" w:top="419" w:right="1440" w:bottom="719"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19"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w:t>
      </w:r>
    </w:p>
    <w:p>
      <w:pPr>
        <w:spacing w:after="0" w:line="20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On February 19, 2009, the Company entered into a two-year interest rate swap agreement with an underlying notional amount of $100.0 million, pursuant to which the Company receives variable interest payments based on LIBOR and pays fixed interest at a rate of 1.47%. This swap is intended to hedge the interest risk associated with $100.0 million of the Company’s floating-rate, LIBOR-based debt. The critical terms of the swap match the terms of the debt, resulting in no hedge ineffectiveness. On an ongoing basis (no less than once each quarter), the Company assesses whether its LIBOR-based interest payments are probable of being paid during the life of the hedging relationship. The Company also assesses the counterparty credit risk, including credit ratings and potential non-performance of the counterparty when determining the fair value of the swap.</w:t>
      </w:r>
    </w:p>
    <w:p>
      <w:pPr>
        <w:spacing w:after="0" w:line="168"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As of July 31, 2010, the fair value of the interest rate swap was a $0.7 million liability, which is included in retirement plans and other on the accompanying condensed consolidated balance sheet. The effective portion of this cash flow hedge is recorded as accumulated other comprehensive loss in the Company’s accompanying condensed consolidated balance sheet and reclassified into interest expense in the Company’s accompanying condensed consolidated statements of income in the same period during which the hedged transaction affects earnings. Any ineffective portion of the hedge is recorded immediately to interest expense. No ineffectiveness existed at July 31, 2010. The amount included in accumulated other comprehensive loss is $0.7 million ($0.4 million, net of taxes).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20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At July 31, 2010, the Company held investments in auction rate securities from five different issuers having an aggregate original principal amount of $25.0 million. The investments are not subject to material interest rate risk. These auction rate securities are debt instruments with stated maturities ranging from 2025 to 2050, for which the interest rate is designed to be reset through Dutch auctions approximately every 30 days based on spreads to a base rate (i.e., LIBOR). A hypothetical 1% increase in interest rates would add approximately $0.1 million of additional interest income during the remainder of 2010.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189"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4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71"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As required by paragraph (b) of Rules 13a-15 or 15d-15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of 1934 (the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150"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over financial reporting during the quarter ended July 31, 2010 that have materially affected, or are reasonably likely to materially affect, the Company’s internal control over financial reporting.</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Company is involved in various claims and legal proceedings of a nature considered normal to its business, as well as, from time to time, in additional matters.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75"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On June 17, 2010, the United States Court of Appeals for the Ninth Circuit affirmed the decision of the district court which had summarily dismissed with prejudice the previously reported case of Villacres v. ABM Security Services, Inc. filed on August 15, 2007 in the U.S. District Court of California Central District (the “Villacres case”). The state court companion case filed April 3, 2008 in L.A. Superior Court, has also been dismissed with prejudice via summary judgment by the judge of the Superior Court. The appeal by plaintiff with respect to the state court dismissal is pending.</w:t>
      </w:r>
    </w:p>
    <w:p>
      <w:pPr>
        <w:sectPr>
          <w:pgSz w:w="11900" w:h="16838" w:orient="portrait"/>
          <w:cols w:equalWidth="0" w:num="1">
            <w:col w:w="10219"/>
          </w:cols>
          <w:pgMar w:left="240" w:top="419" w:right="1440" w:bottom="881"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81"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As previously reported, the Company is a defendant in the lawsuit filed July 19, 2007 in the United States District Court, Eastern District of California, entitled U.S. Equal Employment Opportunity Commission, Plaintiff Erika Morales and Anonymous Plaintiffs One through Eight v. ABM Industries Incorporated et. al. (the “Morales case”). The plaintiffs in the Morales case allege sexual harassment and retaliation. In 2009, fourteen claimants joined the lawsuit alleging various claims against the Company. The case involved both Title VII federal law claims and California state law claims. In June 2010, the Company agreed to a settlement of $5.8 million for the Morales case, subject to court approval, which amount was accrued for at July 31, 2010. At April 30, 2010, $5.0 million had been accrued for this matter. The Company expects the court to approve the settlement in the fourth quarter of 2010.</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2009, in response to Item 1A, Risk Factors, to Part I of the Annual Report, except as set forth below.</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Federal health care reform legislation may adversely affect our business and results of operations.</w:t>
      </w:r>
    </w:p>
    <w:p>
      <w:pPr>
        <w:spacing w:after="0" w:line="207"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In March 2010, the Patient Protection and Affordable Care Act and the Health Care and Education Reconciliation Act of 2010 were signed into law in the United States (collectively, the “Health Care Reform Laws”). The Health Care Reform Laws include a large number of health-related provisions which become effective over the next four years, including requiring most individuals to have health insurance and establishing new regulations on health plans. Although the Health Care Reform Laws do not mandate that employers offer health insurance, beginning in 2014, penalties will be assessed on large employers who do not offer health insurance that meets certain affordability or benefit requirements. Providing such additional health insurance benefits to our employees or the payment of penalties if such coverage is not provided, would increase our expense. If we are unable to raise the rates we charge our customers to cover this expense, such increases in expense could reduce our operating profit.</w:t>
      </w:r>
    </w:p>
    <w:p>
      <w:pPr>
        <w:spacing w:after="0" w:line="167"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In addition, under the Health Care Reform Laws, employers will have to file a significant amount of additional information with the Internal Revenue Service and will have to develop systems and processes to track requisite information. We will have to modify our current systems which could increase our general and administrative expense.</w:t>
      </w:r>
    </w:p>
    <w:p>
      <w:pPr>
        <w:spacing w:after="0" w:line="139"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tab/>
        <w:t>Reserved</w:t>
      </w:r>
    </w:p>
    <w:p>
      <w:pPr>
        <w:spacing w:after="0" w:line="17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Certification of principal executive officer pursuant to Section 302 of the Sarbanes-Oxley Act of 2002.</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826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02"/>
        </w:trPr>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82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Certification pursuant to 18 U.S.C. Section 1350, as adopted pursuant to Section 906 of the</w:t>
            </w:r>
          </w:p>
        </w:tc>
      </w:tr>
      <w:tr>
        <w:trPr>
          <w:trHeight w:val="203"/>
        </w:trPr>
        <w:tc>
          <w:tcPr>
            <w:tcW w:w="106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Sarbanes-Oxley Act of 2002.</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8260" w:type="dxa"/>
            <w:vAlign w:val="bottom"/>
          </w:tcPr>
          <w:p>
            <w:pPr>
              <w:ind w:left="240"/>
              <w:spacing w:after="0" w:line="202" w:lineRule="exact"/>
              <w:rPr>
                <w:sz w:val="20"/>
                <w:szCs w:val="20"/>
                <w:color w:val="auto"/>
              </w:rPr>
            </w:pPr>
            <w:r>
              <w:rPr>
                <w:rFonts w:ascii="Arial" w:cs="Arial" w:eastAsia="Arial" w:hAnsi="Arial"/>
                <w:sz w:val="18"/>
                <w:szCs w:val="18"/>
                <w:color w:val="auto"/>
              </w:rPr>
              <w:t>XBRL Report Instance Document</w:t>
            </w:r>
          </w:p>
        </w:tc>
      </w:tr>
      <w:tr>
        <w:trPr>
          <w:trHeight w:val="203"/>
        </w:trPr>
        <w:tc>
          <w:tcPr>
            <w:tcW w:w="1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101.SCH†</w:t>
            </w: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260" w:type="dxa"/>
            <w:vAlign w:val="bottom"/>
          </w:tcPr>
          <w:p>
            <w:pPr>
              <w:ind w:left="240"/>
              <w:spacing w:after="0" w:line="202" w:lineRule="exact"/>
              <w:rPr>
                <w:sz w:val="20"/>
                <w:szCs w:val="20"/>
                <w:color w:val="auto"/>
              </w:rPr>
            </w:pPr>
            <w:r>
              <w:rPr>
                <w:rFonts w:ascii="Arial" w:cs="Arial" w:eastAsia="Arial" w:hAnsi="Arial"/>
                <w:sz w:val="18"/>
                <w:szCs w:val="18"/>
                <w:color w:val="auto"/>
              </w:rPr>
              <w:t>XBRL Taxonomy Calculation Linkbase Document</w:t>
            </w:r>
          </w:p>
        </w:tc>
      </w:tr>
      <w:tr>
        <w:trPr>
          <w:trHeight w:val="203"/>
        </w:trPr>
        <w:tc>
          <w:tcPr>
            <w:tcW w:w="1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101.LAB†</w:t>
            </w: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XBRL Taxonomy Label Linkbase Document</w:t>
            </w:r>
          </w:p>
        </w:tc>
      </w:t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826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06" w:lineRule="exact"/>
        <w:rPr>
          <w:sz w:val="20"/>
          <w:szCs w:val="20"/>
          <w:color w:val="auto"/>
        </w:rPr>
      </w:pPr>
    </w:p>
    <w:p>
      <w:pPr>
        <w:ind w:left="680" w:hanging="348"/>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63" w:lineRule="exact"/>
        <w:rPr>
          <w:sz w:val="20"/>
          <w:szCs w:val="20"/>
          <w:color w:val="auto"/>
        </w:rPr>
      </w:pPr>
    </w:p>
    <w:p>
      <w:pPr>
        <w:ind w:left="680" w:hanging="348"/>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furnished herewith</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left="340" w:right="5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ind w:left="340"/>
        <w:spacing w:after="0"/>
        <w:tabs>
          <w:tab w:leader="none" w:pos="4800" w:val="left"/>
        </w:tabs>
        <w:rPr>
          <w:sz w:val="20"/>
          <w:szCs w:val="20"/>
          <w:color w:val="auto"/>
        </w:rPr>
      </w:pPr>
      <w:r>
        <w:rPr>
          <w:rFonts w:ascii="Arial" w:cs="Arial" w:eastAsia="Arial" w:hAnsi="Arial"/>
          <w:sz w:val="18"/>
          <w:szCs w:val="18"/>
          <w:u w:val="single" w:color="auto"/>
          <w:color w:val="auto"/>
        </w:rPr>
        <w:t>September 3, 2010</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wp:posOffset>
            </wp:positionV>
            <wp:extent cx="2195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James S. Lusk</w:t>
      </w:r>
    </w:p>
    <w:p>
      <w:pPr>
        <w:ind w:left="4820"/>
        <w:spacing w:after="0" w:line="234" w:lineRule="auto"/>
        <w:rPr>
          <w:sz w:val="20"/>
          <w:szCs w:val="20"/>
          <w:color w:val="auto"/>
        </w:rPr>
      </w:pPr>
      <w:r>
        <w:rPr>
          <w:rFonts w:ascii="Arial" w:cs="Arial" w:eastAsia="Arial" w:hAnsi="Arial"/>
          <w:sz w:val="18"/>
          <w:szCs w:val="18"/>
          <w:color w:val="auto"/>
        </w:rPr>
        <w:t>Executive Vice President and</w:t>
      </w:r>
    </w:p>
    <w:p>
      <w:pPr>
        <w:ind w:left="48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(Duly Authorized Officer)</w:t>
      </w:r>
    </w:p>
    <w:p>
      <w:pPr>
        <w:spacing w:after="0" w:line="198" w:lineRule="exact"/>
        <w:rPr>
          <w:sz w:val="20"/>
          <w:szCs w:val="20"/>
          <w:color w:val="auto"/>
        </w:rPr>
      </w:pPr>
    </w:p>
    <w:p>
      <w:pPr>
        <w:ind w:left="340"/>
        <w:spacing w:after="0"/>
        <w:tabs>
          <w:tab w:leader="none" w:pos="4800" w:val="left"/>
        </w:tabs>
        <w:rPr>
          <w:sz w:val="20"/>
          <w:szCs w:val="20"/>
          <w:color w:val="auto"/>
        </w:rPr>
      </w:pPr>
      <w:r>
        <w:rPr>
          <w:rFonts w:ascii="Arial" w:cs="Arial" w:eastAsia="Arial" w:hAnsi="Arial"/>
          <w:sz w:val="18"/>
          <w:szCs w:val="18"/>
          <w:u w:val="single" w:color="auto"/>
          <w:color w:val="auto"/>
        </w:rPr>
        <w:t>September 3, 2010</w:t>
      </w:r>
      <w:r>
        <w:rPr>
          <w:sz w:val="20"/>
          <w:szCs w:val="20"/>
          <w:color w:val="auto"/>
        </w:rPr>
        <w:tab/>
      </w:r>
      <w:r>
        <w:rPr>
          <w:rFonts w:ascii="Arial" w:cs="Arial" w:eastAsia="Arial" w:hAnsi="Arial"/>
          <w:sz w:val="17"/>
          <w:szCs w:val="17"/>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wp:posOffset>
            </wp:positionV>
            <wp:extent cx="2195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Dean A. Chin</w:t>
      </w:r>
    </w:p>
    <w:p>
      <w:pPr>
        <w:ind w:left="4820"/>
        <w:spacing w:after="0" w:line="234" w:lineRule="auto"/>
        <w:rPr>
          <w:sz w:val="20"/>
          <w:szCs w:val="20"/>
          <w:color w:val="auto"/>
        </w:rPr>
      </w:pPr>
      <w:r>
        <w:rPr>
          <w:rFonts w:ascii="Arial" w:cs="Arial" w:eastAsia="Arial" w:hAnsi="Arial"/>
          <w:sz w:val="18"/>
          <w:szCs w:val="18"/>
          <w:color w:val="auto"/>
        </w:rPr>
        <w:t>Senior Vice President, Controller and</w:t>
      </w:r>
    </w:p>
    <w:p>
      <w:pPr>
        <w:ind w:left="482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19" w:right="1440" w:bottom="1440" w:gutter="0" w:footer="0" w:header="0"/>
        </w:sectPr>
      </w:pPr>
    </w:p>
    <w:bookmarkStart w:id="34" w:name="page35"/>
    <w:bookmarkEnd w:id="34"/>
    <w:p>
      <w:pPr>
        <w:ind w:left="8"/>
        <w:spacing w:after="0"/>
        <w:rPr>
          <w:sz w:val="20"/>
          <w:szCs w:val="20"/>
          <w:color w:val="auto"/>
        </w:rPr>
      </w:pPr>
      <w:r>
        <w:rPr>
          <w:rFonts w:ascii="Arial" w:cs="Arial" w:eastAsia="Arial" w:hAnsi="Arial"/>
          <w:sz w:val="18"/>
          <w:szCs w:val="18"/>
          <w:color w:val="auto"/>
        </w:rPr>
        <w:t>EXHIBIT 31.1</w:t>
      </w:r>
    </w:p>
    <w:p>
      <w:pPr>
        <w:spacing w:after="0" w:line="14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551"/>
        <w:spacing w:after="0"/>
        <w:rPr>
          <w:sz w:val="20"/>
          <w:szCs w:val="20"/>
          <w:color w:val="auto"/>
        </w:rPr>
      </w:pPr>
      <w:r>
        <w:rPr>
          <w:rFonts w:ascii="Arial" w:cs="Arial" w:eastAsia="Arial" w:hAnsi="Arial"/>
          <w:sz w:val="18"/>
          <w:szCs w:val="18"/>
          <w:b w:val="1"/>
          <w:bCs w:val="1"/>
          <w:color w:val="auto"/>
        </w:rPr>
        <w:t>RULE 13a-14(a) OR 15d-14(a)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Henrik C. Slipsager, certify that:</w:t>
      </w:r>
    </w:p>
    <w:p>
      <w:pPr>
        <w:spacing w:after="0" w:line="171" w:lineRule="exact"/>
        <w:rPr>
          <w:sz w:val="20"/>
          <w:szCs w:val="20"/>
          <w:color w:val="auto"/>
        </w:rPr>
      </w:pPr>
    </w:p>
    <w:p>
      <w:pPr>
        <w:ind w:left="348" w:hanging="348"/>
        <w:spacing w:after="0"/>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71"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708" w:right="559" w:hanging="343"/>
        <w:spacing w:after="0" w:line="246" w:lineRule="auto"/>
        <w:tabs>
          <w:tab w:leader="none" w:pos="7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8"/>
        <w:spacing w:after="0"/>
        <w:tabs>
          <w:tab w:leader="none" w:pos="4467" w:val="left"/>
        </w:tabs>
        <w:rPr>
          <w:sz w:val="20"/>
          <w:szCs w:val="20"/>
          <w:color w:val="auto"/>
        </w:rPr>
      </w:pPr>
      <w:r>
        <w:rPr>
          <w:rFonts w:ascii="Arial" w:cs="Arial" w:eastAsia="Arial" w:hAnsi="Arial"/>
          <w:sz w:val="18"/>
          <w:szCs w:val="18"/>
          <w:u w:val="single" w:color="auto"/>
          <w:color w:val="auto"/>
        </w:rPr>
        <w:t>September 3, 2010</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-1905</wp:posOffset>
            </wp:positionV>
            <wp:extent cx="219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8"/>
        <w:spacing w:after="0"/>
        <w:rPr>
          <w:sz w:val="20"/>
          <w:szCs w:val="20"/>
          <w:color w:val="auto"/>
        </w:rPr>
      </w:pPr>
      <w:r>
        <w:rPr>
          <w:rFonts w:ascii="Arial" w:cs="Arial" w:eastAsia="Arial" w:hAnsi="Arial"/>
          <w:sz w:val="18"/>
          <w:szCs w:val="18"/>
          <w:color w:val="auto"/>
        </w:rPr>
        <w:t>Henrik C. Slipsager</w:t>
      </w:r>
    </w:p>
    <w:p>
      <w:pPr>
        <w:ind w:left="4488"/>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48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40" w:right="1440" w:bottom="1440" w:gutter="0" w:footer="0" w:header="0"/>
        </w:sectPr>
      </w:pPr>
    </w:p>
    <w:bookmarkStart w:id="35" w:name="page36"/>
    <w:bookmarkEnd w:id="35"/>
    <w:p>
      <w:pPr>
        <w:ind w:left="8"/>
        <w:spacing w:after="0"/>
        <w:rPr>
          <w:sz w:val="20"/>
          <w:szCs w:val="20"/>
          <w:color w:val="auto"/>
        </w:rPr>
      </w:pPr>
      <w:r>
        <w:rPr>
          <w:rFonts w:ascii="Arial" w:cs="Arial" w:eastAsia="Arial" w:hAnsi="Arial"/>
          <w:sz w:val="18"/>
          <w:szCs w:val="18"/>
          <w:color w:val="auto"/>
        </w:rPr>
        <w:t>EXHIBIT 31.2</w:t>
      </w:r>
    </w:p>
    <w:p>
      <w:pPr>
        <w:spacing w:after="0" w:line="14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551"/>
        <w:spacing w:after="0"/>
        <w:rPr>
          <w:sz w:val="20"/>
          <w:szCs w:val="20"/>
          <w:color w:val="auto"/>
        </w:rPr>
      </w:pPr>
      <w:r>
        <w:rPr>
          <w:rFonts w:ascii="Arial" w:cs="Arial" w:eastAsia="Arial" w:hAnsi="Arial"/>
          <w:sz w:val="18"/>
          <w:szCs w:val="18"/>
          <w:b w:val="1"/>
          <w:bCs w:val="1"/>
          <w:color w:val="auto"/>
        </w:rPr>
        <w:t>RULE 13a-14(a) OR 15d-14(a)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James S. Lusk, certify that:</w:t>
      </w:r>
    </w:p>
    <w:p>
      <w:pPr>
        <w:spacing w:after="0" w:line="171" w:lineRule="exact"/>
        <w:rPr>
          <w:sz w:val="20"/>
          <w:szCs w:val="20"/>
          <w:color w:val="auto"/>
        </w:rPr>
      </w:pPr>
    </w:p>
    <w:p>
      <w:pPr>
        <w:ind w:left="348" w:hanging="348"/>
        <w:spacing w:after="0"/>
        <w:tabs>
          <w:tab w:leader="none" w:pos="3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71"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708" w:right="559" w:hanging="343"/>
        <w:spacing w:after="0" w:line="246" w:lineRule="auto"/>
        <w:tabs>
          <w:tab w:leader="none" w:pos="7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8"/>
        <w:spacing w:after="0"/>
        <w:tabs>
          <w:tab w:leader="none" w:pos="4467" w:val="left"/>
        </w:tabs>
        <w:rPr>
          <w:sz w:val="20"/>
          <w:szCs w:val="20"/>
          <w:color w:val="auto"/>
        </w:rPr>
      </w:pPr>
      <w:r>
        <w:rPr>
          <w:rFonts w:ascii="Arial" w:cs="Arial" w:eastAsia="Arial" w:hAnsi="Arial"/>
          <w:sz w:val="18"/>
          <w:szCs w:val="18"/>
          <w:u w:val="single" w:color="auto"/>
          <w:color w:val="auto"/>
        </w:rPr>
        <w:t>September 3, 2010</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-1905</wp:posOffset>
            </wp:positionV>
            <wp:extent cx="219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8"/>
        <w:spacing w:after="0"/>
        <w:rPr>
          <w:sz w:val="20"/>
          <w:szCs w:val="20"/>
          <w:color w:val="auto"/>
        </w:rPr>
      </w:pPr>
      <w:r>
        <w:rPr>
          <w:rFonts w:ascii="Arial" w:cs="Arial" w:eastAsia="Arial" w:hAnsi="Arial"/>
          <w:sz w:val="18"/>
          <w:szCs w:val="18"/>
          <w:color w:val="auto"/>
        </w:rPr>
        <w:t>James S. Lusk</w:t>
      </w:r>
    </w:p>
    <w:p>
      <w:pPr>
        <w:ind w:left="4488"/>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488"/>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9887"/>
          </w:cols>
          <w:pgMar w:left="572" w:top="140"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32</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13a-14(b) OR 15d-14(b) AND</w:t>
      </w:r>
    </w:p>
    <w:p>
      <w:pPr>
        <w:jc w:val="center"/>
        <w:ind w:right="55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55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5" w:lineRule="exact"/>
        <w:rPr>
          <w:sz w:val="20"/>
          <w:szCs w:val="20"/>
          <w:color w:val="auto"/>
        </w:rPr>
      </w:pPr>
    </w:p>
    <w:p>
      <w:pPr>
        <w:jc w:val="both"/>
        <w:ind w:right="559"/>
        <w:spacing w:after="0" w:line="238"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July 31, 2010,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62" w:lineRule="exact"/>
        <w:rPr>
          <w:sz w:val="20"/>
          <w:szCs w:val="20"/>
          <w:color w:val="auto"/>
        </w:rPr>
      </w:pPr>
    </w:p>
    <w:p>
      <w:pPr>
        <w:ind w:left="700" w:hanging="34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00" w:right="559" w:hanging="343"/>
        <w:spacing w:after="0" w:line="24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u w:val="single" w:color="auto"/>
          <w:color w:val="auto"/>
        </w:rPr>
        <w:t>September 3, 2010</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-1905</wp:posOffset>
            </wp:positionV>
            <wp:extent cx="2195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Henrik C. Slipsager</w:t>
      </w:r>
    </w:p>
    <w:p>
      <w:pPr>
        <w:ind w:left="44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u w:val="single" w:color="auto"/>
          <w:color w:val="auto"/>
        </w:rPr>
        <w:t>September 3, 2010</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-1905</wp:posOffset>
            </wp:positionV>
            <wp:extent cx="2195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James S. Lusk</w:t>
      </w:r>
    </w:p>
    <w:p>
      <w:pPr>
        <w:ind w:left="44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9879"/>
      </w:cols>
      <w:pgMar w:left="5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2019-12-10T06:29:34Z</dcterms:created>
  <dcterms:modified xsi:type="dcterms:W3CDTF">2019-12-10T06:29:34Z</dcterms:modified>
</cp:coreProperties>
</file>