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reported)December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ABM INDUSTRIES INCORPORATED</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1-8929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94-1369354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7th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297-0200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On December 15, 2025, ABM Industries Incorporated, a Delaware corporation (“ABM”), entered into a Share Purchase Agreement (the “Purchase Agreement”) with PW Red October S.À R.L, Watchman Investment Holdings Unlimited Company, and certain Management Sellers, as defined in the Purchase Agreement (the “Sellers”), pursuant to which ABM will acquire all of the issued and outstanding share capital of Iveagh New Opportunities Limited, a company incorporated in Ireland, and its direct and indirect wholly-owned subsidiaries (collectively, “WGNSTAR”) for an aggregate purchase price of approximately $275 million in cash, payable in accordance with the terms of the Purchase Agreement and subject to the adjustments set forth therein (the transaction, the “Acquisition”). ABM will finance the Acquisition with cash on hand and borrowings under its amended revolving credit facility.</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closing of the Acquisition is subject to the satisfaction or waiver of customary closing conditions, including the expiration or termination of the waiting period under the Hart-Scott-Rodino Antitrust Improvements Act of 1976, as well as certain other regulatory approvals in Ireland.</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parties have each made customary representations, warranties, and covenants, including, among others, the Sellers’ agreement to cause WGNSTAR to conduct its business in the ordinary course of business consistent with past practice and the parties’ agreement to use commercially reasonable efforts to consummate the Acquisition. The Purchase Agreement also contains limited indemnification provisions and certain termination rights of the parties, including in the event that the other party has breached its material closing obligations, subject to the ability to cure.</w:t>
      </w:r>
    </w:p>
    <w:p>
      <w:pPr>
        <w:spacing w:after="0" w:line="180"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ABM expects to file the Purchase Agreement as an exhibit to its Quarterly Report on Form 10-Q for the quarterly period ended January 31, 2026. The foregoing description is a summary of the material terms of the Purchase Agreement, does not purport to be complete, and is qualified in its entirety by reference to the text of the Purchase Agreement when filed.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December 17, 2025, ABM issued a press release announcing financial results related to the fourth quarter and fiscal year ended October 31, 2025. A copy of the press release is being furnished as Exhibit 99.1 to this Form 8-K, which is incorporated into this item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December 17, 2025, ABM issued a press release announcing its entry into the Purchase Agreement. A copy of the press release is attached as Exhibit 99.2 to this Current Report on Form 8-K and incorporated herein by reference.</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including Exhibit 99.2 incorporated herein by reference, will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December 17, 2025, the Company announced that the Board of Directors of the Company declared a quarterly dividend of $0.29 per share, payable on February 2, 2026, to stockholders of record on January 14,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800" w:right="180" w:hanging="795"/>
        <w:spacing w:after="0" w:line="266" w:lineRule="auto"/>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by ABM Industries Incorporated, dated December 17, 2025, announcing financial results related to the fourth quarter and fiscal year ended October 31, 2025, and the declaration of a dividend payable on February 2, 2026, to stockholders of record on January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-313055</wp:posOffset>
            </wp:positionV>
            <wp:extent cx="6545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5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-175895</wp:posOffset>
            </wp:positionV>
            <wp:extent cx="641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-38735</wp:posOffset>
            </wp:positionV>
            <wp:extent cx="257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5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FF"/>
        </w:rPr>
        <w:t>Press Release, dated December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-7620</wp:posOffset>
            </wp:positionV>
            <wp:extent cx="18561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6105" cy="8890"/>
                    </a:xfrm>
                    <a:prstGeom prst="rect">
                      <a:avLst/>
                    </a:prstGeom>
                    <a:noFill/>
                  </pic:spPr>
                </pic:pic>
              </a:graphicData>
            </a:graphic>
          </wp:anchor>
        </w:drawing>
      </w:r>
    </w:p>
    <w:p>
      <w:pPr>
        <w:spacing w:after="0" w:line="20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December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R. Goldman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1124585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1234440" cy="625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254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40"/>
        <w:spacing w:after="0" w:line="272" w:lineRule="auto"/>
        <w:rPr>
          <w:sz w:val="20"/>
          <w:szCs w:val="20"/>
          <w:color w:val="auto"/>
        </w:rPr>
      </w:pPr>
      <w:r>
        <w:rPr>
          <w:rFonts w:ascii="Arial" w:cs="Arial" w:eastAsia="Arial" w:hAnsi="Arial"/>
          <w:sz w:val="22"/>
          <w:szCs w:val="22"/>
          <w:b w:val="1"/>
          <w:bCs w:val="1"/>
          <w:color w:val="0046AD"/>
        </w:rPr>
        <w:t>ABM REPORTS FOURTH QUARTER AND FULL FISCAL 2025 RESULTS AND PROVIDES FISCAL 2026 OUTLOOK</w:t>
      </w:r>
    </w:p>
    <w:p>
      <w:pPr>
        <w:spacing w:after="0" w:line="16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Excluding prior year self-insurance adjustments, organic growth, adjusted EPS and adjusted</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EBITDA exceed management expectations</w:t>
      </w:r>
    </w:p>
    <w:p>
      <w:pPr>
        <w:spacing w:after="0" w:line="184" w:lineRule="exact"/>
        <w:rPr>
          <w:sz w:val="20"/>
          <w:szCs w:val="20"/>
          <w:color w:val="auto"/>
        </w:rPr>
      </w:pPr>
    </w:p>
    <w:p>
      <w:pPr>
        <w:ind w:left="760" w:right="220" w:hanging="378"/>
        <w:spacing w:after="0" w:line="234"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Fourth quarter revenue was a record $2.3 billion, an increase of 5.4% over the prior year, with organic growth of 4.8% contributing meaningfully to overall performance</w:t>
      </w:r>
    </w:p>
    <w:p>
      <w:pPr>
        <w:ind w:left="760" w:right="60" w:hanging="378"/>
        <w:spacing w:after="0" w:line="224"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Net income for the quarter totaled $34.8 million, or $0.56 per diluted share, improving from a net loss of $(11.7) million, or $(0.19) per share, a year ago</w:t>
      </w:r>
    </w:p>
    <w:p>
      <w:pPr>
        <w:spacing w:after="0" w:line="1" w:lineRule="exact"/>
        <w:rPr>
          <w:rFonts w:ascii="Times New Roman" w:cs="Times New Roman" w:eastAsia="Times New Roman" w:hAnsi="Times New Roman"/>
          <w:sz w:val="20"/>
          <w:szCs w:val="20"/>
          <w:color w:val="auto"/>
        </w:rPr>
      </w:pPr>
    </w:p>
    <w:p>
      <w:pPr>
        <w:ind w:left="760" w:right="340" w:hanging="378"/>
        <w:spacing w:after="0" w:line="224"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Adjusted diluted EPS was $0.88, which includes a $(0.26) impact from prior year self-insurance adjustments, versus $0.88 last year, which included a $(0.02) impact</w:t>
      </w:r>
    </w:p>
    <w:p>
      <w:pPr>
        <w:spacing w:after="0" w:line="1" w:lineRule="exact"/>
        <w:rPr>
          <w:rFonts w:ascii="Times New Roman" w:cs="Times New Roman" w:eastAsia="Times New Roman" w:hAnsi="Times New Roman"/>
          <w:sz w:val="20"/>
          <w:szCs w:val="20"/>
          <w:i w:val="1"/>
          <w:iCs w:val="1"/>
          <w:color w:val="auto"/>
        </w:rPr>
      </w:pPr>
    </w:p>
    <w:p>
      <w:pPr>
        <w:ind w:left="760" w:right="100" w:hanging="378"/>
        <w:spacing w:after="0" w:line="236" w:lineRule="auto"/>
        <w:tabs>
          <w:tab w:leader="none" w:pos="760" w:val="left"/>
        </w:tabs>
        <w:numPr>
          <w:ilvl w:val="0"/>
          <w:numId w:val="2"/>
        </w:numPr>
        <w:rPr>
          <w:rFonts w:ascii="Times New Roman" w:cs="Times New Roman" w:eastAsia="Times New Roman" w:hAnsi="Times New Roman"/>
          <w:sz w:val="19"/>
          <w:szCs w:val="19"/>
          <w:i w:val="1"/>
          <w:iCs w:val="1"/>
          <w:color w:val="auto"/>
        </w:rPr>
      </w:pPr>
      <w:r>
        <w:rPr>
          <w:rFonts w:ascii="Arial" w:cs="Arial" w:eastAsia="Arial" w:hAnsi="Arial"/>
          <w:sz w:val="19"/>
          <w:szCs w:val="19"/>
          <w:i w:val="1"/>
          <w:iCs w:val="1"/>
          <w:color w:val="auto"/>
        </w:rPr>
        <w:t>Adjusted EBITDA for the quarter was $124.2 million, which incorporates a $(22.2) million pre-tax impact from prior year self-insurance adjustments; this compares with $125.6 million last year, which included a $(2.4) million pre-tax impact</w:t>
      </w:r>
    </w:p>
    <w:p>
      <w:pPr>
        <w:spacing w:after="0" w:line="1" w:lineRule="exact"/>
        <w:rPr>
          <w:rFonts w:ascii="Times New Roman" w:cs="Times New Roman" w:eastAsia="Times New Roman" w:hAnsi="Times New Roman"/>
          <w:sz w:val="19"/>
          <w:szCs w:val="19"/>
          <w:i w:val="1"/>
          <w:iCs w:val="1"/>
          <w:color w:val="auto"/>
        </w:rPr>
      </w:pPr>
    </w:p>
    <w:p>
      <w:pPr>
        <w:ind w:left="760" w:right="680" w:hanging="378"/>
        <w:spacing w:after="0" w:line="224"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The Company repurchased $73.0 million of common stock during the quarter and $121.3 million for the full year, reducing its outstanding share count by 4%</w:t>
      </w:r>
    </w:p>
    <w:p>
      <w:pPr>
        <w:spacing w:after="0" w:line="1" w:lineRule="exact"/>
        <w:rPr>
          <w:rFonts w:ascii="Times New Roman" w:cs="Times New Roman" w:eastAsia="Times New Roman" w:hAnsi="Times New Roman"/>
          <w:sz w:val="20"/>
          <w:szCs w:val="20"/>
          <w:i w:val="1"/>
          <w:iCs w:val="1"/>
          <w:color w:val="auto"/>
        </w:rPr>
      </w:pPr>
    </w:p>
    <w:p>
      <w:pPr>
        <w:ind w:left="760" w:right="140" w:hanging="378"/>
        <w:spacing w:after="0" w:line="224"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The Board approved a 9% increase to the quarterly dividend, after the quarter closed, raising the dividend to $0.29 per common share and marking the 58th consecutive year of annual dividend increases</w:t>
      </w:r>
    </w:p>
    <w:p>
      <w:pPr>
        <w:spacing w:after="0" w:line="1" w:lineRule="exact"/>
        <w:rPr>
          <w:rFonts w:ascii="Times New Roman" w:cs="Times New Roman" w:eastAsia="Times New Roman" w:hAnsi="Times New Roman"/>
          <w:sz w:val="20"/>
          <w:szCs w:val="20"/>
          <w:i w:val="1"/>
          <w:iCs w:val="1"/>
          <w:color w:val="auto"/>
        </w:rPr>
      </w:pPr>
    </w:p>
    <w:p>
      <w:pPr>
        <w:ind w:left="760" w:hanging="378"/>
        <w:spacing w:after="0"/>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Full year fiscal 2025 new sales bookings reached a record $1.9 billion</w:t>
      </w:r>
    </w:p>
    <w:p>
      <w:pPr>
        <w:spacing w:after="0" w:line="12" w:lineRule="exact"/>
        <w:rPr>
          <w:rFonts w:ascii="Times New Roman" w:cs="Times New Roman" w:eastAsia="Times New Roman" w:hAnsi="Times New Roman"/>
          <w:sz w:val="20"/>
          <w:szCs w:val="20"/>
          <w:i w:val="1"/>
          <w:iCs w:val="1"/>
          <w:color w:val="auto"/>
        </w:rPr>
      </w:pPr>
    </w:p>
    <w:p>
      <w:pPr>
        <w:ind w:left="760" w:right="540" w:hanging="378"/>
        <w:spacing w:after="0" w:line="214"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For fiscal 2026, adjusted EPS is projected to be in range of $3.85 to $4.15</w:t>
      </w:r>
      <w:r>
        <w:rPr>
          <w:rFonts w:ascii="Arial" w:cs="Arial" w:eastAsia="Arial" w:hAnsi="Arial"/>
          <w:sz w:val="26"/>
          <w:szCs w:val="26"/>
          <w:i w:val="1"/>
          <w:iCs w:val="1"/>
          <w:color w:val="auto"/>
          <w:vertAlign w:val="superscript"/>
        </w:rPr>
        <w:t>(1)</w:t>
      </w:r>
      <w:r>
        <w:rPr>
          <w:rFonts w:ascii="Arial" w:cs="Arial" w:eastAsia="Arial" w:hAnsi="Arial"/>
          <w:sz w:val="20"/>
          <w:szCs w:val="20"/>
          <w:i w:val="1"/>
          <w:iCs w:val="1"/>
          <w:color w:val="auto"/>
        </w:rPr>
        <w:t>, excluding the impact of any potential positive or negative prior year self-insurance adjustment</w:t>
      </w:r>
    </w:p>
    <w:p>
      <w:pPr>
        <w:spacing w:after="0" w:line="388"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NEW YORK, NY - December 17, 2025 - ABM (NYSE: ABM), a leading provider of facility, engineering, and infrastructure solutions, today announced financial results for the fourth quarter and full year ended October 31, 2025.</w:t>
      </w:r>
    </w:p>
    <w:p>
      <w:pPr>
        <w:spacing w:after="0" w:line="15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“ABM finished the year on a high note with record quarterly revenue, supported by 4.8% organic growth. Excluding prior year self-insurance adjustments, fourth quarter adjusted EPS, adjusted EBITDA and adjusted EBITDA margin all exceeded our expectations, reflecting strong volume, favorable mix, and the benefits of our cost discipline and restructuring actions. Our performance was led by exceptional results in Technical Solutions, where the team successfully delivered numerous projects in a complex construction environment. Aviation and Manufacturing &amp; Distribution also posted strong revenue growth, each benefiting from recent client wins and customer expansions, while Business &amp; Industry and Education generated improved margins, demonstrating the resiliency of their end markets and continued focus on operational efficiency," said Scott Salmirs, President and Chief Executive Officer. "We also repurchased $73.0 million of shares in the fourth quarter and $121.3 million for the full year, underscoring our unwavering conviction in ABM’s multi-year growth path and the strategic investments we are making to expand our capabilities and competitive position.”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30" w:lineRule="auto"/>
        <w:rPr>
          <w:sz w:val="20"/>
          <w:szCs w:val="20"/>
          <w:color w:val="auto"/>
        </w:rPr>
      </w:pPr>
      <w:r>
        <w:rPr>
          <w:rFonts w:ascii="Arial" w:cs="Arial" w:eastAsia="Arial" w:hAnsi="Arial"/>
          <w:sz w:val="20"/>
          <w:szCs w:val="20"/>
          <w:color w:val="auto"/>
        </w:rPr>
        <w:t>“Our fourth quarter results capped an outstanding year for ABM, marked by record full year revenue of $8.7 billion and a record $1.9 billion in new sales bookings,” continued Mr. Salmirs. “We advanced several key strategic initiatives in 2025, including meaningful investments in AI and continued strong progress on our ERP implementation following a challenging start. Building on the progress we have been making, we separately announced an agreement to acquire WGNSTAR today. We expect the transaction to further strengthen our position in the fast-growing semiconductor market, expand our technical capabilities in fabrication environments and position ABM to capitalize on accelerating U.S. semiconductor onshoring trends. We also secured one of the largest Aviation awards in ABM history at a major gateway airport, which is expected to generate significant annual revenue when it comes online in calendar 2026. Together, these achievements reflect the great work of our team and our ability to execute at a high level in a challenging macro environment.”</w:t>
      </w:r>
    </w:p>
    <w:p>
      <w:pPr>
        <w:spacing w:after="0" w:line="203"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Mr. Salmirs concluded, “As we look ahead to fiscal 2026, we are encouraged by healthy demand across our key end markets, particularly within Technical Solutions, Aviation and Manufacturing &amp; Distribution. With a record year for new sales bookings in 2025, a major new Aviation win and a strong backlog, we expect another solid year of organic revenue growth. In addition, our restructuring actions, disciplined cost management and 2025 share repurchases are enhancing the earnings power of the enterprise. With these tailwinds, we expect adjusted EPS in fiscal 2026 to be in the range of $3.85 to $4.15</w:t>
      </w:r>
      <w:r>
        <w:rPr>
          <w:rFonts w:ascii="Arial" w:cs="Arial" w:eastAsia="Arial" w:hAnsi="Arial"/>
          <w:sz w:val="24"/>
          <w:szCs w:val="24"/>
          <w:color w:val="auto"/>
          <w:vertAlign w:val="superscript"/>
        </w:rPr>
        <w:t>(1)</w:t>
      </w:r>
      <w:r>
        <w:rPr>
          <w:rFonts w:ascii="Arial" w:cs="Arial" w:eastAsia="Arial" w:hAnsi="Arial"/>
          <w:sz w:val="20"/>
          <w:szCs w:val="20"/>
          <w:color w:val="auto"/>
        </w:rPr>
        <w:t xml:space="preserve"> , excluding the impact of any potential positive or negative prior year self-insurance adjustment, and organic revenue growth is forecasted to be 3% to 4%</w:t>
      </w:r>
      <w:r>
        <w:rPr>
          <w:rFonts w:ascii="Arial" w:cs="Arial" w:eastAsia="Arial" w:hAnsi="Arial"/>
          <w:sz w:val="21"/>
          <w:szCs w:val="21"/>
          <w:color w:val="auto"/>
        </w:rPr>
        <w:t>.</w:t>
      </w:r>
      <w:r>
        <w:rPr>
          <w:rFonts w:ascii="Arial" w:cs="Arial" w:eastAsia="Arial" w:hAnsi="Arial"/>
          <w:sz w:val="20"/>
          <w:szCs w:val="20"/>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Fourth Quarter Fiscal 2025 Results</w:t>
      </w:r>
    </w:p>
    <w:p>
      <w:pPr>
        <w:spacing w:after="0" w:line="20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Company reported record revenue of $2.3 billion, up 5.4% over the prior year period, including organic growth of 4.8% and an additional contribution from acquisitions. Revenue growth was led by Technical Solutions (“ATS”) and Manufacturing &amp; Distribution ("M&amp;D"), which grew 16% and 8%, respectively. Strong ATS performance was driven primarily by a significant year-over-year increase in microgrid project activity, while M&amp;D's growth was supported by new client wins and expansions. Aviation grew 7% benefitting from healthy market demand and recent contract wins, while Business &amp; Industry (“B&amp;I”) and Education each delivered 2% revenue growth.</w:t>
      </w:r>
    </w:p>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Net income was $34.8 million, or $0.56 per diluted share, compared to a net loss of $(11.7) million, or $(0.19) per share in the prior year period. The year-over-year improvement primarily reflects a $61.3 million year over year benefit resulting from the absence of the large contingent consideration adjustment related to the Ravenvolt acquisition recorded in the prior year period, as well as higher segment operating earnings, largely driven by strong ATS performance. These benefits were partially offset by a $(15.8) million negative impact from prior year self-insurance adjustments recognized in the current period and $(9.5) million of previously communicated restructuring costs. Net income margin was 1.5% compared to -0.5% in the prior year period.</w:t>
      </w:r>
    </w:p>
    <w:p>
      <w:pPr>
        <w:spacing w:after="0" w:line="16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Adjusted net income was $54.7 million, or $0.88 per diluted share, compared to $55.8 million, or $0.88 per diluted share, in the prior year period. This year-over-year change primarily reflects a $(15.8) million negative impact from prior year self-insurance adjustments recognized in a current period and higher interest expense, largely offset by higher segment earnings, including the benefits of restructuring actions.</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Adjusted EBITDA was $124.2 million and adjusted EBITDA margin was 5.6%, compared to $125.6 million and 6.0%, respectively, in the prior year period. Current results were adversely affected by the negative pre-tax impact of a prior year self-insurance adjustment of $(22.2) million, which reduced adjusted EBITDA margin by approximately 100 basis points. Prior period adjusted EBITDA included a $(2.4) million pre-tax</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20"/>
          <w:szCs w:val="20"/>
          <w:color w:val="auto"/>
        </w:rPr>
        <w:t>prior year self-insurance adjustment. Adjusted results exclude items impacting comparability and a description of these items can be found in the "Reconciliation of Non-GAAP Financial Measures" table.</w:t>
      </w:r>
    </w:p>
    <w:p>
      <w:pPr>
        <w:spacing w:after="0" w:line="15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Net cash provided by operating activities was $133.4 million, and free cash flow was $112.7 million, compared to $30.3 million and $15.5 million, respectively, in the prior year period. These results primarily reflects continued progress in the implementation of the Company's enterprise resource planning ("ERP") system, which drove sequential improvements in working capital management. A reconciliation of free cash flow to net cash provided by operating activities can be found in the “Reconciliation of Non-GAAP Financial Measures” table.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Full Year Fiscal 2025 Results</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For fiscal 2025, the Company reported record revenue of $8.7 billion, an increase of 4.6% over the prior year, comprised of 3.8% organic growth and 0.8% from acquisitions. All segments delivered organic revenue growth, led by 10% in Technical Solutions and 8% in Aviation. Manufacturing &amp; Distribution grew 4%, driven by new clients and expansions that ramped up in the back half of the year, while Business &amp; Industry and Education each delivered 2% revenue growth, supported by client diversification and the resilient nature of their respective markets.</w:t>
      </w:r>
    </w:p>
    <w:p>
      <w:pPr>
        <w:spacing w:after="0" w:line="1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Net income was $162.4 million, or $2.59 per diluted share, as compared to $81.4 million, or $1.28 per diluted share in the prior year. The year-over-year improvement primarily reflects a net benefit of $97.2 million resulting from the absence of large contingent consideration adjustments related to the Ravenvolt acquisition recorded in the prior year, along with higher segment operating earnings. These benefits were partially offset by increased corporate investments, higher interest expense, and $(9.7) million of previously communicated restructuring costs. Net income margin was 1.9% versus 1.0% in the prior year.</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Adjusted net income was $215.8 million, or $3.44 per diluted share, compared to $212.6 million, or $3.34 per diluted share in the prior year. The increase in adjusted net income primarily reflects higher segment operating earnings, partially offset by increased corporate investments and higher interest expense. Adjusted earnings per share also benefited from a lower share count resulting from the Company's share repurchase activities.</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Adjusted EBITDA was $496.6 million, compared to $477.7 million in the prior year. Adjusted EBITDA margin was 5.9%, versus 5.9% last year. Adjusted results exclude items impacting comparability. A description of these items can be found in the "Reconciliation of Non-GAAP Financial Measures" table.</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Net cash provided by operating activities was $234.4 million, and free cash flow was $ 155.1 million, compared to $226.7 million and $167.3 million, respectively, in the prior year. A reconciliation of free cash flow to net cash provided by operating activities can be found in the “Reconciliation of Non-GAAP Financial Measures” table.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Liquidity &amp; Share Repurchases</w:t>
      </w:r>
    </w:p>
    <w:p>
      <w:pPr>
        <w:spacing w:after="0" w:line="13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 ended the quarter with total indebtedness of $1,607.5 million, including $23.5 million in standby letters of credit, resulting in a total leverage ratio, as defined by the Company's credit facility, of 2.7x. The Company had available liquidity of $681.6 million, inclusive of cash and cash equivalents of $104.1 million.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both"/>
        <w:spacing w:after="0" w:line="237" w:lineRule="auto"/>
        <w:rPr>
          <w:sz w:val="20"/>
          <w:szCs w:val="20"/>
          <w:color w:val="auto"/>
        </w:rPr>
      </w:pPr>
      <w:r>
        <w:rPr>
          <w:rFonts w:ascii="Arial" w:cs="Arial" w:eastAsia="Arial" w:hAnsi="Arial"/>
          <w:sz w:val="20"/>
          <w:szCs w:val="20"/>
          <w:color w:val="auto"/>
        </w:rPr>
        <w:t>During the fourth quarter, the Company repurchased 1.6 million shares of common stock at an average price of $45.84, for a total cost of $73.0 million. For the full fiscal year, the Company repurchased 2.6 million shares at an average price of $47.35, for a total cost of $121.3 million, reducing its outstanding share count by 4%. At year-end, the Company had $183 million of remaining availability under its share repurchase program.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Quarterly Cash Dividend</w:t>
      </w:r>
    </w:p>
    <w:p>
      <w:pPr>
        <w:spacing w:after="0" w:line="204"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After the quarter closed, ABM's Board of Directors approved a quarterly cash dividend of $0.29 per common share, representing a 9% increase over the prior quarterly cash dividend of $0.265 per common share. The increased dividend is payable on February 2, 2026, to shareholders of record on January 14, 2026. This increase represents the 58</w:t>
      </w:r>
      <w:r>
        <w:rPr>
          <w:rFonts w:ascii="Arial" w:cs="Arial" w:eastAsia="Arial" w:hAnsi="Arial"/>
          <w:sz w:val="24"/>
          <w:szCs w:val="24"/>
          <w:color w:val="auto"/>
          <w:vertAlign w:val="superscript"/>
        </w:rPr>
        <w:t>th</w:t>
      </w:r>
      <w:r>
        <w:rPr>
          <w:rFonts w:ascii="Arial" w:cs="Arial" w:eastAsia="Arial" w:hAnsi="Arial"/>
          <w:sz w:val="20"/>
          <w:szCs w:val="20"/>
          <w:color w:val="auto"/>
        </w:rPr>
        <w:t xml:space="preserve"> consecutive year of ABM raising its annual dividend and reflects the Board's continued confidence in the Company's cash generative business model and commitment to delivering long-term total shareholder return.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Outlook</w:t>
      </w:r>
    </w:p>
    <w:p>
      <w:pPr>
        <w:spacing w:after="0" w:line="204"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Looking ahead to fiscal 2026, ABM expects solid performance with organic revenue growth of 3% to 4%, driven by healthy demand across its end markets, particularly within Technical Solutions, Aviation, and Manufacturing &amp; Distribution. The WGNSTAR acquisition is anticipated to contribute an additional point of growth, bringing total expected revenue growth for 2026 to approximately 4% to 5%. Segment operating margin, defined as total segment operating profit, divided by total revenue, is projected to be between 7.8% and 8.0%, reflecting the Company's continued focus on operational efficiencies and the benefits of recent restructuring actions. Adjusted EPS is expected to be in the range of $3.85 to $4.15</w:t>
      </w:r>
      <w:r>
        <w:rPr>
          <w:rFonts w:ascii="Arial" w:cs="Arial" w:eastAsia="Arial" w:hAnsi="Arial"/>
          <w:sz w:val="24"/>
          <w:szCs w:val="24"/>
          <w:color w:val="auto"/>
          <w:vertAlign w:val="superscript"/>
        </w:rPr>
        <w:t>(1)</w:t>
      </w:r>
      <w:r>
        <w:rPr>
          <w:rFonts w:ascii="Arial" w:cs="Arial" w:eastAsia="Arial" w:hAnsi="Arial"/>
          <w:sz w:val="20"/>
          <w:szCs w:val="20"/>
          <w:color w:val="auto"/>
        </w:rPr>
        <w:t>, before any impact from prior-year self-insurance adjustments, with interest expense of $95 million to $105 million and a normalized tax rate of 29% to 30%, excluding discrete and non-taxable items.</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Company cannot provide a reconciliation of the differences between the non-GAAP expectations and corresponding GAAP measure for Adjusted EPS in 2026 without unreasonable effort due to the uncertainty of timing of any gains or losses related to, but not limited to, items such as changes in the fair value of contingent consideration, acquisition and integration related costs, as well as legal costs and other settlements. Although we have attempted to estimate the amount of gains and losses of such items for the purpose of explaining the probable significance of these components, this calculation involves a number of unknown variables, resulting in a GAAP range that we believe is too large and variable to be meaningful.</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Conference Call Information</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 xml:space="preserve">ABM will host its quarterly conference call for all interested parties on Wednesday, December 17, 2025, at 8:30 AM (ET) to discuss its fourth quarter and full-year 2025 financial results and the agreement to acquire WGNSTAR. The live conference call can be accessed via audio webcast at the “Investors” section of the Company's website, located at </w:t>
      </w:r>
      <w:r>
        <w:rPr>
          <w:rFonts w:ascii="Arial" w:cs="Arial" w:eastAsia="Arial" w:hAnsi="Arial"/>
          <w:sz w:val="19"/>
          <w:szCs w:val="19"/>
          <w:u w:val="single" w:color="auto"/>
          <w:color w:val="auto"/>
        </w:rPr>
        <w:t>www.abm.com</w:t>
      </w:r>
      <w:r>
        <w:rPr>
          <w:rFonts w:ascii="Arial" w:cs="Arial" w:eastAsia="Arial" w:hAnsi="Arial"/>
          <w:sz w:val="19"/>
          <w:szCs w:val="19"/>
          <w:color w:val="auto"/>
        </w:rPr>
        <w:t>, or by dialing</w:t>
      </w:r>
    </w:p>
    <w:p>
      <w:pPr>
        <w:spacing w:after="0" w:line="2" w:lineRule="exact"/>
        <w:rPr>
          <w:sz w:val="20"/>
          <w:szCs w:val="20"/>
          <w:color w:val="auto"/>
        </w:rPr>
      </w:pPr>
    </w:p>
    <w:p>
      <w:pPr>
        <w:ind w:right="1240" w:firstLine="8"/>
        <w:spacing w:after="0" w:line="464" w:lineRule="auto"/>
        <w:tabs>
          <w:tab w:leader="none" w:pos="517" w:val="left"/>
        </w:tabs>
        <w:numPr>
          <w:ilvl w:val="0"/>
          <w:numId w:val="3"/>
        </w:numPr>
        <w:rPr>
          <w:rFonts w:ascii="Arial" w:cs="Arial" w:eastAsia="Arial" w:hAnsi="Arial"/>
          <w:sz w:val="20"/>
          <w:szCs w:val="20"/>
          <w:color w:val="auto"/>
        </w:rPr>
      </w:pPr>
      <w:r>
        <w:rPr>
          <w:rFonts w:ascii="Arial" w:cs="Arial" w:eastAsia="Arial" w:hAnsi="Arial"/>
          <w:sz w:val="20"/>
          <w:szCs w:val="20"/>
          <w:color w:val="auto"/>
        </w:rPr>
        <w:t>451-6152 (domestic) or (201) 389-0879 (international) approximately 15 minutes prior to the scheduled time. A supplemental presentation will accompany the webcast on the Company's website.</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 w:name="page8"/>
    <w:bookmarkEnd w:id="7"/>
    <w:p>
      <w:pPr>
        <w:jc w:val="both"/>
        <w:spacing w:after="0" w:line="241" w:lineRule="auto"/>
        <w:rPr>
          <w:sz w:val="20"/>
          <w:szCs w:val="20"/>
          <w:color w:val="auto"/>
        </w:rPr>
      </w:pPr>
      <w:r>
        <w:rPr>
          <w:rFonts w:ascii="Arial" w:cs="Arial" w:eastAsia="Arial" w:hAnsi="Arial"/>
          <w:sz w:val="20"/>
          <w:szCs w:val="20"/>
          <w:color w:val="auto"/>
        </w:rPr>
        <w:t>A replay will be available approximately two hours after the webcast through December 31, 2025, and can be accessed by dialing (844) 512-2921 and then entering ID #13756542. A replay link of the webcast will also be archived on the ABM website for 90 days.</w:t>
      </w:r>
    </w:p>
    <w:p>
      <w:pPr>
        <w:spacing w:after="0" w:line="184" w:lineRule="exact"/>
        <w:rPr>
          <w:sz w:val="20"/>
          <w:szCs w:val="20"/>
          <w:color w:val="auto"/>
        </w:rPr>
      </w:pPr>
    </w:p>
    <w:p>
      <w:pPr>
        <w:jc w:val="both"/>
        <w:ind w:firstLine="8"/>
        <w:spacing w:after="0" w:line="263" w:lineRule="auto"/>
        <w:tabs>
          <w:tab w:leader="none" w:pos="216"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When the company provides expectations for adjusted EPS on a forward-looking basis, a reconciliation of the differences between these non-GAAP expectations and the corresponding GAAP measure generally is not available without unreasonable effort. In addition, expectations for adjusted EPS do not give effect to any potential positive or negative prior year self-insurance adjustments. See “Outlook” and “Use of Non-GAAP Financial Information” below for additional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0046AC"/>
        </w:rPr>
        <w:t>About ABM</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ABM (NYSE: ABM) is one of the world’s largest providers of integrated facility, engineering, and infrastructure solutions. Every day, our over 100,000 team members deliver essential services that make spaces cleaner, safer, and more efficient, enhancing the overall occupant experience.</w:t>
      </w:r>
    </w:p>
    <w:p>
      <w:pPr>
        <w:spacing w:after="0" w:line="17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ABM serves a wide range of market sectors including commercial real estate, aviation, mission critical, and manufacturing and distribution. With over $8 billion in annual revenue and a blue-chip client base, ABM delivers innovative technologies and sustainable solutions that enhance facilities and empower clients to achieve their goals. Committed to creating smarter, more connected spaces, ABM is investing in the future to meet evolving challenges and build a healthier, thriving world. ABM: Driving possibility, together.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visit www.abm.com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Cautionary Statement under the Private Securities Litigation Reform Act of 1995</w:t>
      </w:r>
    </w:p>
    <w:p>
      <w:pPr>
        <w:spacing w:after="0" w:line="204" w:lineRule="exact"/>
        <w:rPr>
          <w:sz w:val="20"/>
          <w:szCs w:val="20"/>
          <w:color w:val="auto"/>
        </w:rPr>
      </w:pPr>
    </w:p>
    <w:p>
      <w:pPr>
        <w:jc w:val="both"/>
        <w:spacing w:after="0" w:line="227" w:lineRule="auto"/>
        <w:rPr>
          <w:sz w:val="20"/>
          <w:szCs w:val="20"/>
          <w:color w:val="auto"/>
        </w:rPr>
      </w:pPr>
      <w:r>
        <w:rPr>
          <w:rFonts w:ascii="Arial" w:cs="Arial" w:eastAsia="Arial" w:hAnsi="Arial"/>
          <w:sz w:val="20"/>
          <w:szCs w:val="20"/>
          <w:i w:val="1"/>
          <w:iCs w:val="1"/>
          <w:color w:val="auto"/>
        </w:rPr>
        <w:t>This press release contains both historical and forward-looking statements about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For us, particular uncertainties that could cause our actual results to be materially different from those expressed in our forward-looking statements include: our success depends on our ability to gain profitable business despite competitive market pressures; our results of operations can be adversely affected by labor shortages, turnover, and labor cost increases; we may not be able to attract and retain qualified personnel and senior management we need to support our business; investments in and changes to our businesses, operating structure, or personnel relating to our strategic initiatives, including the implementation of strategic transformations, enhanced business processes, and technology initiatives may not have the desired effects on our financial condition and results of operations; our ability to preserve long-term client relationships is essential to our continued success; our use of subcontractors or joint venture partners to perform work under customer contracts exposes us to liability and financial risk; our international business involves risks different from those we face in the United States that could have an effect on our results of operations and financial condition; decreases in commercial office space utilization due to hybrid work models and increases in office vacancy rates could adversely affect our financial conditions; negative changes in general economic conditions, such as recessionary pressures, high interest rates, durable and non-durable goods pricing, changes in energy prices, or changes in consumer goods pricing, could reduce the demand for services and, as a result, reduce our revenue and earnings and adversely affect our financial condition; we may experience breaches of, or disruptions to, our information technology systems or those of our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jc w:val="both"/>
        <w:spacing w:after="0" w:line="227" w:lineRule="auto"/>
        <w:rPr>
          <w:sz w:val="20"/>
          <w:szCs w:val="20"/>
          <w:color w:val="auto"/>
        </w:rPr>
      </w:pPr>
      <w:r>
        <w:rPr>
          <w:rFonts w:ascii="Arial" w:cs="Arial" w:eastAsia="Arial" w:hAnsi="Arial"/>
          <w:sz w:val="20"/>
          <w:szCs w:val="20"/>
          <w:i w:val="1"/>
          <w:iCs w:val="1"/>
          <w:color w:val="auto"/>
        </w:rPr>
        <w:t>third-party providers or clients, or other compromises of our data that could adversely affect our business; our ongoing implementation of new enterprise resource planning and related boundary systems could adversely impact our ability to operate our business and report our financial results; acquisitions, divestitures, and other strategic transactions could fail to achieve financial or strategic objectives, disrupt our ongoing business, and adversely impact our results of operations; we may not realize the growth opportunities and synergies that are anticipated from the WGNSTAR acquisition; we manage our insurable risks through a combination of third-party purchased policies and self-insurance, and we retain a substantial portion of the risk associated with expected losses under these programs, which exposes us to volatility associated with those risks, including the possibility that changes in estimates to our ultimate insurance loss reserves could result in material charges against our earnings; our risk management and safety programs may not have the intended effect of reducing our liability for personal injury or property loss; unfavorable developments in our class and representative actions and other lawsuits alleging various claims could cause us to incur substantial liabilities; we are subject to extensive legal and regulatory requirements, which could limit our profitability by increasing the costs of legal and regulatory compliance; a significant number of our employees are covered by collective bargaining agreements that could expose us to potential liabilities in relation to our participation in multiemployer pension plans, requirements to make contributions to other benefit plans, and the potential for strikes, work slowdowns or similar activities, and union organizing drives; our business may be materially affected by changes to fiscal and tax policies; negative or unexpected tax consequences could adversely affect our results of operations; future increases in the level of our borrowings and interest rates could affect our results of operations; impairment of goodwill and long-lived assets could have a material adverse effect on our financial condition and results of operations; if we fail to maintain proper and effective internal control over financial reporting in the future, our ability to produce accurate and timely financial statements could be negatively impacted, which could harm our operating results and investor perceptions of our Company and as a result may have a material adverse effect on the value of our common stock; our business may be negatively impacted by adverse weather conditions; catastrophic events, disasters, pandemics, and terrorist attacks could disrupt our services; and actions of activist investors could disrupt our business. For additional information on these and other risks and uncertainties we face, see ABM’s risk factors, as they may be amended from time to time, set forth in our filings with the Securities and Exchange Commission, including our most recent Annual Report on Form 10-K and subsequent filings. We urge readers to consider these risks and uncertainties in evaluating our forward-looking statements.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Use of Non-GAAP Financial Information</w:t>
      </w:r>
    </w:p>
    <w:p>
      <w:pPr>
        <w:spacing w:after="0" w:line="231" w:lineRule="exact"/>
        <w:rPr>
          <w:sz w:val="20"/>
          <w:szCs w:val="20"/>
          <w:color w:val="auto"/>
        </w:rPr>
      </w:pPr>
    </w:p>
    <w:p>
      <w:pPr>
        <w:jc w:val="both"/>
        <w:spacing w:after="0" w:line="241" w:lineRule="auto"/>
        <w:rPr>
          <w:sz w:val="20"/>
          <w:szCs w:val="20"/>
          <w:color w:val="auto"/>
        </w:rPr>
      </w:pPr>
      <w:r>
        <w:rPr>
          <w:rFonts w:ascii="Arial" w:cs="Arial" w:eastAsia="Arial" w:hAnsi="Arial"/>
          <w:sz w:val="19"/>
          <w:szCs w:val="19"/>
          <w:i w:val="1"/>
          <w:iCs w:val="1"/>
          <w:color w:val="auto"/>
        </w:rPr>
        <w:t>To supplement ABM’s consolidated financial information, the Company has presented net income and net income per diluted share as adjusted for items impacting comparability for the fourth quarter and full fiscal years 2025 and 2024. These adjustments have been made with the intent of providing financial measures that give management and investors a better understanding of the underlying operational results and trends as well as ABM’s operational performance. In addition, the Company has presented earnings before interest, taxes, depreciation and amortization, and excluding items impacting comparability (adjusted EBITDA) for the fourth quarter and full fiscal years 2025 and 2024. Adjusted EBITDA is among the indicators management uses as a basis for planning and forecasting future periods. Adjusted EBITDA margin is defined as adjusted EBITDA divided by revenue excluding management reimbursement. The Company has also presented forward-looking information with respect to adjusted EPS. We cannot provide a reconciliation of forward-looking non-GAAP adjusted EPS to GAAP due to the inherent difficulty in forecasting and quantifying certain amounts that are necessary for such reconciliation. The Company has also presented Free Cash Flow which is defined as net cash provided by (used in) operating activities less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jc w:val="both"/>
        <w:spacing w:after="0" w:line="237" w:lineRule="auto"/>
        <w:rPr>
          <w:sz w:val="20"/>
          <w:szCs w:val="20"/>
          <w:color w:val="auto"/>
        </w:rPr>
      </w:pPr>
      <w:r>
        <w:rPr>
          <w:rFonts w:ascii="Arial" w:cs="Arial" w:eastAsia="Arial" w:hAnsi="Arial"/>
          <w:sz w:val="20"/>
          <w:szCs w:val="20"/>
          <w:i w:val="1"/>
          <w:iCs w:val="1"/>
          <w:color w:val="auto"/>
        </w:rPr>
        <w:t>additions to property, plant and equipment. The presentation of these non-GAAP financial measures is not meant to be considered in isolation or as a substitute for financial statements prepared in accordance with accounting principles generally accepted in the United States of America. (See accompanying financial tables for supplemental financial data and corresponding reconciliations to certain GAAP financial measures.)</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i w:val="1"/>
          <w:iCs w:val="1"/>
          <w:color w:val="auto"/>
        </w:rPr>
        <w:t>We round amounts to millions but calculate all percentages and per-share data from the underlying whole-dollar amounts. As a result, certain amounts may not foot, crossfoot, or recalculate based on reported numbers due to rounding. Unless otherwise noted, all references to years are to our fiscal year, which ends on October 31.</w:t>
      </w: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20"/>
          <w:szCs w:val="20"/>
          <w:b w:val="1"/>
          <w:bCs w:val="1"/>
          <w:u w:val="single" w:color="auto"/>
          <w:color w:val="auto"/>
        </w:rPr>
        <w:t>Contact:</w:t>
      </w:r>
    </w:p>
    <w:p>
      <w:pPr>
        <w:spacing w:after="0" w:line="83" w:lineRule="exact"/>
        <w:rPr>
          <w:sz w:val="20"/>
          <w:szCs w:val="20"/>
          <w:color w:val="auto"/>
        </w:rPr>
      </w:pPr>
    </w:p>
    <w:p>
      <w:pPr>
        <w:ind w:left="60"/>
        <w:spacing w:after="0"/>
        <w:tabs>
          <w:tab w:leader="none" w:pos="4700" w:val="left"/>
        </w:tabs>
        <w:rPr>
          <w:sz w:val="20"/>
          <w:szCs w:val="20"/>
          <w:color w:val="auto"/>
        </w:rPr>
      </w:pPr>
      <w:r>
        <w:rPr>
          <w:rFonts w:ascii="Arial" w:cs="Arial" w:eastAsia="Arial" w:hAnsi="Arial"/>
          <w:sz w:val="20"/>
          <w:szCs w:val="20"/>
          <w:color w:val="auto"/>
        </w:rPr>
        <w:t>Investor Relations:</w:t>
      </w:r>
      <w:r>
        <w:rPr>
          <w:sz w:val="20"/>
          <w:szCs w:val="20"/>
          <w:color w:val="auto"/>
        </w:rPr>
        <w:tab/>
      </w:r>
      <w:r>
        <w:rPr>
          <w:rFonts w:ascii="Arial" w:cs="Arial" w:eastAsia="Arial" w:hAnsi="Arial"/>
          <w:sz w:val="19"/>
          <w:szCs w:val="19"/>
          <w:color w:val="auto"/>
        </w:rPr>
        <w:t>Paul Goldberg</w:t>
      </w:r>
    </w:p>
    <w:p>
      <w:pPr>
        <w:spacing w:after="0" w:line="81" w:lineRule="exact"/>
        <w:rPr>
          <w:sz w:val="20"/>
          <w:szCs w:val="20"/>
          <w:color w:val="auto"/>
        </w:rPr>
      </w:pPr>
    </w:p>
    <w:p>
      <w:pPr>
        <w:ind w:left="5240" w:hanging="527"/>
        <w:spacing w:after="0"/>
        <w:tabs>
          <w:tab w:leader="none" w:pos="5240" w:val="left"/>
        </w:tabs>
        <w:numPr>
          <w:ilvl w:val="0"/>
          <w:numId w:val="5"/>
        </w:numPr>
        <w:rPr>
          <w:rFonts w:ascii="Arial" w:cs="Arial" w:eastAsia="Arial" w:hAnsi="Arial"/>
          <w:sz w:val="20"/>
          <w:szCs w:val="20"/>
          <w:color w:val="auto"/>
        </w:rPr>
      </w:pPr>
      <w:r>
        <w:rPr>
          <w:rFonts w:ascii="Arial" w:cs="Arial" w:eastAsia="Arial" w:hAnsi="Arial"/>
          <w:sz w:val="20"/>
          <w:szCs w:val="20"/>
          <w:color w:val="auto"/>
        </w:rPr>
        <w:t>297-9721</w:t>
      </w:r>
    </w:p>
    <w:p>
      <w:pPr>
        <w:spacing w:after="0" w:line="80" w:lineRule="exact"/>
        <w:rPr>
          <w:rFonts w:ascii="Arial" w:cs="Arial" w:eastAsia="Arial" w:hAnsi="Arial"/>
          <w:sz w:val="20"/>
          <w:szCs w:val="20"/>
          <w:color w:val="auto"/>
        </w:rPr>
      </w:pPr>
    </w:p>
    <w:p>
      <w:pPr>
        <w:ind w:left="4720"/>
        <w:spacing w:after="0"/>
        <w:rPr>
          <w:rFonts w:ascii="Arial" w:cs="Arial" w:eastAsia="Arial" w:hAnsi="Arial"/>
          <w:sz w:val="20"/>
          <w:szCs w:val="20"/>
          <w:color w:val="auto"/>
        </w:rPr>
      </w:pPr>
      <w:r>
        <w:rPr>
          <w:rFonts w:ascii="Arial" w:cs="Arial" w:eastAsia="Arial" w:hAnsi="Arial"/>
          <w:sz w:val="20"/>
          <w:szCs w:val="20"/>
          <w:color w:val="auto"/>
        </w:rPr>
        <w:t>ir@abm.com</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0046AD"/>
        </w:rPr>
        <w:t>Financial Schedules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CONSOLIDATED INCOME (LOSS) STATEMENT INFORMATION (UNAUDITED)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3280" w:type="dxa"/>
            <w:vAlign w:val="bottom"/>
            <w:tcBorders>
              <w:bottom w:val="single" w:sz="8" w:color="auto"/>
            </w:tcBorders>
            <w:gridSpan w:val="5"/>
          </w:tcPr>
          <w:p>
            <w:pPr>
              <w:jc w:val="right"/>
              <w:ind w:right="279"/>
              <w:spacing w:after="0"/>
              <w:rPr>
                <w:sz w:val="20"/>
                <w:szCs w:val="20"/>
                <w:color w:val="auto"/>
              </w:rPr>
            </w:pPr>
            <w:r>
              <w:rPr>
                <w:rFonts w:ascii="Arial" w:cs="Arial" w:eastAsia="Arial" w:hAnsi="Arial"/>
                <w:sz w:val="16"/>
                <w:szCs w:val="16"/>
                <w:b w:val="1"/>
                <w:bCs w:val="1"/>
                <w:color w:val="auto"/>
              </w:rPr>
              <w:t>Three Months Ended October 31,</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5"/>
        </w:trPr>
        <w:tc>
          <w:tcPr>
            <w:tcW w:w="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Increase /</w:t>
            </w:r>
          </w:p>
        </w:tc>
        <w:tc>
          <w:tcPr>
            <w:tcW w:w="200" w:type="dxa"/>
            <w:vAlign w:val="bottom"/>
          </w:tcPr>
          <w:p>
            <w:pPr>
              <w:spacing w:after="0"/>
              <w:rPr>
                <w:sz w:val="18"/>
                <w:szCs w:val="18"/>
                <w:color w:val="auto"/>
              </w:rPr>
            </w:pPr>
          </w:p>
        </w:tc>
      </w:tr>
      <w:tr>
        <w:trPr>
          <w:trHeight w:val="203"/>
        </w:trPr>
        <w:tc>
          <w:tcPr>
            <w:tcW w:w="6320" w:type="dxa"/>
            <w:vAlign w:val="bottom"/>
            <w:gridSpan w:val="3"/>
          </w:tcPr>
          <w:p>
            <w:pPr>
              <w:ind w:left="60"/>
              <w:spacing w:after="0"/>
              <w:rPr>
                <w:sz w:val="20"/>
                <w:szCs w:val="20"/>
                <w:color w:val="auto"/>
              </w:rPr>
            </w:pPr>
            <w:r>
              <w:rPr>
                <w:rFonts w:ascii="Times New Roman" w:cs="Times New Roman" w:eastAsia="Times New Roman" w:hAnsi="Times New Roman"/>
                <w:sz w:val="13"/>
                <w:szCs w:val="13"/>
                <w:i w:val="1"/>
                <w:iCs w:val="1"/>
                <w:color w:val="auto"/>
              </w:rPr>
              <w:t>(in millions, except per share amounts)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17"/>
                <w:szCs w:val="17"/>
                <w:color w:val="auto"/>
              </w:rPr>
            </w:pPr>
          </w:p>
        </w:tc>
        <w:tc>
          <w:tcPr>
            <w:tcW w:w="1140" w:type="dxa"/>
            <w:vAlign w:val="bottom"/>
            <w:gridSpan w:val="2"/>
          </w:tcPr>
          <w:p>
            <w:pPr>
              <w:jc w:val="center"/>
              <w:ind w:left="699"/>
              <w:spacing w:after="0"/>
              <w:rPr>
                <w:sz w:val="20"/>
                <w:szCs w:val="20"/>
                <w:color w:val="auto"/>
              </w:rPr>
            </w:pPr>
            <w:r>
              <w:rPr>
                <w:rFonts w:ascii="Arial" w:cs="Arial" w:eastAsia="Arial" w:hAnsi="Arial"/>
                <w:sz w:val="16"/>
                <w:szCs w:val="16"/>
                <w:b w:val="1"/>
                <w:bCs w:val="1"/>
                <w:color w:val="auto"/>
              </w:rPr>
              <w:t>2024</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(Decrease)</w:t>
            </w:r>
          </w:p>
        </w:tc>
        <w:tc>
          <w:tcPr>
            <w:tcW w:w="20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43"/>
        </w:trPr>
        <w:tc>
          <w:tcPr>
            <w:tcW w:w="632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1000" w:type="dxa"/>
            <w:vAlign w:val="bottom"/>
            <w:tcBorders>
              <w:bottom w:val="single" w:sz="8" w:color="DCE2EF"/>
            </w:tcBorders>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2,295.3</w:t>
            </w:r>
          </w:p>
        </w:tc>
        <w:tc>
          <w:tcPr>
            <w:tcW w:w="1140" w:type="dxa"/>
            <w:vAlign w:val="bottom"/>
            <w:tcBorders>
              <w:bottom w:val="single" w:sz="8" w:color="DCE2EF"/>
            </w:tcBorders>
            <w:gridSpan w:val="2"/>
            <w:shd w:val="clear" w:color="auto" w:fill="DCE2EF"/>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2,177.3</w:t>
            </w:r>
          </w:p>
        </w:tc>
        <w:tc>
          <w:tcPr>
            <w:tcW w:w="13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5.4</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76"/>
        </w:trPr>
        <w:tc>
          <w:tcPr>
            <w:tcW w:w="6320" w:type="dxa"/>
            <w:vAlign w:val="bottom"/>
            <w:gridSpan w:val="3"/>
          </w:tcPr>
          <w:p>
            <w:pPr>
              <w:ind w:left="60"/>
              <w:spacing w:after="0"/>
              <w:rPr>
                <w:sz w:val="20"/>
                <w:szCs w:val="20"/>
                <w:color w:val="auto"/>
              </w:rPr>
            </w:pPr>
            <w:r>
              <w:rPr>
                <w:rFonts w:ascii="Arial" w:cs="Arial" w:eastAsia="Arial" w:hAnsi="Arial"/>
                <w:sz w:val="16"/>
                <w:szCs w:val="16"/>
                <w:color w:val="auto"/>
              </w:rPr>
              <w:t>Operating expenses</w:t>
            </w:r>
          </w:p>
        </w:tc>
        <w:tc>
          <w:tcPr>
            <w:tcW w:w="10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2,025.1</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1,905.2</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1"/>
        </w:trPr>
        <w:tc>
          <w:tcPr>
            <w:tcW w:w="632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Selling, general and administrative expenses</w:t>
            </w:r>
          </w:p>
        </w:tc>
        <w:tc>
          <w:tcPr>
            <w:tcW w:w="10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176.0</w:t>
            </w:r>
          </w:p>
        </w:tc>
        <w:tc>
          <w:tcPr>
            <w:tcW w:w="220" w:type="dxa"/>
            <w:vAlign w:val="bottom"/>
            <w:shd w:val="clear" w:color="auto" w:fill="DCE2EF"/>
          </w:tcPr>
          <w:p>
            <w:pPr>
              <w:spacing w:after="0"/>
              <w:rPr>
                <w:sz w:val="24"/>
                <w:szCs w:val="24"/>
                <w:color w:val="auto"/>
              </w:rPr>
            </w:pPr>
          </w:p>
        </w:tc>
        <w:tc>
          <w:tcPr>
            <w:tcW w:w="92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239.0</w:t>
            </w:r>
          </w:p>
        </w:tc>
        <w:tc>
          <w:tcPr>
            <w:tcW w:w="1320" w:type="dxa"/>
            <w:vAlign w:val="bottom"/>
            <w:gridSpan w:val="2"/>
            <w:shd w:val="clear" w:color="auto" w:fill="DCE2EF"/>
          </w:tcPr>
          <w:p>
            <w:pPr>
              <w:ind w:left="680"/>
              <w:spacing w:after="0"/>
              <w:rPr>
                <w:sz w:val="20"/>
                <w:szCs w:val="20"/>
                <w:color w:val="auto"/>
              </w:rPr>
            </w:pPr>
            <w:r>
              <w:rPr>
                <w:rFonts w:ascii="Arial" w:cs="Arial" w:eastAsia="Arial" w:hAnsi="Arial"/>
                <w:sz w:val="16"/>
                <w:szCs w:val="16"/>
                <w:color w:val="auto"/>
              </w:rPr>
              <w:t>(26.4)</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76"/>
        </w:trPr>
        <w:tc>
          <w:tcPr>
            <w:tcW w:w="6320" w:type="dxa"/>
            <w:vAlign w:val="bottom"/>
            <w:gridSpan w:val="3"/>
          </w:tcPr>
          <w:p>
            <w:pPr>
              <w:ind w:left="60"/>
              <w:spacing w:after="0"/>
              <w:rPr>
                <w:sz w:val="20"/>
                <w:szCs w:val="20"/>
                <w:color w:val="auto"/>
              </w:rPr>
            </w:pPr>
            <w:r>
              <w:rPr>
                <w:rFonts w:ascii="Arial" w:cs="Arial" w:eastAsia="Arial" w:hAnsi="Arial"/>
                <w:sz w:val="16"/>
                <w:szCs w:val="16"/>
                <w:color w:val="auto"/>
              </w:rPr>
              <w:t>Restructuring and related expenses</w:t>
            </w:r>
          </w:p>
        </w:tc>
        <w:tc>
          <w:tcPr>
            <w:tcW w:w="10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13.1</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NM*</w:t>
            </w:r>
          </w:p>
        </w:tc>
      </w:tr>
      <w:tr>
        <w:trPr>
          <w:trHeight w:val="285"/>
        </w:trPr>
        <w:tc>
          <w:tcPr>
            <w:tcW w:w="632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Amortization of intangible assets</w:t>
            </w:r>
          </w:p>
        </w:tc>
        <w:tc>
          <w:tcPr>
            <w:tcW w:w="100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12.7</w:t>
            </w:r>
          </w:p>
        </w:tc>
        <w:tc>
          <w:tcPr>
            <w:tcW w:w="220" w:type="dxa"/>
            <w:vAlign w:val="bottom"/>
            <w:shd w:val="clear" w:color="auto" w:fill="DCE2EF"/>
          </w:tcPr>
          <w:p>
            <w:pPr>
              <w:spacing w:after="0"/>
              <w:rPr>
                <w:sz w:val="24"/>
                <w:szCs w:val="24"/>
                <w:color w:val="auto"/>
              </w:rPr>
            </w:pPr>
          </w:p>
        </w:tc>
        <w:tc>
          <w:tcPr>
            <w:tcW w:w="92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13.9</w:t>
            </w:r>
          </w:p>
        </w:tc>
        <w:tc>
          <w:tcPr>
            <w:tcW w:w="1320" w:type="dxa"/>
            <w:vAlign w:val="bottom"/>
            <w:gridSpan w:val="2"/>
            <w:shd w:val="clear" w:color="auto" w:fill="DCE2EF"/>
          </w:tcPr>
          <w:p>
            <w:pPr>
              <w:ind w:left="680"/>
              <w:spacing w:after="0"/>
              <w:rPr>
                <w:sz w:val="20"/>
                <w:szCs w:val="20"/>
                <w:color w:val="auto"/>
              </w:rPr>
            </w:pPr>
            <w:r>
              <w:rPr>
                <w:rFonts w:ascii="Arial" w:cs="Arial" w:eastAsia="Arial" w:hAnsi="Arial"/>
                <w:sz w:val="16"/>
                <w:szCs w:val="16"/>
                <w:color w:val="auto"/>
              </w:rPr>
              <w:t>(9.0)</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66"/>
        </w:trPr>
        <w:tc>
          <w:tcPr>
            <w:tcW w:w="6320" w:type="dxa"/>
            <w:vAlign w:val="bottom"/>
            <w:gridSpan w:val="3"/>
          </w:tcPr>
          <w:p>
            <w:pPr>
              <w:ind w:left="60"/>
              <w:spacing w:after="0"/>
              <w:rPr>
                <w:sz w:val="20"/>
                <w:szCs w:val="20"/>
                <w:color w:val="auto"/>
              </w:rPr>
            </w:pPr>
            <w:r>
              <w:rPr>
                <w:rFonts w:ascii="Arial" w:cs="Arial" w:eastAsia="Arial" w:hAnsi="Arial"/>
                <w:sz w:val="16"/>
                <w:szCs w:val="16"/>
                <w:b w:val="1"/>
                <w:bCs w:val="1"/>
                <w:color w:val="auto"/>
              </w:rPr>
              <w:t>Operating profit</w:t>
            </w:r>
          </w:p>
        </w:tc>
        <w:tc>
          <w:tcPr>
            <w:tcW w:w="10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22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2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NM*</w:t>
            </w:r>
          </w:p>
        </w:tc>
      </w:tr>
      <w:tr>
        <w:trPr>
          <w:trHeight w:val="247"/>
        </w:trPr>
        <w:tc>
          <w:tcPr>
            <w:tcW w:w="632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Income from unconsolidated affiliates</w:t>
            </w:r>
          </w:p>
        </w:tc>
        <w:tc>
          <w:tcPr>
            <w:tcW w:w="100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DCE2EF"/>
            </w:tcBorders>
            <w:shd w:val="clear" w:color="auto" w:fill="DCE2EF"/>
          </w:tcPr>
          <w:p>
            <w:pPr>
              <w:spacing w:after="0"/>
              <w:rPr>
                <w:sz w:val="21"/>
                <w:szCs w:val="21"/>
                <w:color w:val="auto"/>
              </w:rPr>
            </w:pPr>
          </w:p>
        </w:tc>
        <w:tc>
          <w:tcPr>
            <w:tcW w:w="920" w:type="dxa"/>
            <w:vAlign w:val="bottom"/>
            <w:tcBorders>
              <w:bottom w:val="single" w:sz="8" w:color="DCE2EF"/>
            </w:tcBorders>
            <w:shd w:val="clear" w:color="auto" w:fill="DCE2EF"/>
          </w:tcPr>
          <w:p>
            <w:pPr>
              <w:spacing w:after="0"/>
              <w:rPr>
                <w:sz w:val="21"/>
                <w:szCs w:val="21"/>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1.8</w:t>
            </w:r>
          </w:p>
        </w:tc>
        <w:tc>
          <w:tcPr>
            <w:tcW w:w="1320" w:type="dxa"/>
            <w:vAlign w:val="bottom"/>
            <w:tcBorders>
              <w:bottom w:val="single" w:sz="8" w:color="DCE2EF"/>
            </w:tcBorders>
            <w:gridSpan w:val="2"/>
            <w:shd w:val="clear" w:color="auto" w:fill="DCE2EF"/>
          </w:tcPr>
          <w:p>
            <w:pPr>
              <w:ind w:left="680"/>
              <w:spacing w:after="0"/>
              <w:rPr>
                <w:sz w:val="20"/>
                <w:szCs w:val="20"/>
                <w:color w:val="auto"/>
              </w:rPr>
            </w:pPr>
            <w:r>
              <w:rPr>
                <w:rFonts w:ascii="Arial" w:cs="Arial" w:eastAsia="Arial" w:hAnsi="Arial"/>
                <w:sz w:val="16"/>
                <w:szCs w:val="16"/>
                <w:color w:val="auto"/>
              </w:rPr>
              <w:t>(31.7)</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83"/>
        </w:trPr>
        <w:tc>
          <w:tcPr>
            <w:tcW w:w="6320" w:type="dxa"/>
            <w:vAlign w:val="bottom"/>
            <w:gridSpan w:val="3"/>
          </w:tcPr>
          <w:p>
            <w:pPr>
              <w:ind w:left="60"/>
              <w:spacing w:after="0"/>
              <w:rPr>
                <w:sz w:val="20"/>
                <w:szCs w:val="20"/>
                <w:color w:val="auto"/>
              </w:rPr>
            </w:pPr>
            <w:r>
              <w:rPr>
                <w:rFonts w:ascii="Arial" w:cs="Arial" w:eastAsia="Arial" w:hAnsi="Arial"/>
                <w:sz w:val="16"/>
                <w:szCs w:val="16"/>
                <w:color w:val="auto"/>
              </w:rPr>
              <w:t>Interest expense</w:t>
            </w:r>
          </w:p>
        </w:tc>
        <w:tc>
          <w:tcPr>
            <w:tcW w:w="1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320" w:type="dxa"/>
            <w:vAlign w:val="bottom"/>
            <w:gridSpan w:val="2"/>
          </w:tcPr>
          <w:p>
            <w:pPr>
              <w:ind w:left="680"/>
              <w:spacing w:after="0"/>
              <w:rPr>
                <w:sz w:val="20"/>
                <w:szCs w:val="20"/>
                <w:color w:val="auto"/>
              </w:rPr>
            </w:pPr>
            <w:r>
              <w:rPr>
                <w:rFonts w:ascii="Arial" w:cs="Arial" w:eastAsia="Arial" w:hAnsi="Arial"/>
                <w:sz w:val="16"/>
                <w:szCs w:val="16"/>
                <w:color w:val="auto"/>
              </w:rPr>
              <w:t>(11.2)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5"/>
        </w:trPr>
        <w:tc>
          <w:tcPr>
            <w:tcW w:w="632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Income (loss) before income taxes</w:t>
            </w:r>
          </w:p>
        </w:tc>
        <w:tc>
          <w:tcPr>
            <w:tcW w:w="100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45.3</w:t>
            </w:r>
          </w:p>
        </w:tc>
        <w:tc>
          <w:tcPr>
            <w:tcW w:w="220" w:type="dxa"/>
            <w:vAlign w:val="bottom"/>
            <w:tcBorders>
              <w:bottom w:val="single" w:sz="8" w:color="DCE2EF"/>
            </w:tcBorders>
            <w:shd w:val="clear" w:color="auto" w:fill="DCE2EF"/>
          </w:tcPr>
          <w:p>
            <w:pPr>
              <w:spacing w:after="0"/>
              <w:rPr>
                <w:sz w:val="21"/>
                <w:szCs w:val="21"/>
                <w:color w:val="auto"/>
              </w:rPr>
            </w:pPr>
          </w:p>
        </w:tc>
        <w:tc>
          <w:tcPr>
            <w:tcW w:w="920" w:type="dxa"/>
            <w:vAlign w:val="bottom"/>
            <w:tcBorders>
              <w:bottom w:val="single" w:sz="8" w:color="DCE2EF"/>
            </w:tcBorders>
            <w:shd w:val="clear" w:color="auto" w:fill="DCE2EF"/>
          </w:tcPr>
          <w:p>
            <w:pPr>
              <w:spacing w:after="0"/>
              <w:rPr>
                <w:sz w:val="21"/>
                <w:szCs w:val="21"/>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(0.8)</w:t>
            </w:r>
          </w:p>
        </w:tc>
        <w:tc>
          <w:tcPr>
            <w:tcW w:w="220" w:type="dxa"/>
            <w:vAlign w:val="bottom"/>
            <w:tcBorders>
              <w:bottom w:val="single" w:sz="8" w:color="DCE2EF"/>
            </w:tcBorders>
            <w:shd w:val="clear" w:color="auto" w:fill="DCE2EF"/>
          </w:tcPr>
          <w:p>
            <w:pPr>
              <w:spacing w:after="0"/>
              <w:rPr>
                <w:sz w:val="21"/>
                <w:szCs w:val="21"/>
                <w:color w:val="auto"/>
              </w:rPr>
            </w:pPr>
          </w:p>
        </w:tc>
        <w:tc>
          <w:tcPr>
            <w:tcW w:w="130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NM*</w:t>
            </w:r>
          </w:p>
        </w:tc>
      </w:tr>
      <w:tr>
        <w:trPr>
          <w:trHeight w:val="277"/>
        </w:trPr>
        <w:tc>
          <w:tcPr>
            <w:tcW w:w="6320" w:type="dxa"/>
            <w:vAlign w:val="bottom"/>
            <w:tcBorders>
              <w:bottom w:val="single" w:sz="8" w:color="DCE2EF"/>
            </w:tcBorders>
            <w:gridSpan w:val="3"/>
          </w:tcPr>
          <w:p>
            <w:pPr>
              <w:ind w:left="60"/>
              <w:spacing w:after="0"/>
              <w:rPr>
                <w:sz w:val="20"/>
                <w:szCs w:val="20"/>
                <w:color w:val="auto"/>
              </w:rPr>
            </w:pPr>
            <w:r>
              <w:rPr>
                <w:rFonts w:ascii="Arial" w:cs="Arial" w:eastAsia="Arial" w:hAnsi="Arial"/>
                <w:sz w:val="16"/>
                <w:szCs w:val="16"/>
                <w:color w:val="auto"/>
              </w:rPr>
              <w:t>Income tax provision</w:t>
            </w:r>
          </w:p>
        </w:tc>
        <w:tc>
          <w:tcPr>
            <w:tcW w:w="1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220" w:type="dxa"/>
            <w:vAlign w:val="bottom"/>
            <w:tcBorders>
              <w:bottom w:val="single" w:sz="8" w:color="DCE2E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320" w:type="dxa"/>
            <w:vAlign w:val="bottom"/>
            <w:tcBorders>
              <w:bottom w:val="single" w:sz="8" w:color="DCE2EF"/>
            </w:tcBorders>
            <w:gridSpan w:val="2"/>
          </w:tcPr>
          <w:p>
            <w:pPr>
              <w:jc w:val="right"/>
              <w:spacing w:after="0"/>
              <w:rPr>
                <w:sz w:val="20"/>
                <w:szCs w:val="20"/>
                <w:color w:val="auto"/>
              </w:rPr>
            </w:pPr>
            <w:r>
              <w:rPr>
                <w:rFonts w:ascii="Arial" w:cs="Arial" w:eastAsia="Arial" w:hAnsi="Arial"/>
                <w:sz w:val="16"/>
                <w:szCs w:val="16"/>
                <w:color w:val="auto"/>
              </w:rPr>
              <w:t>3.6</w:t>
            </w:r>
          </w:p>
        </w:tc>
        <w:tc>
          <w:tcPr>
            <w:tcW w:w="200" w:type="dxa"/>
            <w:vAlign w:val="bottom"/>
            <w:tcBorders>
              <w:bottom w:val="single" w:sz="8" w:color="DCE2EF"/>
            </w:tcBorders>
          </w:tcPr>
          <w:p>
            <w:pPr>
              <w:jc w:val="right"/>
              <w:spacing w:after="0"/>
              <w:rPr>
                <w:sz w:val="20"/>
                <w:szCs w:val="20"/>
                <w:color w:val="auto"/>
              </w:rPr>
            </w:pPr>
            <w:r>
              <w:rPr>
                <w:rFonts w:ascii="Arial" w:cs="Arial" w:eastAsia="Arial" w:hAnsi="Arial"/>
                <w:sz w:val="16"/>
                <w:szCs w:val="16"/>
                <w:color w:val="auto"/>
              </w:rPr>
              <w:t>%</w:t>
            </w:r>
          </w:p>
        </w:tc>
      </w:tr>
      <w:tr>
        <w:trPr>
          <w:trHeight w:val="311"/>
        </w:trPr>
        <w:tc>
          <w:tcPr>
            <w:tcW w:w="632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Net income (loss)</w:t>
            </w:r>
          </w:p>
        </w:tc>
        <w:tc>
          <w:tcPr>
            <w:tcW w:w="100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34.8</w:t>
            </w:r>
          </w:p>
        </w:tc>
        <w:tc>
          <w:tcPr>
            <w:tcW w:w="220" w:type="dxa"/>
            <w:vAlign w:val="bottom"/>
            <w:tcBorders>
              <w:bottom w:val="single" w:sz="8" w:color="DCE2EF"/>
            </w:tcBorders>
            <w:shd w:val="clear" w:color="auto" w:fill="DCE2EF"/>
          </w:tcPr>
          <w:p>
            <w:pPr>
              <w:spacing w:after="0"/>
              <w:rPr>
                <w:sz w:val="24"/>
                <w:szCs w:val="24"/>
                <w:color w:val="auto"/>
              </w:rPr>
            </w:pPr>
          </w:p>
        </w:tc>
        <w:tc>
          <w:tcPr>
            <w:tcW w:w="92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(11.7)</w:t>
            </w:r>
          </w:p>
        </w:tc>
        <w:tc>
          <w:tcPr>
            <w:tcW w:w="220" w:type="dxa"/>
            <w:vAlign w:val="bottom"/>
            <w:tcBorders>
              <w:bottom w:val="single" w:sz="8" w:color="DCE2EF"/>
            </w:tcBorders>
            <w:shd w:val="clear" w:color="auto" w:fill="DCE2EF"/>
          </w:tcPr>
          <w:p>
            <w:pPr>
              <w:spacing w:after="0"/>
              <w:rPr>
                <w:sz w:val="24"/>
                <w:szCs w:val="24"/>
                <w:color w:val="auto"/>
              </w:rPr>
            </w:pPr>
          </w:p>
        </w:tc>
        <w:tc>
          <w:tcPr>
            <w:tcW w:w="130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NM*</w:t>
            </w:r>
          </w:p>
        </w:tc>
      </w:tr>
      <w:tr>
        <w:trPr>
          <w:trHeight w:val="246"/>
        </w:trPr>
        <w:tc>
          <w:tcPr>
            <w:tcW w:w="6320" w:type="dxa"/>
            <w:vAlign w:val="bottom"/>
            <w:gridSpan w:val="3"/>
          </w:tcPr>
          <w:p>
            <w:pPr>
              <w:ind w:left="60"/>
              <w:spacing w:after="0"/>
              <w:rPr>
                <w:sz w:val="20"/>
                <w:szCs w:val="20"/>
                <w:color w:val="auto"/>
              </w:rPr>
            </w:pPr>
            <w:r>
              <w:rPr>
                <w:rFonts w:ascii="Arial" w:cs="Arial" w:eastAsia="Arial" w:hAnsi="Arial"/>
                <w:sz w:val="16"/>
                <w:szCs w:val="16"/>
                <w:b w:val="1"/>
                <w:bCs w:val="1"/>
                <w:color w:val="auto"/>
              </w:rPr>
              <w:t>Net income (loss) per common share</w:t>
            </w: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87"/>
        </w:trPr>
        <w:tc>
          <w:tcPr>
            <w:tcW w:w="60" w:type="dxa"/>
            <w:vAlign w:val="bottom"/>
            <w:shd w:val="clear" w:color="auto" w:fill="DCE2EF"/>
          </w:tcPr>
          <w:p>
            <w:pPr>
              <w:spacing w:after="0"/>
              <w:rPr>
                <w:sz w:val="24"/>
                <w:szCs w:val="24"/>
                <w:color w:val="auto"/>
              </w:rPr>
            </w:pPr>
          </w:p>
        </w:tc>
        <w:tc>
          <w:tcPr>
            <w:tcW w:w="6260" w:type="dxa"/>
            <w:vAlign w:val="bottom"/>
            <w:gridSpan w:val="2"/>
            <w:shd w:val="clear" w:color="auto" w:fill="DCE2EF"/>
          </w:tcPr>
          <w:p>
            <w:pPr>
              <w:ind w:left="200"/>
              <w:spacing w:after="0"/>
              <w:rPr>
                <w:sz w:val="20"/>
                <w:szCs w:val="20"/>
                <w:color w:val="auto"/>
              </w:rPr>
            </w:pPr>
            <w:r>
              <w:rPr>
                <w:rFonts w:ascii="Arial" w:cs="Arial" w:eastAsia="Arial" w:hAnsi="Arial"/>
                <w:sz w:val="16"/>
                <w:szCs w:val="16"/>
                <w:color w:val="auto"/>
              </w:rPr>
              <w:t>Basic</w:t>
            </w:r>
          </w:p>
        </w:tc>
        <w:tc>
          <w:tcPr>
            <w:tcW w:w="10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0.57</w:t>
            </w:r>
          </w:p>
        </w:tc>
        <w:tc>
          <w:tcPr>
            <w:tcW w:w="1140" w:type="dxa"/>
            <w:vAlign w:val="bottom"/>
            <w:gridSpan w:val="2"/>
            <w:shd w:val="clear" w:color="auto" w:fill="DCE2EF"/>
          </w:tcPr>
          <w:p>
            <w:pPr>
              <w:jc w:val="center"/>
              <w:ind w:left="69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(0.19)</w:t>
            </w:r>
          </w:p>
        </w:tc>
        <w:tc>
          <w:tcPr>
            <w:tcW w:w="220" w:type="dxa"/>
            <w:vAlign w:val="bottom"/>
            <w:shd w:val="clear" w:color="auto" w:fill="DCE2EF"/>
          </w:tcPr>
          <w:p>
            <w:pPr>
              <w:spacing w:after="0"/>
              <w:rPr>
                <w:sz w:val="24"/>
                <w:szCs w:val="24"/>
                <w:color w:val="auto"/>
              </w:rPr>
            </w:pPr>
          </w:p>
        </w:tc>
        <w:tc>
          <w:tcPr>
            <w:tcW w:w="130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NM*</w:t>
            </w:r>
          </w:p>
        </w:tc>
      </w:tr>
      <w:tr>
        <w:trPr>
          <w:trHeight w:val="276"/>
        </w:trPr>
        <w:tc>
          <w:tcPr>
            <w:tcW w:w="60" w:type="dxa"/>
            <w:vAlign w:val="bottom"/>
          </w:tcPr>
          <w:p>
            <w:pPr>
              <w:spacing w:after="0"/>
              <w:rPr>
                <w:sz w:val="23"/>
                <w:szCs w:val="23"/>
                <w:color w:val="auto"/>
              </w:rPr>
            </w:pPr>
          </w:p>
        </w:tc>
        <w:tc>
          <w:tcPr>
            <w:tcW w:w="6260" w:type="dxa"/>
            <w:vAlign w:val="bottom"/>
            <w:gridSpan w:val="2"/>
          </w:tcPr>
          <w:p>
            <w:pPr>
              <w:ind w:left="200"/>
              <w:spacing w:after="0"/>
              <w:rPr>
                <w:sz w:val="20"/>
                <w:szCs w:val="20"/>
                <w:color w:val="auto"/>
              </w:rPr>
            </w:pPr>
            <w:r>
              <w:rPr>
                <w:rFonts w:ascii="Arial" w:cs="Arial" w:eastAsia="Arial" w:hAnsi="Arial"/>
                <w:sz w:val="16"/>
                <w:szCs w:val="16"/>
                <w:color w:val="auto"/>
              </w:rPr>
              <w:t>Diluted</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0.56</w:t>
            </w:r>
          </w:p>
        </w:tc>
        <w:tc>
          <w:tcPr>
            <w:tcW w:w="1140" w:type="dxa"/>
            <w:vAlign w:val="bottom"/>
            <w:gridSpan w:val="2"/>
          </w:tcPr>
          <w:p>
            <w:pPr>
              <w:jc w:val="center"/>
              <w:ind w:left="69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(0.19)</w:t>
            </w:r>
          </w:p>
        </w:tc>
        <w:tc>
          <w:tcPr>
            <w:tcW w:w="2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NM*</w:t>
            </w:r>
          </w:p>
        </w:tc>
      </w:tr>
      <w:tr>
        <w:trPr>
          <w:trHeight w:val="426"/>
        </w:trPr>
        <w:tc>
          <w:tcPr>
            <w:tcW w:w="632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Weighted-average common and common equivalent shares outstanding</w:t>
            </w:r>
          </w:p>
        </w:tc>
        <w:tc>
          <w:tcPr>
            <w:tcW w:w="1000" w:type="dxa"/>
            <w:vAlign w:val="bottom"/>
            <w:shd w:val="clear" w:color="auto" w:fill="DCE2EF"/>
          </w:tcPr>
          <w:p>
            <w:pPr>
              <w:spacing w:after="0"/>
              <w:rPr>
                <w:sz w:val="24"/>
                <w:szCs w:val="24"/>
                <w:color w:val="auto"/>
              </w:rPr>
            </w:pPr>
          </w:p>
        </w:tc>
        <w:tc>
          <w:tcPr>
            <w:tcW w:w="58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92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r>
      <w:tr>
        <w:trPr>
          <w:trHeight w:val="276"/>
        </w:trPr>
        <w:tc>
          <w:tcPr>
            <w:tcW w:w="60" w:type="dxa"/>
            <w:vAlign w:val="bottom"/>
          </w:tcPr>
          <w:p>
            <w:pPr>
              <w:spacing w:after="0"/>
              <w:rPr>
                <w:sz w:val="23"/>
                <w:szCs w:val="23"/>
                <w:color w:val="auto"/>
              </w:rPr>
            </w:pPr>
          </w:p>
        </w:tc>
        <w:tc>
          <w:tcPr>
            <w:tcW w:w="6260" w:type="dxa"/>
            <w:vAlign w:val="bottom"/>
            <w:gridSpan w:val="2"/>
          </w:tcPr>
          <w:p>
            <w:pPr>
              <w:ind w:left="200"/>
              <w:spacing w:after="0"/>
              <w:rPr>
                <w:sz w:val="20"/>
                <w:szCs w:val="20"/>
                <w:color w:val="auto"/>
              </w:rPr>
            </w:pPr>
            <w:r>
              <w:rPr>
                <w:rFonts w:ascii="Arial" w:cs="Arial" w:eastAsia="Arial" w:hAnsi="Arial"/>
                <w:sz w:val="16"/>
                <w:szCs w:val="16"/>
                <w:color w:val="auto"/>
              </w:rPr>
              <w:t>Basic</w:t>
            </w:r>
          </w:p>
        </w:tc>
        <w:tc>
          <w:tcPr>
            <w:tcW w:w="10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61.5</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63.0</w:t>
            </w: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91"/>
        </w:trPr>
        <w:tc>
          <w:tcPr>
            <w:tcW w:w="60" w:type="dxa"/>
            <w:vAlign w:val="bottom"/>
            <w:shd w:val="clear" w:color="auto" w:fill="DCE2EF"/>
          </w:tcPr>
          <w:p>
            <w:pPr>
              <w:spacing w:after="0"/>
              <w:rPr>
                <w:sz w:val="24"/>
                <w:szCs w:val="24"/>
                <w:color w:val="auto"/>
              </w:rPr>
            </w:pPr>
          </w:p>
        </w:tc>
        <w:tc>
          <w:tcPr>
            <w:tcW w:w="6260" w:type="dxa"/>
            <w:vAlign w:val="bottom"/>
            <w:gridSpan w:val="2"/>
            <w:shd w:val="clear" w:color="auto" w:fill="DCE2EF"/>
          </w:tcPr>
          <w:p>
            <w:pPr>
              <w:ind w:left="200"/>
              <w:spacing w:after="0"/>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(1)</w:t>
            </w:r>
          </w:p>
        </w:tc>
        <w:tc>
          <w:tcPr>
            <w:tcW w:w="100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62.0</w:t>
            </w:r>
          </w:p>
        </w:tc>
        <w:tc>
          <w:tcPr>
            <w:tcW w:w="220" w:type="dxa"/>
            <w:vAlign w:val="bottom"/>
            <w:shd w:val="clear" w:color="auto" w:fill="DCE2EF"/>
          </w:tcPr>
          <w:p>
            <w:pPr>
              <w:spacing w:after="0"/>
              <w:rPr>
                <w:sz w:val="24"/>
                <w:szCs w:val="24"/>
                <w:color w:val="auto"/>
              </w:rPr>
            </w:pPr>
          </w:p>
        </w:tc>
        <w:tc>
          <w:tcPr>
            <w:tcW w:w="92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63.0</w:t>
            </w:r>
          </w:p>
        </w:tc>
        <w:tc>
          <w:tcPr>
            <w:tcW w:w="22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r>
      <w:tr>
        <w:trPr>
          <w:trHeight w:val="276"/>
        </w:trPr>
        <w:tc>
          <w:tcPr>
            <w:tcW w:w="6320" w:type="dxa"/>
            <w:vAlign w:val="bottom"/>
            <w:gridSpan w:val="3"/>
          </w:tcPr>
          <w:p>
            <w:pPr>
              <w:ind w:left="60"/>
              <w:spacing w:after="0"/>
              <w:rPr>
                <w:sz w:val="20"/>
                <w:szCs w:val="20"/>
                <w:color w:val="auto"/>
              </w:rPr>
            </w:pPr>
            <w:r>
              <w:rPr>
                <w:rFonts w:ascii="Arial" w:cs="Arial" w:eastAsia="Arial" w:hAnsi="Arial"/>
                <w:sz w:val="16"/>
                <w:szCs w:val="16"/>
                <w:b w:val="1"/>
                <w:bCs w:val="1"/>
                <w:color w:val="auto"/>
              </w:rPr>
              <w:t>Dividends declared per common share</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0.265</w:t>
            </w:r>
          </w:p>
        </w:tc>
        <w:tc>
          <w:tcPr>
            <w:tcW w:w="1140" w:type="dxa"/>
            <w:vAlign w:val="bottom"/>
            <w:gridSpan w:val="2"/>
          </w:tcPr>
          <w:p>
            <w:pPr>
              <w:jc w:val="center"/>
              <w:ind w:left="71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0.225</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-3340735</wp:posOffset>
            </wp:positionV>
            <wp:extent cx="14605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-3340735</wp:posOffset>
            </wp:positionV>
            <wp:extent cx="13716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4998720</wp:posOffset>
            </wp:positionH>
            <wp:positionV relativeFrom="paragraph">
              <wp:posOffset>-2450465</wp:posOffset>
            </wp:positionV>
            <wp:extent cx="171450" cy="213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21399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-2450465</wp:posOffset>
            </wp:positionV>
            <wp:extent cx="162560" cy="213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2560" cy="21399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-1357630</wp:posOffset>
            </wp:positionV>
            <wp:extent cx="1460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-1331595</wp:posOffset>
            </wp:positionV>
            <wp:extent cx="1460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-1537335</wp:posOffset>
            </wp:positionV>
            <wp:extent cx="1460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-1357630</wp:posOffset>
            </wp:positionV>
            <wp:extent cx="137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-1331595</wp:posOffset>
            </wp:positionV>
            <wp:extent cx="137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-1537335</wp:posOffset>
            </wp:positionV>
            <wp:extent cx="137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w:t>
      </w:r>
      <w:r>
        <w:rPr>
          <w:rFonts w:ascii="Arial" w:cs="Arial" w:eastAsia="Arial" w:hAnsi="Arial"/>
          <w:sz w:val="12"/>
          <w:szCs w:val="12"/>
          <w:color w:val="auto"/>
        </w:rPr>
        <w:t>Not meaningful (due to variance greater than or equal to +/-100%)</w:t>
      </w:r>
    </w:p>
    <w:p>
      <w:pPr>
        <w:spacing w:after="0" w:line="199" w:lineRule="exact"/>
        <w:rPr>
          <w:sz w:val="20"/>
          <w:szCs w:val="20"/>
          <w:color w:val="auto"/>
        </w:rPr>
      </w:pPr>
    </w:p>
    <w:p>
      <w:pPr>
        <w:ind w:left="60" w:right="60" w:hanging="4"/>
        <w:spacing w:after="0" w:line="213" w:lineRule="auto"/>
        <w:tabs>
          <w:tab w:leader="none" w:pos="198"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The dilutive impact of the Company’s PSUs, RSUs and stock options has been excluded from the calculation of diluted earnings (loss) per share for the three months ended October 31, 2024 because their inclusion would have an antidilutive effect on the net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5" w:right="45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620"/>
        <w:spacing w:after="0" w:line="368" w:lineRule="auto"/>
        <w:rPr>
          <w:sz w:val="20"/>
          <w:szCs w:val="20"/>
          <w:color w:val="auto"/>
        </w:rPr>
      </w:pPr>
      <w:r>
        <w:rPr>
          <w:rFonts w:ascii="Arial" w:cs="Arial" w:eastAsia="Arial" w:hAnsi="Arial"/>
          <w:sz w:val="19"/>
          <w:szCs w:val="19"/>
          <w:b w:val="1"/>
          <w:bCs w:val="1"/>
          <w:color w:val="0046AD"/>
        </w:rPr>
        <w:t>ABM INDUSTRIES INCORPORATED AND SUBSIDIARIES CONSOLIDATED INCOME STATEMENT INFORMATION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82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6"/>
                <w:szCs w:val="16"/>
                <w:b w:val="1"/>
                <w:bCs w:val="1"/>
                <w:color w:val="auto"/>
              </w:rPr>
              <w:t>Years Ended October 31,</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5"/>
        </w:trPr>
        <w:tc>
          <w:tcPr>
            <w:tcW w:w="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Increase /</w:t>
            </w:r>
          </w:p>
        </w:tc>
        <w:tc>
          <w:tcPr>
            <w:tcW w:w="200" w:type="dxa"/>
            <w:vAlign w:val="bottom"/>
          </w:tcPr>
          <w:p>
            <w:pPr>
              <w:spacing w:after="0"/>
              <w:rPr>
                <w:sz w:val="18"/>
                <w:szCs w:val="18"/>
                <w:color w:val="auto"/>
              </w:rPr>
            </w:pPr>
          </w:p>
        </w:tc>
      </w:tr>
      <w:tr>
        <w:trPr>
          <w:trHeight w:val="203"/>
        </w:trPr>
        <w:tc>
          <w:tcPr>
            <w:tcW w:w="6780" w:type="dxa"/>
            <w:vAlign w:val="bottom"/>
            <w:gridSpan w:val="3"/>
          </w:tcPr>
          <w:p>
            <w:pPr>
              <w:ind w:left="60"/>
              <w:spacing w:after="0"/>
              <w:rPr>
                <w:sz w:val="20"/>
                <w:szCs w:val="20"/>
                <w:color w:val="auto"/>
              </w:rPr>
            </w:pPr>
            <w:r>
              <w:rPr>
                <w:rFonts w:ascii="Times New Roman" w:cs="Times New Roman" w:eastAsia="Times New Roman" w:hAnsi="Times New Roman"/>
                <w:sz w:val="13"/>
                <w:szCs w:val="13"/>
                <w:i w:val="1"/>
                <w:iCs w:val="1"/>
                <w:color w:val="auto"/>
              </w:rPr>
              <w:t>(in millions, except per share amounts)</w:t>
            </w: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rPr>
              <w:t>2025</w:t>
            </w:r>
          </w:p>
        </w:tc>
        <w:tc>
          <w:tcPr>
            <w:tcW w:w="1520" w:type="dxa"/>
            <w:vAlign w:val="bottom"/>
            <w:gridSpan w:val="3"/>
          </w:tcPr>
          <w:p>
            <w:pPr>
              <w:jc w:val="center"/>
              <w:ind w:left="159"/>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(Decrease)</w:t>
            </w:r>
          </w:p>
        </w:tc>
        <w:tc>
          <w:tcPr>
            <w:tcW w:w="20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43"/>
        </w:trPr>
        <w:tc>
          <w:tcPr>
            <w:tcW w:w="678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720" w:type="dxa"/>
            <w:vAlign w:val="bottom"/>
            <w:tcBorders>
              <w:bottom w:val="single" w:sz="8" w:color="DCE2EF"/>
            </w:tcBorders>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8,745.9</w:t>
            </w:r>
          </w:p>
        </w:tc>
        <w:tc>
          <w:tcPr>
            <w:tcW w:w="960" w:type="dxa"/>
            <w:vAlign w:val="bottom"/>
            <w:tcBorders>
              <w:bottom w:val="single" w:sz="8" w:color="DCE2EF"/>
            </w:tcBorders>
            <w:gridSpan w:val="2"/>
            <w:shd w:val="clear" w:color="auto" w:fill="DCE2EF"/>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8,359.4</w:t>
            </w:r>
          </w:p>
        </w:tc>
        <w:tc>
          <w:tcPr>
            <w:tcW w:w="1320" w:type="dxa"/>
            <w:vAlign w:val="bottom"/>
            <w:tcBorders>
              <w:bottom w:val="single" w:sz="8" w:color="DCE2EF"/>
            </w:tcBorders>
            <w:gridSpan w:val="2"/>
            <w:shd w:val="clear" w:color="auto" w:fill="DCE2EF"/>
          </w:tcPr>
          <w:p>
            <w:pPr>
              <w:jc w:val="right"/>
              <w:spacing w:after="0"/>
              <w:rPr>
                <w:sz w:val="20"/>
                <w:szCs w:val="20"/>
                <w:color w:val="auto"/>
              </w:rPr>
            </w:pPr>
            <w:r>
              <w:rPr>
                <w:rFonts w:ascii="Arial" w:cs="Arial" w:eastAsia="Arial" w:hAnsi="Arial"/>
                <w:sz w:val="16"/>
                <w:szCs w:val="16"/>
                <w:color w:val="auto"/>
              </w:rPr>
              <w:t>4.6</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76"/>
        </w:trPr>
        <w:tc>
          <w:tcPr>
            <w:tcW w:w="6780" w:type="dxa"/>
            <w:vAlign w:val="bottom"/>
            <w:gridSpan w:val="3"/>
          </w:tcPr>
          <w:p>
            <w:pPr>
              <w:ind w:left="60"/>
              <w:spacing w:after="0"/>
              <w:rPr>
                <w:sz w:val="20"/>
                <w:szCs w:val="20"/>
                <w:color w:val="auto"/>
              </w:rPr>
            </w:pPr>
            <w:r>
              <w:rPr>
                <w:rFonts w:ascii="Arial" w:cs="Arial" w:eastAsia="Arial" w:hAnsi="Arial"/>
                <w:sz w:val="16"/>
                <w:szCs w:val="16"/>
                <w:color w:val="auto"/>
              </w:rPr>
              <w:t>Operating expenses</w:t>
            </w:r>
          </w:p>
        </w:tc>
        <w:tc>
          <w:tcPr>
            <w:tcW w:w="7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7,670.8</w:t>
            </w: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7,325.9</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1"/>
        </w:trPr>
        <w:tc>
          <w:tcPr>
            <w:tcW w:w="678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Selling, general and administrative expenses</w:t>
            </w:r>
          </w:p>
        </w:tc>
        <w:tc>
          <w:tcPr>
            <w:tcW w:w="7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697.4</w:t>
            </w:r>
          </w:p>
        </w:tc>
        <w:tc>
          <w:tcPr>
            <w:tcW w:w="240" w:type="dxa"/>
            <w:vAlign w:val="bottom"/>
            <w:shd w:val="clear" w:color="auto" w:fill="DCE2EF"/>
          </w:tcPr>
          <w:p>
            <w:pPr>
              <w:spacing w:after="0"/>
              <w:rPr>
                <w:sz w:val="24"/>
                <w:szCs w:val="24"/>
                <w:color w:val="auto"/>
              </w:rPr>
            </w:pPr>
          </w:p>
        </w:tc>
        <w:tc>
          <w:tcPr>
            <w:tcW w:w="72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765.3</w:t>
            </w:r>
          </w:p>
        </w:tc>
        <w:tc>
          <w:tcPr>
            <w:tcW w:w="1320" w:type="dxa"/>
            <w:vAlign w:val="bottom"/>
            <w:gridSpan w:val="2"/>
            <w:shd w:val="clear" w:color="auto" w:fill="DCE2EF"/>
          </w:tcPr>
          <w:p>
            <w:pPr>
              <w:ind w:left="680"/>
              <w:spacing w:after="0"/>
              <w:rPr>
                <w:sz w:val="20"/>
                <w:szCs w:val="20"/>
                <w:color w:val="auto"/>
              </w:rPr>
            </w:pPr>
            <w:r>
              <w:rPr>
                <w:rFonts w:ascii="Arial" w:cs="Arial" w:eastAsia="Arial" w:hAnsi="Arial"/>
                <w:sz w:val="16"/>
                <w:szCs w:val="16"/>
                <w:color w:val="auto"/>
              </w:rPr>
              <w:t>(8.9)</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76"/>
        </w:trPr>
        <w:tc>
          <w:tcPr>
            <w:tcW w:w="6780" w:type="dxa"/>
            <w:vAlign w:val="bottom"/>
            <w:gridSpan w:val="3"/>
          </w:tcPr>
          <w:p>
            <w:pPr>
              <w:ind w:left="60"/>
              <w:spacing w:after="0"/>
              <w:rPr>
                <w:sz w:val="20"/>
                <w:szCs w:val="20"/>
                <w:color w:val="auto"/>
              </w:rPr>
            </w:pPr>
            <w:r>
              <w:rPr>
                <w:rFonts w:ascii="Arial" w:cs="Arial" w:eastAsia="Arial" w:hAnsi="Arial"/>
                <w:sz w:val="16"/>
                <w:szCs w:val="16"/>
                <w:color w:val="auto"/>
              </w:rPr>
              <w:t>Restructuring and related expenses</w:t>
            </w:r>
          </w:p>
        </w:tc>
        <w:tc>
          <w:tcPr>
            <w:tcW w:w="7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13.4</w:t>
            </w: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NM*</w:t>
            </w:r>
          </w:p>
        </w:tc>
      </w:tr>
      <w:tr>
        <w:trPr>
          <w:trHeight w:val="285"/>
        </w:trPr>
        <w:tc>
          <w:tcPr>
            <w:tcW w:w="678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Amortization of intangible assets</w:t>
            </w:r>
          </w:p>
        </w:tc>
        <w:tc>
          <w:tcPr>
            <w:tcW w:w="72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52.5</w:t>
            </w:r>
          </w:p>
        </w:tc>
        <w:tc>
          <w:tcPr>
            <w:tcW w:w="240" w:type="dxa"/>
            <w:vAlign w:val="bottom"/>
            <w:tcBorders>
              <w:bottom w:val="single" w:sz="8" w:color="auto"/>
            </w:tcBorders>
            <w:shd w:val="clear" w:color="auto" w:fill="DCE2EF"/>
          </w:tcPr>
          <w:p>
            <w:pPr>
              <w:spacing w:after="0"/>
              <w:rPr>
                <w:sz w:val="24"/>
                <w:szCs w:val="24"/>
                <w:color w:val="auto"/>
              </w:rPr>
            </w:pPr>
          </w:p>
        </w:tc>
        <w:tc>
          <w:tcPr>
            <w:tcW w:w="72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56.1</w:t>
            </w:r>
          </w:p>
        </w:tc>
        <w:tc>
          <w:tcPr>
            <w:tcW w:w="1320" w:type="dxa"/>
            <w:vAlign w:val="bottom"/>
            <w:gridSpan w:val="2"/>
            <w:shd w:val="clear" w:color="auto" w:fill="DCE2EF"/>
          </w:tcPr>
          <w:p>
            <w:pPr>
              <w:ind w:left="680"/>
              <w:spacing w:after="0"/>
              <w:rPr>
                <w:sz w:val="20"/>
                <w:szCs w:val="20"/>
                <w:color w:val="auto"/>
              </w:rPr>
            </w:pPr>
            <w:r>
              <w:rPr>
                <w:rFonts w:ascii="Arial" w:cs="Arial" w:eastAsia="Arial" w:hAnsi="Arial"/>
                <w:sz w:val="16"/>
                <w:szCs w:val="16"/>
                <w:color w:val="auto"/>
              </w:rPr>
              <w:t>(6.4)</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66"/>
        </w:trPr>
        <w:tc>
          <w:tcPr>
            <w:tcW w:w="6780" w:type="dxa"/>
            <w:vAlign w:val="bottom"/>
            <w:gridSpan w:val="3"/>
          </w:tcPr>
          <w:p>
            <w:pPr>
              <w:ind w:left="60"/>
              <w:spacing w:after="0"/>
              <w:rPr>
                <w:sz w:val="20"/>
                <w:szCs w:val="20"/>
                <w:color w:val="auto"/>
              </w:rPr>
            </w:pPr>
            <w:r>
              <w:rPr>
                <w:rFonts w:ascii="Arial" w:cs="Arial" w:eastAsia="Arial" w:hAnsi="Arial"/>
                <w:sz w:val="16"/>
                <w:szCs w:val="16"/>
                <w:b w:val="1"/>
                <w:bCs w:val="1"/>
                <w:color w:val="auto"/>
              </w:rPr>
              <w:t>Operating profit</w:t>
            </w:r>
          </w:p>
        </w:tc>
        <w:tc>
          <w:tcPr>
            <w:tcW w:w="7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311.7</w:t>
            </w:r>
          </w:p>
        </w:tc>
        <w:tc>
          <w:tcPr>
            <w:tcW w:w="240" w:type="dxa"/>
            <w:vAlign w:val="bottom"/>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w:t>
            </w:r>
          </w:p>
        </w:tc>
        <w:tc>
          <w:tcPr>
            <w:tcW w:w="1320" w:type="dxa"/>
            <w:vAlign w:val="bottom"/>
            <w:gridSpan w:val="2"/>
          </w:tcPr>
          <w:p>
            <w:pPr>
              <w:ind w:left="680"/>
              <w:spacing w:after="0"/>
              <w:rPr>
                <w:sz w:val="20"/>
                <w:szCs w:val="20"/>
                <w:color w:val="auto"/>
              </w:rPr>
            </w:pPr>
            <w:r>
              <w:rPr>
                <w:rFonts w:ascii="Arial" w:cs="Arial" w:eastAsia="Arial" w:hAnsi="Arial"/>
                <w:sz w:val="16"/>
                <w:szCs w:val="16"/>
                <w:color w:val="auto"/>
              </w:rPr>
              <w:t>47.0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7"/>
        </w:trPr>
        <w:tc>
          <w:tcPr>
            <w:tcW w:w="678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Income from unconsolidated affiliates</w:t>
            </w:r>
          </w:p>
        </w:tc>
        <w:tc>
          <w:tcPr>
            <w:tcW w:w="72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4.6</w:t>
            </w:r>
          </w:p>
        </w:tc>
        <w:tc>
          <w:tcPr>
            <w:tcW w:w="240" w:type="dxa"/>
            <w:vAlign w:val="bottom"/>
            <w:tcBorders>
              <w:bottom w:val="single" w:sz="8" w:color="DCE2EF"/>
            </w:tcBorders>
            <w:shd w:val="clear" w:color="auto" w:fill="DCE2EF"/>
          </w:tcPr>
          <w:p>
            <w:pPr>
              <w:spacing w:after="0"/>
              <w:rPr>
                <w:sz w:val="21"/>
                <w:szCs w:val="21"/>
                <w:color w:val="auto"/>
              </w:rPr>
            </w:pPr>
          </w:p>
        </w:tc>
        <w:tc>
          <w:tcPr>
            <w:tcW w:w="720" w:type="dxa"/>
            <w:vAlign w:val="bottom"/>
            <w:tcBorders>
              <w:bottom w:val="single" w:sz="8" w:color="DCE2EF"/>
            </w:tcBorders>
            <w:shd w:val="clear" w:color="auto" w:fill="DCE2EF"/>
          </w:tcPr>
          <w:p>
            <w:pPr>
              <w:spacing w:after="0"/>
              <w:rPr>
                <w:sz w:val="21"/>
                <w:szCs w:val="21"/>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6.5</w:t>
            </w:r>
          </w:p>
        </w:tc>
        <w:tc>
          <w:tcPr>
            <w:tcW w:w="1320" w:type="dxa"/>
            <w:vAlign w:val="bottom"/>
            <w:tcBorders>
              <w:bottom w:val="single" w:sz="8" w:color="DCE2EF"/>
            </w:tcBorders>
            <w:gridSpan w:val="2"/>
            <w:shd w:val="clear" w:color="auto" w:fill="DCE2EF"/>
          </w:tcPr>
          <w:p>
            <w:pPr>
              <w:ind w:left="680"/>
              <w:spacing w:after="0"/>
              <w:rPr>
                <w:sz w:val="20"/>
                <w:szCs w:val="20"/>
                <w:color w:val="auto"/>
              </w:rPr>
            </w:pPr>
            <w:r>
              <w:rPr>
                <w:rFonts w:ascii="Arial" w:cs="Arial" w:eastAsia="Arial" w:hAnsi="Arial"/>
                <w:sz w:val="16"/>
                <w:szCs w:val="16"/>
                <w:color w:val="auto"/>
              </w:rPr>
              <w:t>(29.3)</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82"/>
        </w:trPr>
        <w:tc>
          <w:tcPr>
            <w:tcW w:w="6780" w:type="dxa"/>
            <w:vAlign w:val="bottom"/>
            <w:gridSpan w:val="3"/>
          </w:tcPr>
          <w:p>
            <w:pPr>
              <w:ind w:left="60"/>
              <w:spacing w:after="0"/>
              <w:rPr>
                <w:sz w:val="20"/>
                <w:szCs w:val="20"/>
                <w:color w:val="auto"/>
              </w:rPr>
            </w:pPr>
            <w:r>
              <w:rPr>
                <w:rFonts w:ascii="Arial" w:cs="Arial" w:eastAsia="Arial" w:hAnsi="Arial"/>
                <w:sz w:val="16"/>
                <w:szCs w:val="16"/>
                <w:color w:val="auto"/>
              </w:rPr>
              <w:t>Interest expense</w:t>
            </w:r>
          </w:p>
        </w:tc>
        <w:tc>
          <w:tcPr>
            <w:tcW w:w="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w:t>
            </w:r>
          </w:p>
        </w:tc>
        <w:tc>
          <w:tcPr>
            <w:tcW w:w="2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1320" w:type="dxa"/>
            <w:vAlign w:val="bottom"/>
            <w:gridSpan w:val="2"/>
          </w:tcPr>
          <w:p>
            <w:pPr>
              <w:ind w:left="680"/>
              <w:spacing w:after="0"/>
              <w:rPr>
                <w:sz w:val="20"/>
                <w:szCs w:val="20"/>
                <w:color w:val="auto"/>
              </w:rPr>
            </w:pPr>
            <w:r>
              <w:rPr>
                <w:rFonts w:ascii="Arial" w:cs="Arial" w:eastAsia="Arial" w:hAnsi="Arial"/>
                <w:sz w:val="16"/>
                <w:szCs w:val="16"/>
                <w:color w:val="auto"/>
              </w:rPr>
              <w:t>(13.4)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5"/>
        </w:trPr>
        <w:tc>
          <w:tcPr>
            <w:tcW w:w="678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Income before income taxes</w:t>
            </w:r>
          </w:p>
        </w:tc>
        <w:tc>
          <w:tcPr>
            <w:tcW w:w="72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219.9</w:t>
            </w:r>
          </w:p>
        </w:tc>
        <w:tc>
          <w:tcPr>
            <w:tcW w:w="240" w:type="dxa"/>
            <w:vAlign w:val="bottom"/>
            <w:tcBorders>
              <w:bottom w:val="single" w:sz="8" w:color="DCE2EF"/>
            </w:tcBorders>
            <w:shd w:val="clear" w:color="auto" w:fill="DCE2EF"/>
          </w:tcPr>
          <w:p>
            <w:pPr>
              <w:spacing w:after="0"/>
              <w:rPr>
                <w:sz w:val="21"/>
                <w:szCs w:val="21"/>
                <w:color w:val="auto"/>
              </w:rPr>
            </w:pPr>
          </w:p>
        </w:tc>
        <w:tc>
          <w:tcPr>
            <w:tcW w:w="720" w:type="dxa"/>
            <w:vAlign w:val="bottom"/>
            <w:tcBorders>
              <w:bottom w:val="single" w:sz="8" w:color="DCE2EF"/>
            </w:tcBorders>
            <w:shd w:val="clear" w:color="auto" w:fill="DCE2EF"/>
          </w:tcPr>
          <w:p>
            <w:pPr>
              <w:spacing w:after="0"/>
              <w:rPr>
                <w:sz w:val="21"/>
                <w:szCs w:val="21"/>
                <w:color w:val="auto"/>
              </w:rPr>
            </w:pPr>
          </w:p>
        </w:tc>
        <w:tc>
          <w:tcPr>
            <w:tcW w:w="56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133.6</w:t>
            </w:r>
          </w:p>
        </w:tc>
        <w:tc>
          <w:tcPr>
            <w:tcW w:w="1320" w:type="dxa"/>
            <w:vAlign w:val="bottom"/>
            <w:tcBorders>
              <w:bottom w:val="single" w:sz="8" w:color="DCE2EF"/>
            </w:tcBorders>
            <w:gridSpan w:val="2"/>
            <w:shd w:val="clear" w:color="auto" w:fill="DCE2EF"/>
          </w:tcPr>
          <w:p>
            <w:pPr>
              <w:ind w:left="680"/>
              <w:spacing w:after="0"/>
              <w:rPr>
                <w:sz w:val="20"/>
                <w:szCs w:val="20"/>
                <w:color w:val="auto"/>
              </w:rPr>
            </w:pPr>
            <w:r>
              <w:rPr>
                <w:rFonts w:ascii="Arial" w:cs="Arial" w:eastAsia="Arial" w:hAnsi="Arial"/>
                <w:sz w:val="16"/>
                <w:szCs w:val="16"/>
                <w:color w:val="auto"/>
              </w:rPr>
              <w:t>64.6</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77"/>
        </w:trPr>
        <w:tc>
          <w:tcPr>
            <w:tcW w:w="6780" w:type="dxa"/>
            <w:vAlign w:val="bottom"/>
            <w:tcBorders>
              <w:bottom w:val="single" w:sz="8" w:color="DCE2EF"/>
            </w:tcBorders>
            <w:gridSpan w:val="3"/>
          </w:tcPr>
          <w:p>
            <w:pPr>
              <w:ind w:left="60"/>
              <w:spacing w:after="0"/>
              <w:rPr>
                <w:sz w:val="20"/>
                <w:szCs w:val="20"/>
                <w:color w:val="auto"/>
              </w:rPr>
            </w:pPr>
            <w:r>
              <w:rPr>
                <w:rFonts w:ascii="Arial" w:cs="Arial" w:eastAsia="Arial" w:hAnsi="Arial"/>
                <w:sz w:val="16"/>
                <w:szCs w:val="16"/>
                <w:color w:val="auto"/>
              </w:rPr>
              <w:t>Income tax provision</w:t>
            </w:r>
          </w:p>
        </w:tc>
        <w:tc>
          <w:tcPr>
            <w:tcW w:w="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240" w:type="dxa"/>
            <w:vAlign w:val="bottom"/>
            <w:tcBorders>
              <w:bottom w:val="single" w:sz="8" w:color="DCE2E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1320" w:type="dxa"/>
            <w:vAlign w:val="bottom"/>
            <w:tcBorders>
              <w:bottom w:val="single" w:sz="8" w:color="DCE2EF"/>
            </w:tcBorders>
            <w:gridSpan w:val="2"/>
          </w:tcPr>
          <w:p>
            <w:pPr>
              <w:ind w:left="680"/>
              <w:spacing w:after="0"/>
              <w:rPr>
                <w:sz w:val="20"/>
                <w:szCs w:val="20"/>
                <w:color w:val="auto"/>
              </w:rPr>
            </w:pPr>
            <w:r>
              <w:rPr>
                <w:rFonts w:ascii="Arial" w:cs="Arial" w:eastAsia="Arial" w:hAnsi="Arial"/>
                <w:sz w:val="16"/>
                <w:szCs w:val="16"/>
                <w:color w:val="auto"/>
              </w:rPr>
              <w:t>(10.2)</w:t>
            </w:r>
          </w:p>
        </w:tc>
        <w:tc>
          <w:tcPr>
            <w:tcW w:w="200" w:type="dxa"/>
            <w:vAlign w:val="bottom"/>
            <w:tcBorders>
              <w:bottom w:val="single" w:sz="8" w:color="DCE2EF"/>
            </w:tcBorders>
          </w:tcPr>
          <w:p>
            <w:pPr>
              <w:jc w:val="right"/>
              <w:spacing w:after="0"/>
              <w:rPr>
                <w:sz w:val="20"/>
                <w:szCs w:val="20"/>
                <w:color w:val="auto"/>
              </w:rPr>
            </w:pPr>
            <w:r>
              <w:rPr>
                <w:rFonts w:ascii="Arial" w:cs="Arial" w:eastAsia="Arial" w:hAnsi="Arial"/>
                <w:sz w:val="16"/>
                <w:szCs w:val="16"/>
                <w:color w:val="auto"/>
              </w:rPr>
              <w:t>%</w:t>
            </w:r>
          </w:p>
        </w:tc>
      </w:tr>
      <w:tr>
        <w:trPr>
          <w:trHeight w:val="310"/>
        </w:trPr>
        <w:tc>
          <w:tcPr>
            <w:tcW w:w="678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Net income</w:t>
            </w:r>
          </w:p>
        </w:tc>
        <w:tc>
          <w:tcPr>
            <w:tcW w:w="72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162.4</w:t>
            </w:r>
          </w:p>
        </w:tc>
        <w:tc>
          <w:tcPr>
            <w:tcW w:w="240" w:type="dxa"/>
            <w:vAlign w:val="bottom"/>
            <w:tcBorders>
              <w:bottom w:val="single" w:sz="8" w:color="DCE2EF"/>
            </w:tcBorders>
            <w:shd w:val="clear" w:color="auto" w:fill="DCE2EF"/>
          </w:tcPr>
          <w:p>
            <w:pPr>
              <w:spacing w:after="0"/>
              <w:rPr>
                <w:sz w:val="24"/>
                <w:szCs w:val="24"/>
                <w:color w:val="auto"/>
              </w:rPr>
            </w:pPr>
          </w:p>
        </w:tc>
        <w:tc>
          <w:tcPr>
            <w:tcW w:w="72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81.4</w:t>
            </w:r>
          </w:p>
        </w:tc>
        <w:tc>
          <w:tcPr>
            <w:tcW w:w="1320" w:type="dxa"/>
            <w:vAlign w:val="bottom"/>
            <w:tcBorders>
              <w:bottom w:val="single" w:sz="8" w:color="DCE2EF"/>
            </w:tcBorders>
            <w:gridSpan w:val="2"/>
            <w:shd w:val="clear" w:color="auto" w:fill="DCE2EF"/>
          </w:tcPr>
          <w:p>
            <w:pPr>
              <w:ind w:left="680"/>
              <w:spacing w:after="0"/>
              <w:rPr>
                <w:sz w:val="20"/>
                <w:szCs w:val="20"/>
                <w:color w:val="auto"/>
              </w:rPr>
            </w:pPr>
            <w:r>
              <w:rPr>
                <w:rFonts w:ascii="Arial" w:cs="Arial" w:eastAsia="Arial" w:hAnsi="Arial"/>
                <w:sz w:val="16"/>
                <w:szCs w:val="16"/>
                <w:color w:val="auto"/>
              </w:rPr>
              <w:t>99.6</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6780" w:type="dxa"/>
            <w:vAlign w:val="bottom"/>
            <w:gridSpan w:val="3"/>
          </w:tcPr>
          <w:p>
            <w:pPr>
              <w:ind w:left="60"/>
              <w:spacing w:after="0"/>
              <w:rPr>
                <w:sz w:val="20"/>
                <w:szCs w:val="20"/>
                <w:color w:val="auto"/>
              </w:rPr>
            </w:pPr>
            <w:r>
              <w:rPr>
                <w:rFonts w:ascii="Arial" w:cs="Arial" w:eastAsia="Arial" w:hAnsi="Arial"/>
                <w:sz w:val="16"/>
                <w:szCs w:val="16"/>
                <w:b w:val="1"/>
                <w:bCs w:val="1"/>
                <w:color w:val="auto"/>
              </w:rPr>
              <w:t>Net income per common share</w:t>
            </w: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87"/>
        </w:trPr>
        <w:tc>
          <w:tcPr>
            <w:tcW w:w="60" w:type="dxa"/>
            <w:vAlign w:val="bottom"/>
            <w:shd w:val="clear" w:color="auto" w:fill="DCE2EF"/>
          </w:tcPr>
          <w:p>
            <w:pPr>
              <w:spacing w:after="0"/>
              <w:rPr>
                <w:sz w:val="24"/>
                <w:szCs w:val="24"/>
                <w:color w:val="auto"/>
              </w:rPr>
            </w:pPr>
          </w:p>
        </w:tc>
        <w:tc>
          <w:tcPr>
            <w:tcW w:w="6720" w:type="dxa"/>
            <w:vAlign w:val="bottom"/>
            <w:gridSpan w:val="2"/>
            <w:shd w:val="clear" w:color="auto" w:fill="DCE2EF"/>
          </w:tcPr>
          <w:p>
            <w:pPr>
              <w:ind w:left="220"/>
              <w:spacing w:after="0"/>
              <w:rPr>
                <w:sz w:val="20"/>
                <w:szCs w:val="20"/>
                <w:color w:val="auto"/>
              </w:rPr>
            </w:pPr>
            <w:r>
              <w:rPr>
                <w:rFonts w:ascii="Arial" w:cs="Arial" w:eastAsia="Arial" w:hAnsi="Arial"/>
                <w:sz w:val="16"/>
                <w:szCs w:val="16"/>
                <w:color w:val="auto"/>
              </w:rPr>
              <w:t>Basic</w:t>
            </w:r>
          </w:p>
        </w:tc>
        <w:tc>
          <w:tcPr>
            <w:tcW w:w="720" w:type="dxa"/>
            <w:vAlign w:val="bottom"/>
            <w:shd w:val="clear" w:color="auto" w:fill="DCE2EF"/>
          </w:tcPr>
          <w:p>
            <w:pPr>
              <w:jc w:val="center"/>
              <w:ind w:left="51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2.61</w:t>
            </w:r>
          </w:p>
        </w:tc>
        <w:tc>
          <w:tcPr>
            <w:tcW w:w="960" w:type="dxa"/>
            <w:vAlign w:val="bottom"/>
            <w:gridSpan w:val="2"/>
            <w:shd w:val="clear" w:color="auto" w:fill="DCE2EF"/>
          </w:tcPr>
          <w:p>
            <w:pPr>
              <w:jc w:val="center"/>
              <w:ind w:left="7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1.29</w:t>
            </w:r>
          </w:p>
        </w:tc>
        <w:tc>
          <w:tcPr>
            <w:tcW w:w="220" w:type="dxa"/>
            <w:vAlign w:val="bottom"/>
            <w:shd w:val="clear" w:color="auto" w:fill="DCE2EF"/>
          </w:tcPr>
          <w:p>
            <w:pPr>
              <w:spacing w:after="0"/>
              <w:rPr>
                <w:sz w:val="24"/>
                <w:szCs w:val="24"/>
                <w:color w:val="auto"/>
              </w:rPr>
            </w:pPr>
          </w:p>
        </w:tc>
        <w:tc>
          <w:tcPr>
            <w:tcW w:w="130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NM*</w:t>
            </w:r>
          </w:p>
        </w:tc>
      </w:tr>
      <w:tr>
        <w:trPr>
          <w:trHeight w:val="276"/>
        </w:trPr>
        <w:tc>
          <w:tcPr>
            <w:tcW w:w="60" w:type="dxa"/>
            <w:vAlign w:val="bottom"/>
          </w:tcPr>
          <w:p>
            <w:pPr>
              <w:spacing w:after="0"/>
              <w:rPr>
                <w:sz w:val="23"/>
                <w:szCs w:val="23"/>
                <w:color w:val="auto"/>
              </w:rPr>
            </w:pPr>
          </w:p>
        </w:tc>
        <w:tc>
          <w:tcPr>
            <w:tcW w:w="6720" w:type="dxa"/>
            <w:vAlign w:val="bottom"/>
            <w:gridSpan w:val="2"/>
          </w:tcPr>
          <w:p>
            <w:pPr>
              <w:ind w:left="220"/>
              <w:spacing w:after="0"/>
              <w:rPr>
                <w:sz w:val="20"/>
                <w:szCs w:val="20"/>
                <w:color w:val="auto"/>
              </w:rPr>
            </w:pPr>
            <w:r>
              <w:rPr>
                <w:rFonts w:ascii="Arial" w:cs="Arial" w:eastAsia="Arial" w:hAnsi="Arial"/>
                <w:sz w:val="16"/>
                <w:szCs w:val="16"/>
                <w:color w:val="auto"/>
              </w:rPr>
              <w:t>Diluted</w:t>
            </w:r>
          </w:p>
        </w:tc>
        <w:tc>
          <w:tcPr>
            <w:tcW w:w="720" w:type="dxa"/>
            <w:vAlign w:val="bottom"/>
          </w:tcPr>
          <w:p>
            <w:pPr>
              <w:jc w:val="center"/>
              <w:ind w:left="51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2.59</w:t>
            </w:r>
          </w:p>
        </w:tc>
        <w:tc>
          <w:tcPr>
            <w:tcW w:w="960" w:type="dxa"/>
            <w:vAlign w:val="bottom"/>
            <w:gridSpan w:val="2"/>
          </w:tcPr>
          <w:p>
            <w:pPr>
              <w:jc w:val="center"/>
              <w:ind w:left="7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1.28</w:t>
            </w:r>
          </w:p>
        </w:tc>
        <w:tc>
          <w:tcPr>
            <w:tcW w:w="22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NM*</w:t>
            </w:r>
          </w:p>
        </w:tc>
      </w:tr>
      <w:tr>
        <w:trPr>
          <w:trHeight w:val="426"/>
        </w:trPr>
        <w:tc>
          <w:tcPr>
            <w:tcW w:w="678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Weighted-average common and common equivalent shares outstanding</w:t>
            </w:r>
          </w:p>
        </w:tc>
        <w:tc>
          <w:tcPr>
            <w:tcW w:w="720" w:type="dxa"/>
            <w:vAlign w:val="bottom"/>
            <w:shd w:val="clear" w:color="auto" w:fill="DCE2EF"/>
          </w:tcPr>
          <w:p>
            <w:pPr>
              <w:spacing w:after="0"/>
              <w:rPr>
                <w:sz w:val="24"/>
                <w:szCs w:val="24"/>
                <w:color w:val="auto"/>
              </w:rPr>
            </w:pPr>
          </w:p>
        </w:tc>
        <w:tc>
          <w:tcPr>
            <w:tcW w:w="58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72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r>
      <w:tr>
        <w:trPr>
          <w:trHeight w:val="276"/>
        </w:trPr>
        <w:tc>
          <w:tcPr>
            <w:tcW w:w="60" w:type="dxa"/>
            <w:vAlign w:val="bottom"/>
          </w:tcPr>
          <w:p>
            <w:pPr>
              <w:spacing w:after="0"/>
              <w:rPr>
                <w:sz w:val="23"/>
                <w:szCs w:val="23"/>
                <w:color w:val="auto"/>
              </w:rPr>
            </w:pPr>
          </w:p>
        </w:tc>
        <w:tc>
          <w:tcPr>
            <w:tcW w:w="6720" w:type="dxa"/>
            <w:vAlign w:val="bottom"/>
            <w:gridSpan w:val="2"/>
          </w:tcPr>
          <w:p>
            <w:pPr>
              <w:ind w:left="220"/>
              <w:spacing w:after="0"/>
              <w:rPr>
                <w:sz w:val="20"/>
                <w:szCs w:val="20"/>
                <w:color w:val="auto"/>
              </w:rPr>
            </w:pPr>
            <w:r>
              <w:rPr>
                <w:rFonts w:ascii="Arial" w:cs="Arial" w:eastAsia="Arial" w:hAnsi="Arial"/>
                <w:sz w:val="16"/>
                <w:szCs w:val="16"/>
                <w:color w:val="auto"/>
              </w:rPr>
              <w:t>Basic</w:t>
            </w:r>
          </w:p>
        </w:tc>
        <w:tc>
          <w:tcPr>
            <w:tcW w:w="7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62.3</w:t>
            </w: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63.2</w:t>
            </w: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91"/>
        </w:trPr>
        <w:tc>
          <w:tcPr>
            <w:tcW w:w="60" w:type="dxa"/>
            <w:vAlign w:val="bottom"/>
            <w:shd w:val="clear" w:color="auto" w:fill="DCE2EF"/>
          </w:tcPr>
          <w:p>
            <w:pPr>
              <w:spacing w:after="0"/>
              <w:rPr>
                <w:sz w:val="24"/>
                <w:szCs w:val="24"/>
                <w:color w:val="auto"/>
              </w:rPr>
            </w:pPr>
          </w:p>
        </w:tc>
        <w:tc>
          <w:tcPr>
            <w:tcW w:w="6720" w:type="dxa"/>
            <w:vAlign w:val="bottom"/>
            <w:gridSpan w:val="2"/>
            <w:shd w:val="clear" w:color="auto" w:fill="DCE2EF"/>
          </w:tcPr>
          <w:p>
            <w:pPr>
              <w:ind w:left="220"/>
              <w:spacing w:after="0"/>
              <w:rPr>
                <w:sz w:val="20"/>
                <w:szCs w:val="20"/>
                <w:color w:val="auto"/>
              </w:rPr>
            </w:pPr>
            <w:r>
              <w:rPr>
                <w:rFonts w:ascii="Arial" w:cs="Arial" w:eastAsia="Arial" w:hAnsi="Arial"/>
                <w:sz w:val="16"/>
                <w:szCs w:val="16"/>
                <w:color w:val="auto"/>
              </w:rPr>
              <w:t>Diluted</w:t>
            </w:r>
          </w:p>
        </w:tc>
        <w:tc>
          <w:tcPr>
            <w:tcW w:w="7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62.7</w:t>
            </w:r>
          </w:p>
        </w:tc>
        <w:tc>
          <w:tcPr>
            <w:tcW w:w="240" w:type="dxa"/>
            <w:vAlign w:val="bottom"/>
            <w:shd w:val="clear" w:color="auto" w:fill="DCE2EF"/>
          </w:tcPr>
          <w:p>
            <w:pPr>
              <w:spacing w:after="0"/>
              <w:rPr>
                <w:sz w:val="24"/>
                <w:szCs w:val="24"/>
                <w:color w:val="auto"/>
              </w:rPr>
            </w:pPr>
          </w:p>
        </w:tc>
        <w:tc>
          <w:tcPr>
            <w:tcW w:w="72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63.6</w:t>
            </w:r>
          </w:p>
        </w:tc>
        <w:tc>
          <w:tcPr>
            <w:tcW w:w="220" w:type="dxa"/>
            <w:vAlign w:val="bottom"/>
            <w:shd w:val="clear" w:color="auto" w:fill="DCE2EF"/>
          </w:tcPr>
          <w:p>
            <w:pPr>
              <w:spacing w:after="0"/>
              <w:rPr>
                <w:sz w:val="24"/>
                <w:szCs w:val="24"/>
                <w:color w:val="auto"/>
              </w:rPr>
            </w:pPr>
          </w:p>
        </w:tc>
        <w:tc>
          <w:tcPr>
            <w:tcW w:w="110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r>
      <w:tr>
        <w:trPr>
          <w:trHeight w:val="276"/>
        </w:trPr>
        <w:tc>
          <w:tcPr>
            <w:tcW w:w="6780" w:type="dxa"/>
            <w:vAlign w:val="bottom"/>
            <w:gridSpan w:val="3"/>
          </w:tcPr>
          <w:p>
            <w:pPr>
              <w:ind w:left="60"/>
              <w:spacing w:after="0"/>
              <w:rPr>
                <w:sz w:val="20"/>
                <w:szCs w:val="20"/>
                <w:color w:val="auto"/>
              </w:rPr>
            </w:pPr>
            <w:r>
              <w:rPr>
                <w:rFonts w:ascii="Arial" w:cs="Arial" w:eastAsia="Arial" w:hAnsi="Arial"/>
                <w:sz w:val="16"/>
                <w:szCs w:val="16"/>
                <w:b w:val="1"/>
                <w:bCs w:val="1"/>
                <w:color w:val="auto"/>
              </w:rPr>
              <w:t>Dividends declared per common share</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1.060</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0.900</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-3340735</wp:posOffset>
            </wp:positionV>
            <wp:extent cx="14605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-3340735</wp:posOffset>
            </wp:positionV>
            <wp:extent cx="13716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-2450465</wp:posOffset>
            </wp:positionV>
            <wp:extent cx="162560" cy="213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2560" cy="21399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-1900555</wp:posOffset>
            </wp:positionV>
            <wp:extent cx="14605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-1900555</wp:posOffset>
            </wp:positionV>
            <wp:extent cx="13716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-1357630</wp:posOffset>
            </wp:positionV>
            <wp:extent cx="1460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-1331595</wp:posOffset>
            </wp:positionV>
            <wp:extent cx="1460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-1537335</wp:posOffset>
            </wp:positionV>
            <wp:extent cx="1460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-1357630</wp:posOffset>
            </wp:positionV>
            <wp:extent cx="137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-1331595</wp:posOffset>
            </wp:positionV>
            <wp:extent cx="137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-1537335</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*Not meaningful (due to variance greater than or equal to +/-100%)</w:t>
      </w: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2" w:name="page13"/>
    <w:bookmarkEnd w:id="12"/>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SELECTED CONSOLIDATED CASH FLOW INFORMATION (UNAUDITED)</w:t>
      </w:r>
    </w:p>
    <w:p>
      <w:pPr>
        <w:spacing w:after="0" w:line="43" w:lineRule="exact"/>
        <w:rPr>
          <w:sz w:val="20"/>
          <w:szCs w:val="20"/>
          <w:color w:val="auto"/>
        </w:rPr>
      </w:pPr>
    </w:p>
    <w:p>
      <w:pPr>
        <w:jc w:val="right"/>
        <w:ind w:right="380"/>
        <w:spacing w:after="0"/>
        <w:rPr>
          <w:sz w:val="20"/>
          <w:szCs w:val="20"/>
          <w:color w:val="auto"/>
        </w:rPr>
      </w:pPr>
      <w:r>
        <w:rPr>
          <w:rFonts w:ascii="Arial" w:cs="Arial" w:eastAsia="Arial" w:hAnsi="Arial"/>
          <w:sz w:val="16"/>
          <w:szCs w:val="16"/>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29210</wp:posOffset>
            </wp:positionV>
            <wp:extent cx="21170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ectPr>
          <w:pgSz w:w="11900" w:h="16838" w:orient="portrait"/>
          <w:cols w:equalWidth="0" w:num="1">
            <w:col w:w="11220"/>
          </w:cols>
          <w:pgMar w:left="320" w:top="1101" w:right="359" w:bottom="1440" w:gutter="0" w:footer="0" w:header="0"/>
        </w:sectPr>
      </w:pP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214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provided by operating activities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80" w:lineRule="exact"/>
        <w:rPr>
          <w:sz w:val="20"/>
          <w:szCs w:val="20"/>
          <w:color w:val="auto"/>
        </w:rPr>
      </w:pPr>
    </w:p>
    <w:p>
      <w:pPr>
        <w:ind w:left="60" w:right="2880"/>
        <w:spacing w:after="0" w:line="396" w:lineRule="auto"/>
        <w:rPr>
          <w:sz w:val="20"/>
          <w:szCs w:val="20"/>
          <w:color w:val="auto"/>
        </w:rPr>
      </w:pPr>
      <w:r>
        <w:rPr>
          <w:rFonts w:ascii="Arial" w:cs="Arial" w:eastAsia="Arial" w:hAnsi="Arial"/>
          <w:sz w:val="16"/>
          <w:szCs w:val="16"/>
          <w:color w:val="auto"/>
        </w:rPr>
        <w:t>Purchase of businesses, net of cash acquired, and equity securities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issuance of share-based compensations awards,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Repurchases of common stock, including excise taxes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Borrowings from debt</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Repayment of borrowings from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Changes in book cash overdrafts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Repayment of 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used in financing activities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Effect of exchange rate changes on cash and cash equivalents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w:t>
      </w:r>
    </w:p>
    <w:p>
      <w:pPr>
        <w:spacing w:after="0" w:line="113" w:lineRule="exact"/>
        <w:rPr>
          <w:sz w:val="20"/>
          <w:szCs w:val="20"/>
          <w:color w:val="auto"/>
        </w:rPr>
      </w:pPr>
    </w:p>
    <w:p>
      <w:pPr>
        <w:ind w:left="540" w:hanging="360"/>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133.4</w:t>
      </w:r>
    </w:p>
    <w:p>
      <w:pPr>
        <w:spacing w:after="0" w:line="138"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6"/>
          <w:szCs w:val="16"/>
          <w:color w:val="auto"/>
        </w:rPr>
        <w:t>(20.7)</w:t>
      </w:r>
    </w:p>
    <w:p>
      <w:pPr>
        <w:spacing w:after="0" w:line="99"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6"/>
          <w:szCs w:val="16"/>
          <w:color w:val="auto"/>
        </w:rPr>
        <w:t>(20.0)</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29210</wp:posOffset>
            </wp:positionV>
            <wp:extent cx="9855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66" w:lineRule="exact"/>
        <w:rPr>
          <w:sz w:val="20"/>
          <w:szCs w:val="20"/>
          <w:color w:val="auto"/>
        </w:rPr>
      </w:pPr>
    </w:p>
    <w:p>
      <w:pPr>
        <w:ind w:left="520" w:hanging="358"/>
        <w:spacing w:after="0"/>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(40.7)</w:t>
      </w:r>
    </w:p>
    <w:p>
      <w:pPr>
        <w:spacing w:after="0" w:line="208"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1.1</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(73.7)</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(16.2)</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437.5</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(401.0)</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(4.2)</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29210</wp:posOffset>
            </wp:positionV>
            <wp:extent cx="9855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66" w:lineRule="exact"/>
        <w:rPr>
          <w:sz w:val="20"/>
          <w:szCs w:val="20"/>
          <w:color w:val="auto"/>
        </w:rPr>
      </w:pPr>
    </w:p>
    <w:p>
      <w:pPr>
        <w:ind w:left="520" w:hanging="358"/>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(57.8)</w:t>
      </w:r>
    </w:p>
    <w:p>
      <w:pPr>
        <w:spacing w:after="0" w:line="140"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5"/>
          <w:szCs w:val="15"/>
          <w:color w:val="auto"/>
        </w:rPr>
        <w:t>(0.1)</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w:t>
      </w:r>
    </w:p>
    <w:p>
      <w:pPr>
        <w:spacing w:after="0" w:line="113" w:lineRule="exact"/>
        <w:rPr>
          <w:sz w:val="20"/>
          <w:szCs w:val="20"/>
          <w:color w:val="auto"/>
        </w:rPr>
      </w:pPr>
    </w:p>
    <w:p>
      <w:pPr>
        <w:ind w:left="640" w:hanging="368"/>
        <w:spacing w:after="0"/>
        <w:tabs>
          <w:tab w:leader="none" w:pos="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30.3</w:t>
      </w:r>
    </w:p>
    <w:p>
      <w:pPr>
        <w:spacing w:after="0" w:line="138"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6"/>
          <w:szCs w:val="16"/>
          <w:color w:val="auto"/>
        </w:rPr>
        <w:t>(14.8)</w:t>
      </w:r>
    </w:p>
    <w:p>
      <w:pPr>
        <w:spacing w:after="0" w:line="99"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29210</wp:posOffset>
            </wp:positionV>
            <wp:extent cx="9861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66" w:lineRule="exact"/>
        <w:rPr>
          <w:sz w:val="20"/>
          <w:szCs w:val="20"/>
          <w:color w:val="auto"/>
        </w:rPr>
      </w:pPr>
    </w:p>
    <w:p>
      <w:pPr>
        <w:ind w:left="520" w:hanging="356"/>
        <w:spacing w:after="0"/>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(13.9)</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0.9</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(32.3)</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(14.1)</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422.0</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(425.1)</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11.1</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29210</wp:posOffset>
            </wp:positionV>
            <wp:extent cx="9861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66" w:lineRule="exact"/>
        <w:rPr>
          <w:sz w:val="20"/>
          <w:szCs w:val="20"/>
          <w:color w:val="auto"/>
        </w:rPr>
      </w:pPr>
    </w:p>
    <w:p>
      <w:pPr>
        <w:ind w:left="520" w:hanging="356"/>
        <w:spacing w:after="0"/>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(38.5)</w:t>
      </w:r>
    </w:p>
    <w:p>
      <w:pPr>
        <w:spacing w:after="0" w:line="140"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5"/>
          <w:szCs w:val="15"/>
          <w:color w:val="auto"/>
        </w:rPr>
        <w:t>0.4</w:t>
      </w:r>
    </w:p>
    <w:p>
      <w:pPr>
        <w:spacing w:after="0" w:line="205" w:lineRule="exact"/>
        <w:rPr>
          <w:sz w:val="20"/>
          <w:szCs w:val="20"/>
          <w:color w:val="auto"/>
        </w:rPr>
      </w:pPr>
    </w:p>
    <w:p>
      <w:pPr>
        <w:sectPr>
          <w:pgSz w:w="11900" w:h="16838" w:orient="portrait"/>
          <w:cols w:equalWidth="0" w:num="3">
            <w:col w:w="7780" w:space="720"/>
            <w:col w:w="1060" w:space="720"/>
            <w:col w:w="940"/>
          </w:cols>
          <w:pgMar w:left="320" w:top="1101" w:right="359" w:bottom="1440" w:gutter="0" w:footer="0" w:header="0"/>
          <w:type w:val="continuous"/>
        </w:sectPr>
      </w:pPr>
    </w:p>
    <w:p>
      <w:pPr>
        <w:ind w:left="8620"/>
        <w:spacing w:after="0"/>
        <w:rPr>
          <w:sz w:val="20"/>
          <w:szCs w:val="20"/>
          <w:color w:val="auto"/>
        </w:rPr>
      </w:pPr>
      <w:r>
        <w:rPr>
          <w:rFonts w:ascii="Arial" w:cs="Arial" w:eastAsia="Arial" w:hAnsi="Arial"/>
          <w:sz w:val="16"/>
          <w:szCs w:val="16"/>
          <w:b w:val="1"/>
          <w:bCs w:val="1"/>
          <w:color w:val="auto"/>
        </w:rPr>
        <w:t>Years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29210</wp:posOffset>
            </wp:positionV>
            <wp:extent cx="21170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ectPr>
          <w:pgSz w:w="11900" w:h="16838" w:orient="portrait"/>
          <w:cols w:equalWidth="0" w:num="1">
            <w:col w:w="11220"/>
          </w:cols>
          <w:pgMar w:left="320" w:top="1101" w:right="359" w:bottom="1440" w:gutter="0" w:footer="0" w:header="0"/>
          <w:type w:val="continuous"/>
        </w:sectPr>
      </w:pP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2146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provided by operating activities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60" w:right="2880"/>
        <w:spacing w:after="0" w:line="396" w:lineRule="auto"/>
        <w:rPr>
          <w:sz w:val="20"/>
          <w:szCs w:val="20"/>
          <w:color w:val="auto"/>
        </w:rPr>
      </w:pPr>
      <w:r>
        <w:rPr>
          <w:rFonts w:ascii="Arial" w:cs="Arial" w:eastAsia="Arial" w:hAnsi="Arial"/>
          <w:sz w:val="16"/>
          <w:szCs w:val="16"/>
          <w:color w:val="auto"/>
        </w:rPr>
        <w:t>Purchase of businesses, net of cash acquired, and equity securities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Taxes withheld from issuance of share-based compensations awards,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Repurchases of common stock, including excise taxes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Deferred financing costs paid</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Borrowings from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Repayment of borrowings from debt</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Changes in book cash overdrafts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0"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Repayment of finance lease obligations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paid to settle the contingent consideration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cash used in financing activities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Effect of exchange rate changes on cash and cash equivalents</w:t>
      </w:r>
    </w:p>
    <w:p>
      <w:pPr>
        <w:spacing w:after="0" w:line="200" w:lineRule="exact"/>
        <w:rPr>
          <w:sz w:val="20"/>
          <w:szCs w:val="20"/>
          <w:color w:val="auto"/>
        </w:rPr>
      </w:pPr>
    </w:p>
    <w:p>
      <w:pPr>
        <w:spacing w:after="0" w:line="341" w:lineRule="exact"/>
        <w:rPr>
          <w:sz w:val="20"/>
          <w:szCs w:val="20"/>
          <w:color w:val="auto"/>
        </w:rPr>
      </w:pPr>
    </w:p>
    <w:p>
      <w:pPr>
        <w:jc w:val="right"/>
        <w:ind w:right="20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w:t>
      </w:r>
    </w:p>
    <w:p>
      <w:pPr>
        <w:spacing w:after="0" w:line="113" w:lineRule="exact"/>
        <w:rPr>
          <w:sz w:val="20"/>
          <w:szCs w:val="20"/>
          <w:color w:val="auto"/>
        </w:rPr>
      </w:pPr>
    </w:p>
    <w:p>
      <w:pPr>
        <w:ind w:left="540" w:hanging="360"/>
        <w:spacing w:after="0"/>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234.4</w:t>
      </w:r>
    </w:p>
    <w:p>
      <w:pPr>
        <w:spacing w:after="0" w:line="138"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6"/>
          <w:szCs w:val="16"/>
          <w:color w:val="auto"/>
        </w:rPr>
        <w:t>(79.3)</w:t>
      </w:r>
    </w:p>
    <w:p>
      <w:pPr>
        <w:spacing w:after="0" w:line="99" w:lineRule="exact"/>
        <w:rPr>
          <w:rFonts w:ascii="Arial" w:cs="Arial" w:eastAsia="Arial" w:hAnsi="Arial"/>
          <w:sz w:val="15"/>
          <w:szCs w:val="15"/>
          <w:color w:val="auto"/>
        </w:rPr>
      </w:pPr>
    </w:p>
    <w:p>
      <w:pPr>
        <w:ind w:left="520"/>
        <w:spacing w:after="0"/>
        <w:rPr>
          <w:rFonts w:ascii="Arial" w:cs="Arial" w:eastAsia="Arial" w:hAnsi="Arial"/>
          <w:sz w:val="15"/>
          <w:szCs w:val="15"/>
          <w:color w:val="auto"/>
        </w:rPr>
      </w:pPr>
      <w:r>
        <w:rPr>
          <w:rFonts w:ascii="Arial" w:cs="Arial" w:eastAsia="Arial" w:hAnsi="Arial"/>
          <w:sz w:val="16"/>
          <w:szCs w:val="16"/>
          <w:color w:val="auto"/>
        </w:rPr>
        <w:t>(36.7)</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29210</wp:posOffset>
            </wp:positionV>
            <wp:extent cx="9855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66" w:lineRule="exact"/>
        <w:rPr>
          <w:sz w:val="20"/>
          <w:szCs w:val="20"/>
          <w:color w:val="auto"/>
        </w:rPr>
      </w:pPr>
    </w:p>
    <w:p>
      <w:pPr>
        <w:ind w:left="440" w:hanging="368"/>
        <w:spacing w:after="0"/>
        <w:tabs>
          <w:tab w:leader="none" w:pos="4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(115.6)</w:t>
      </w:r>
    </w:p>
    <w:p>
      <w:pPr>
        <w:spacing w:after="0" w:line="179"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(7.4)</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(122.2)</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(65.6)</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(8.0)</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1,846.8</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(1,613.0)</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(47.2)</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(4.5)</w:t>
      </w:r>
    </w:p>
    <w:p>
      <w:pPr>
        <w:spacing w:after="0" w:line="14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29210</wp:posOffset>
            </wp:positionV>
            <wp:extent cx="9855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66" w:lineRule="exact"/>
        <w:rPr>
          <w:sz w:val="20"/>
          <w:szCs w:val="20"/>
          <w:color w:val="auto"/>
        </w:rPr>
      </w:pPr>
    </w:p>
    <w:p>
      <w:pPr>
        <w:ind w:left="520" w:hanging="358"/>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(80.2)</w:t>
      </w:r>
    </w:p>
    <w:p>
      <w:pPr>
        <w:spacing w:after="0" w:line="140"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5"/>
          <w:szCs w:val="15"/>
          <w:color w:val="auto"/>
        </w:rPr>
        <w:t>0.9</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w:t>
      </w:r>
    </w:p>
    <w:p>
      <w:pPr>
        <w:spacing w:after="0" w:line="113" w:lineRule="exact"/>
        <w:rPr>
          <w:sz w:val="20"/>
          <w:szCs w:val="20"/>
          <w:color w:val="auto"/>
        </w:rPr>
      </w:pPr>
    </w:p>
    <w:p>
      <w:pPr>
        <w:ind w:left="540" w:hanging="358"/>
        <w:spacing w:after="0"/>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226.7</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(59.4)</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(114.3)</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29210</wp:posOffset>
            </wp:positionV>
            <wp:extent cx="9861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66" w:lineRule="exact"/>
        <w:rPr>
          <w:sz w:val="20"/>
          <w:szCs w:val="20"/>
          <w:color w:val="auto"/>
        </w:rPr>
      </w:pPr>
    </w:p>
    <w:p>
      <w:pPr>
        <w:ind w:left="440" w:hanging="366"/>
        <w:spacing w:after="0"/>
        <w:tabs>
          <w:tab w:leader="none" w:pos="4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(171.9)</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(7.0)</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(56.1)</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(56.5)</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1,334.0</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(1,312.5)</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40.7</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(4.2)</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29210</wp:posOffset>
            </wp:positionV>
            <wp:extent cx="9861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66" w:lineRule="exact"/>
        <w:rPr>
          <w:sz w:val="20"/>
          <w:szCs w:val="20"/>
          <w:color w:val="auto"/>
        </w:rPr>
      </w:pPr>
    </w:p>
    <w:p>
      <w:pPr>
        <w:ind w:left="520" w:hanging="356"/>
        <w:spacing w:after="0"/>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(61.5)</w:t>
      </w:r>
    </w:p>
    <w:p>
      <w:pPr>
        <w:spacing w:after="0" w:line="140"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5"/>
          <w:szCs w:val="15"/>
          <w:color w:val="auto"/>
        </w:rPr>
        <w:t>1.8</w:t>
      </w:r>
    </w:p>
    <w:p>
      <w:pPr>
        <w:sectPr>
          <w:pgSz w:w="11900" w:h="16838" w:orient="portrait"/>
          <w:cols w:equalWidth="0" w:num="3">
            <w:col w:w="7780" w:space="720"/>
            <w:col w:w="1060" w:space="720"/>
            <w:col w:w="940"/>
          </w:cols>
          <w:pgMar w:left="320" w:top="1101" w:right="3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20"/>
          <w:szCs w:val="20"/>
          <w:b w:val="1"/>
          <w:bCs w:val="1"/>
          <w:color w:val="0046AD"/>
        </w:rPr>
        <w:t>ABM INDUSTRIES INCORPORATED AND SUBSIDIARIES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0046AD"/>
        </w:rPr>
        <w:t>CONDENSED CONSOLIDATED BALANCE SHEET INFORMATION (UNAUDITED)</w:t>
      </w:r>
    </w:p>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226"/>
        </w:trPr>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October 31,</w:t>
            </w: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4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77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ASSETS</w:t>
            </w:r>
          </w:p>
        </w:tc>
        <w:tc>
          <w:tcPr>
            <w:tcW w:w="980" w:type="dxa"/>
            <w:vAlign w:val="bottom"/>
            <w:tcBorders>
              <w:bottom w:val="single" w:sz="8" w:color="DCE2EF"/>
            </w:tcBorders>
            <w:shd w:val="clear" w:color="auto" w:fill="DCE2EF"/>
          </w:tcPr>
          <w:p>
            <w:pPr>
              <w:spacing w:after="0"/>
              <w:rPr>
                <w:sz w:val="21"/>
                <w:szCs w:val="21"/>
                <w:color w:val="auto"/>
              </w:rPr>
            </w:pPr>
          </w:p>
        </w:tc>
        <w:tc>
          <w:tcPr>
            <w:tcW w:w="600" w:type="dxa"/>
            <w:vAlign w:val="bottom"/>
            <w:tcBorders>
              <w:bottom w:val="single" w:sz="8" w:color="DCE2EF"/>
            </w:tcBorders>
            <w:shd w:val="clear" w:color="auto" w:fill="DCE2EF"/>
          </w:tcPr>
          <w:p>
            <w:pPr>
              <w:spacing w:after="0"/>
              <w:rPr>
                <w:sz w:val="21"/>
                <w:szCs w:val="21"/>
                <w:color w:val="auto"/>
              </w:rPr>
            </w:pPr>
          </w:p>
        </w:tc>
        <w:tc>
          <w:tcPr>
            <w:tcW w:w="220" w:type="dxa"/>
            <w:vAlign w:val="bottom"/>
            <w:tcBorders>
              <w:bottom w:val="single" w:sz="8" w:color="DCE2EF"/>
            </w:tcBorders>
            <w:shd w:val="clear" w:color="auto" w:fill="DCE2EF"/>
          </w:tcPr>
          <w:p>
            <w:pPr>
              <w:spacing w:after="0"/>
              <w:rPr>
                <w:sz w:val="21"/>
                <w:szCs w:val="21"/>
                <w:color w:val="auto"/>
              </w:rPr>
            </w:pPr>
          </w:p>
        </w:tc>
        <w:tc>
          <w:tcPr>
            <w:tcW w:w="460" w:type="dxa"/>
            <w:vAlign w:val="bottom"/>
            <w:tcBorders>
              <w:bottom w:val="single" w:sz="8" w:color="DCE2EF"/>
            </w:tcBorders>
            <w:shd w:val="clear" w:color="auto" w:fill="DCE2EF"/>
          </w:tcPr>
          <w:p>
            <w:pPr>
              <w:spacing w:after="0"/>
              <w:rPr>
                <w:sz w:val="21"/>
                <w:szCs w:val="21"/>
                <w:color w:val="auto"/>
              </w:rPr>
            </w:pPr>
          </w:p>
        </w:tc>
        <w:tc>
          <w:tcPr>
            <w:tcW w:w="52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40" w:type="dxa"/>
            <w:vAlign w:val="bottom"/>
            <w:gridSpan w:val="3"/>
          </w:tcPr>
          <w:p>
            <w:pPr>
              <w:ind w:left="40"/>
              <w:spacing w:after="0"/>
              <w:rPr>
                <w:sz w:val="20"/>
                <w:szCs w:val="20"/>
                <w:color w:val="auto"/>
              </w:rPr>
            </w:pPr>
            <w:r>
              <w:rPr>
                <w:rFonts w:ascii="Arial" w:cs="Arial" w:eastAsia="Arial" w:hAnsi="Arial"/>
                <w:sz w:val="16"/>
                <w:szCs w:val="16"/>
                <w:color w:val="auto"/>
              </w:rPr>
              <w:t>Current assets</w:t>
            </w:r>
          </w:p>
        </w:tc>
        <w:tc>
          <w:tcPr>
            <w:tcW w:w="9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DCE2EF"/>
          </w:tcPr>
          <w:p>
            <w:pPr>
              <w:spacing w:after="0"/>
              <w:rPr>
                <w:sz w:val="24"/>
                <w:szCs w:val="24"/>
                <w:color w:val="auto"/>
              </w:rPr>
            </w:pPr>
          </w:p>
        </w:tc>
        <w:tc>
          <w:tcPr>
            <w:tcW w:w="7700" w:type="dxa"/>
            <w:vAlign w:val="bottom"/>
            <w:gridSpan w:val="2"/>
            <w:shd w:val="clear" w:color="auto" w:fill="DCE2EF"/>
          </w:tcPr>
          <w:p>
            <w:pPr>
              <w:ind w:left="260"/>
              <w:spacing w:after="0"/>
              <w:rPr>
                <w:sz w:val="20"/>
                <w:szCs w:val="20"/>
                <w:color w:val="auto"/>
              </w:rPr>
            </w:pPr>
            <w:r>
              <w:rPr>
                <w:rFonts w:ascii="Arial" w:cs="Arial" w:eastAsia="Arial" w:hAnsi="Arial"/>
                <w:sz w:val="16"/>
                <w:szCs w:val="16"/>
                <w:color w:val="auto"/>
              </w:rPr>
              <w:t>Cash and cash equivalents</w:t>
            </w:r>
          </w:p>
        </w:tc>
        <w:tc>
          <w:tcPr>
            <w:tcW w:w="9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104.1</w:t>
            </w:r>
          </w:p>
        </w:tc>
        <w:tc>
          <w:tcPr>
            <w:tcW w:w="220" w:type="dxa"/>
            <w:vAlign w:val="bottom"/>
            <w:shd w:val="clear" w:color="auto" w:fill="DCE2EF"/>
          </w:tcPr>
          <w:p>
            <w:pPr>
              <w:spacing w:after="0"/>
              <w:rPr>
                <w:sz w:val="24"/>
                <w:szCs w:val="24"/>
                <w:color w:val="auto"/>
              </w:rPr>
            </w:pPr>
          </w:p>
        </w:tc>
        <w:tc>
          <w:tcPr>
            <w:tcW w:w="460" w:type="dxa"/>
            <w:vAlign w:val="bottom"/>
            <w:shd w:val="clear" w:color="auto" w:fill="DCE2EF"/>
          </w:tcPr>
          <w:p>
            <w:pPr>
              <w:spacing w:after="0"/>
              <w:rPr>
                <w:sz w:val="24"/>
                <w:szCs w:val="24"/>
                <w:color w:val="auto"/>
              </w:rPr>
            </w:pPr>
          </w:p>
        </w:tc>
        <w:tc>
          <w:tcPr>
            <w:tcW w:w="5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7700" w:type="dxa"/>
            <w:vAlign w:val="bottom"/>
            <w:gridSpan w:val="2"/>
          </w:tcPr>
          <w:p>
            <w:pPr>
              <w:ind w:left="260"/>
              <w:spacing w:after="0"/>
              <w:rPr>
                <w:sz w:val="20"/>
                <w:szCs w:val="20"/>
                <w:color w:val="auto"/>
              </w:rPr>
            </w:pPr>
            <w:r>
              <w:rPr>
                <w:rFonts w:ascii="Arial" w:cs="Arial" w:eastAsia="Arial" w:hAnsi="Arial"/>
                <w:sz w:val="16"/>
                <w:szCs w:val="16"/>
                <w:color w:val="auto"/>
              </w:rPr>
              <w:t>Trade accounts receivable, net of allowances</w:t>
            </w: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1,471.1</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1,384.1</w:t>
            </w:r>
          </w:p>
        </w:tc>
        <w:tc>
          <w:tcPr>
            <w:tcW w:w="0" w:type="dxa"/>
            <w:vAlign w:val="bottom"/>
          </w:tcPr>
          <w:p>
            <w:pPr>
              <w:spacing w:after="0"/>
              <w:rPr>
                <w:sz w:val="1"/>
                <w:szCs w:val="1"/>
                <w:color w:val="auto"/>
              </w:rPr>
            </w:pPr>
          </w:p>
        </w:tc>
      </w:tr>
      <w:tr>
        <w:trPr>
          <w:trHeight w:val="291"/>
        </w:trPr>
        <w:tc>
          <w:tcPr>
            <w:tcW w:w="40" w:type="dxa"/>
            <w:vAlign w:val="bottom"/>
            <w:shd w:val="clear" w:color="auto" w:fill="DCE2EF"/>
          </w:tcPr>
          <w:p>
            <w:pPr>
              <w:spacing w:after="0"/>
              <w:rPr>
                <w:sz w:val="24"/>
                <w:szCs w:val="24"/>
                <w:color w:val="auto"/>
              </w:rPr>
            </w:pPr>
          </w:p>
        </w:tc>
        <w:tc>
          <w:tcPr>
            <w:tcW w:w="7700" w:type="dxa"/>
            <w:vAlign w:val="bottom"/>
            <w:gridSpan w:val="2"/>
            <w:shd w:val="clear" w:color="auto" w:fill="DCE2EF"/>
          </w:tcPr>
          <w:p>
            <w:pPr>
              <w:ind w:left="260"/>
              <w:spacing w:after="0"/>
              <w:rPr>
                <w:sz w:val="20"/>
                <w:szCs w:val="20"/>
                <w:color w:val="auto"/>
              </w:rPr>
            </w:pPr>
            <w:r>
              <w:rPr>
                <w:rFonts w:ascii="Arial" w:cs="Arial" w:eastAsia="Arial" w:hAnsi="Arial"/>
                <w:sz w:val="16"/>
                <w:szCs w:val="16"/>
                <w:color w:val="auto"/>
              </w:rPr>
              <w:t>Costs incurred in excess of amounts billed</w:t>
            </w:r>
          </w:p>
        </w:tc>
        <w:tc>
          <w:tcPr>
            <w:tcW w:w="980" w:type="dxa"/>
            <w:vAlign w:val="bottom"/>
            <w:shd w:val="clear" w:color="auto" w:fill="DCE2EF"/>
          </w:tcPr>
          <w:p>
            <w:pPr>
              <w:spacing w:after="0"/>
              <w:rPr>
                <w:sz w:val="24"/>
                <w:szCs w:val="24"/>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193.7</w:t>
            </w:r>
          </w:p>
        </w:tc>
        <w:tc>
          <w:tcPr>
            <w:tcW w:w="220" w:type="dxa"/>
            <w:vAlign w:val="bottom"/>
            <w:shd w:val="clear" w:color="auto" w:fill="DCE2EF"/>
          </w:tcPr>
          <w:p>
            <w:pPr>
              <w:spacing w:after="0"/>
              <w:rPr>
                <w:sz w:val="24"/>
                <w:szCs w:val="24"/>
                <w:color w:val="auto"/>
              </w:rPr>
            </w:pPr>
          </w:p>
        </w:tc>
        <w:tc>
          <w:tcPr>
            <w:tcW w:w="460" w:type="dxa"/>
            <w:vAlign w:val="bottom"/>
            <w:shd w:val="clear" w:color="auto" w:fill="DCE2EF"/>
          </w:tcPr>
          <w:p>
            <w:pPr>
              <w:spacing w:after="0"/>
              <w:rPr>
                <w:sz w:val="24"/>
                <w:szCs w:val="24"/>
                <w:color w:val="auto"/>
              </w:rPr>
            </w:pPr>
          </w:p>
        </w:tc>
        <w:tc>
          <w:tcPr>
            <w:tcW w:w="5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162.1</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7700" w:type="dxa"/>
            <w:vAlign w:val="bottom"/>
            <w:gridSpan w:val="2"/>
          </w:tcPr>
          <w:p>
            <w:pPr>
              <w:ind w:left="260"/>
              <w:spacing w:after="0"/>
              <w:rPr>
                <w:sz w:val="20"/>
                <w:szCs w:val="20"/>
                <w:color w:val="auto"/>
              </w:rPr>
            </w:pPr>
            <w:r>
              <w:rPr>
                <w:rFonts w:ascii="Arial" w:cs="Arial" w:eastAsia="Arial" w:hAnsi="Arial"/>
                <w:sz w:val="16"/>
                <w:szCs w:val="16"/>
                <w:color w:val="auto"/>
              </w:rPr>
              <w:t>Prepaid expenses</w:t>
            </w: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91.2</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90"/>
        </w:trPr>
        <w:tc>
          <w:tcPr>
            <w:tcW w:w="40" w:type="dxa"/>
            <w:vAlign w:val="bottom"/>
            <w:tcBorders>
              <w:bottom w:val="single" w:sz="8" w:color="DCE2EF"/>
            </w:tcBorders>
            <w:shd w:val="clear" w:color="auto" w:fill="DCE2EF"/>
          </w:tcPr>
          <w:p>
            <w:pPr>
              <w:spacing w:after="0"/>
              <w:rPr>
                <w:sz w:val="24"/>
                <w:szCs w:val="24"/>
                <w:color w:val="auto"/>
              </w:rPr>
            </w:pPr>
          </w:p>
        </w:tc>
        <w:tc>
          <w:tcPr>
            <w:tcW w:w="7700" w:type="dxa"/>
            <w:vAlign w:val="bottom"/>
            <w:tcBorders>
              <w:bottom w:val="single" w:sz="8" w:color="DCE2EF"/>
            </w:tcBorders>
            <w:gridSpan w:val="2"/>
            <w:shd w:val="clear" w:color="auto" w:fill="DCE2EF"/>
          </w:tcPr>
          <w:p>
            <w:pPr>
              <w:ind w:left="260"/>
              <w:spacing w:after="0"/>
              <w:rPr>
                <w:sz w:val="20"/>
                <w:szCs w:val="20"/>
                <w:color w:val="auto"/>
              </w:rPr>
            </w:pPr>
            <w:r>
              <w:rPr>
                <w:rFonts w:ascii="Arial" w:cs="Arial" w:eastAsia="Arial" w:hAnsi="Arial"/>
                <w:sz w:val="16"/>
                <w:szCs w:val="16"/>
                <w:color w:val="auto"/>
              </w:rPr>
              <w:t>Other current assets</w:t>
            </w:r>
          </w:p>
        </w:tc>
        <w:tc>
          <w:tcPr>
            <w:tcW w:w="980" w:type="dxa"/>
            <w:vAlign w:val="bottom"/>
            <w:tcBorders>
              <w:bottom w:val="single" w:sz="8" w:color="auto"/>
            </w:tcBorders>
            <w:shd w:val="clear" w:color="auto" w:fill="DCE2EF"/>
          </w:tcPr>
          <w:p>
            <w:pPr>
              <w:spacing w:after="0"/>
              <w:rPr>
                <w:sz w:val="24"/>
                <w:szCs w:val="24"/>
                <w:color w:val="auto"/>
              </w:rPr>
            </w:pPr>
          </w:p>
        </w:tc>
        <w:tc>
          <w:tcPr>
            <w:tcW w:w="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78.6</w:t>
            </w:r>
          </w:p>
        </w:tc>
        <w:tc>
          <w:tcPr>
            <w:tcW w:w="220" w:type="dxa"/>
            <w:vAlign w:val="bottom"/>
            <w:tcBorders>
              <w:bottom w:val="single" w:sz="8" w:color="auto"/>
            </w:tcBorders>
            <w:shd w:val="clear" w:color="auto" w:fill="DCE2EF"/>
          </w:tcPr>
          <w:p>
            <w:pPr>
              <w:spacing w:after="0"/>
              <w:rPr>
                <w:sz w:val="24"/>
                <w:szCs w:val="24"/>
                <w:color w:val="auto"/>
              </w:rPr>
            </w:pPr>
          </w:p>
        </w:tc>
        <w:tc>
          <w:tcPr>
            <w:tcW w:w="460" w:type="dxa"/>
            <w:vAlign w:val="bottom"/>
            <w:tcBorders>
              <w:bottom w:val="single" w:sz="8" w:color="auto"/>
            </w:tcBorders>
            <w:shd w:val="clear" w:color="auto" w:fill="DCE2EF"/>
          </w:tcPr>
          <w:p>
            <w:pPr>
              <w:spacing w:after="0"/>
              <w:rPr>
                <w:sz w:val="24"/>
                <w:szCs w:val="24"/>
                <w:color w:val="auto"/>
              </w:rPr>
            </w:pPr>
          </w:p>
        </w:tc>
        <w:tc>
          <w:tcPr>
            <w:tcW w:w="52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7700" w:type="dxa"/>
            <w:vAlign w:val="bottom"/>
            <w:gridSpan w:val="2"/>
          </w:tcPr>
          <w:p>
            <w:pPr>
              <w:ind w:left="500"/>
              <w:spacing w:after="0"/>
              <w:rPr>
                <w:sz w:val="20"/>
                <w:szCs w:val="20"/>
                <w:color w:val="auto"/>
              </w:rPr>
            </w:pPr>
            <w:r>
              <w:rPr>
                <w:rFonts w:ascii="Arial" w:cs="Arial" w:eastAsia="Arial" w:hAnsi="Arial"/>
                <w:sz w:val="16"/>
                <w:szCs w:val="16"/>
                <w:color w:val="auto"/>
              </w:rPr>
              <w:t>Total current assets</w:t>
            </w: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1,938.7</w:t>
            </w: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1,788.7</w:t>
            </w:r>
          </w:p>
        </w:tc>
        <w:tc>
          <w:tcPr>
            <w:tcW w:w="0" w:type="dxa"/>
            <w:vAlign w:val="bottom"/>
          </w:tcPr>
          <w:p>
            <w:pPr>
              <w:spacing w:after="0"/>
              <w:rPr>
                <w:sz w:val="1"/>
                <w:szCs w:val="1"/>
                <w:color w:val="auto"/>
              </w:rPr>
            </w:pPr>
          </w:p>
        </w:tc>
      </w:tr>
      <w:tr>
        <w:trPr>
          <w:trHeight w:val="250"/>
        </w:trPr>
        <w:tc>
          <w:tcPr>
            <w:tcW w:w="77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color w:val="auto"/>
              </w:rPr>
              <w:t>Other investments</w:t>
            </w:r>
          </w:p>
        </w:tc>
        <w:tc>
          <w:tcPr>
            <w:tcW w:w="980" w:type="dxa"/>
            <w:vAlign w:val="bottom"/>
            <w:tcBorders>
              <w:bottom w:val="single" w:sz="8" w:color="DCE2EF"/>
            </w:tcBorders>
            <w:shd w:val="clear" w:color="auto" w:fill="DCE2EF"/>
          </w:tcPr>
          <w:p>
            <w:pPr>
              <w:spacing w:after="0"/>
              <w:rPr>
                <w:sz w:val="21"/>
                <w:szCs w:val="21"/>
                <w:color w:val="auto"/>
              </w:rPr>
            </w:pPr>
          </w:p>
        </w:tc>
        <w:tc>
          <w:tcPr>
            <w:tcW w:w="6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48.6</w:t>
            </w:r>
          </w:p>
        </w:tc>
        <w:tc>
          <w:tcPr>
            <w:tcW w:w="220" w:type="dxa"/>
            <w:vAlign w:val="bottom"/>
            <w:tcBorders>
              <w:bottom w:val="single" w:sz="8" w:color="DCE2EF"/>
            </w:tcBorders>
            <w:shd w:val="clear" w:color="auto" w:fill="DCE2EF"/>
          </w:tcPr>
          <w:p>
            <w:pPr>
              <w:spacing w:after="0"/>
              <w:rPr>
                <w:sz w:val="21"/>
                <w:szCs w:val="21"/>
                <w:color w:val="auto"/>
              </w:rPr>
            </w:pPr>
          </w:p>
        </w:tc>
        <w:tc>
          <w:tcPr>
            <w:tcW w:w="460" w:type="dxa"/>
            <w:vAlign w:val="bottom"/>
            <w:tcBorders>
              <w:bottom w:val="single" w:sz="8" w:color="DCE2EF"/>
            </w:tcBorders>
            <w:shd w:val="clear" w:color="auto" w:fill="DCE2EF"/>
          </w:tcPr>
          <w:p>
            <w:pPr>
              <w:spacing w:after="0"/>
              <w:rPr>
                <w:sz w:val="21"/>
                <w:szCs w:val="21"/>
                <w:color w:val="auto"/>
              </w:rPr>
            </w:pPr>
          </w:p>
        </w:tc>
        <w:tc>
          <w:tcPr>
            <w:tcW w:w="52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76"/>
        </w:trPr>
        <w:tc>
          <w:tcPr>
            <w:tcW w:w="7740" w:type="dxa"/>
            <w:vAlign w:val="bottom"/>
            <w:gridSpan w:val="3"/>
          </w:tcPr>
          <w:p>
            <w:pPr>
              <w:ind w:left="40"/>
              <w:spacing w:after="0"/>
              <w:rPr>
                <w:sz w:val="20"/>
                <w:szCs w:val="20"/>
                <w:color w:val="auto"/>
              </w:rPr>
            </w:pPr>
            <w:r>
              <w:rPr>
                <w:rFonts w:ascii="Arial" w:cs="Arial" w:eastAsia="Arial" w:hAnsi="Arial"/>
                <w:sz w:val="16"/>
                <w:szCs w:val="16"/>
                <w:color w:val="auto"/>
              </w:rPr>
              <w:t>Property, plant and equipment, net of accumulated depreciation</w:t>
            </w: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177.2</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91"/>
        </w:trPr>
        <w:tc>
          <w:tcPr>
            <w:tcW w:w="77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Right-of-use assets</w:t>
            </w:r>
          </w:p>
        </w:tc>
        <w:tc>
          <w:tcPr>
            <w:tcW w:w="980" w:type="dxa"/>
            <w:vAlign w:val="bottom"/>
            <w:shd w:val="clear" w:color="auto" w:fill="DCE2EF"/>
          </w:tcPr>
          <w:p>
            <w:pPr>
              <w:spacing w:after="0"/>
              <w:rPr>
                <w:sz w:val="24"/>
                <w:szCs w:val="24"/>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95.1</w:t>
            </w:r>
          </w:p>
        </w:tc>
        <w:tc>
          <w:tcPr>
            <w:tcW w:w="220" w:type="dxa"/>
            <w:vAlign w:val="bottom"/>
            <w:shd w:val="clear" w:color="auto" w:fill="DCE2EF"/>
          </w:tcPr>
          <w:p>
            <w:pPr>
              <w:spacing w:after="0"/>
              <w:rPr>
                <w:sz w:val="24"/>
                <w:szCs w:val="24"/>
                <w:color w:val="auto"/>
              </w:rPr>
            </w:pPr>
          </w:p>
        </w:tc>
        <w:tc>
          <w:tcPr>
            <w:tcW w:w="460" w:type="dxa"/>
            <w:vAlign w:val="bottom"/>
            <w:shd w:val="clear" w:color="auto" w:fill="DCE2EF"/>
          </w:tcPr>
          <w:p>
            <w:pPr>
              <w:spacing w:after="0"/>
              <w:rPr>
                <w:sz w:val="24"/>
                <w:szCs w:val="24"/>
                <w:color w:val="auto"/>
              </w:rPr>
            </w:pPr>
          </w:p>
        </w:tc>
        <w:tc>
          <w:tcPr>
            <w:tcW w:w="5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276"/>
        </w:trPr>
        <w:tc>
          <w:tcPr>
            <w:tcW w:w="7740" w:type="dxa"/>
            <w:vAlign w:val="bottom"/>
            <w:gridSpan w:val="3"/>
          </w:tcPr>
          <w:p>
            <w:pPr>
              <w:ind w:left="40"/>
              <w:spacing w:after="0"/>
              <w:rPr>
                <w:sz w:val="20"/>
                <w:szCs w:val="20"/>
                <w:color w:val="auto"/>
              </w:rPr>
            </w:pPr>
            <w:r>
              <w:rPr>
                <w:rFonts w:ascii="Arial" w:cs="Arial" w:eastAsia="Arial" w:hAnsi="Arial"/>
                <w:sz w:val="16"/>
                <w:szCs w:val="16"/>
                <w:color w:val="auto"/>
              </w:rPr>
              <w:t>Other intangible assets, net of accumulated amortization</w:t>
            </w: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243.2</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282.4</w:t>
            </w:r>
          </w:p>
        </w:tc>
        <w:tc>
          <w:tcPr>
            <w:tcW w:w="0" w:type="dxa"/>
            <w:vAlign w:val="bottom"/>
          </w:tcPr>
          <w:p>
            <w:pPr>
              <w:spacing w:after="0"/>
              <w:rPr>
                <w:sz w:val="1"/>
                <w:szCs w:val="1"/>
                <w:color w:val="auto"/>
              </w:rPr>
            </w:pPr>
          </w:p>
        </w:tc>
      </w:tr>
      <w:tr>
        <w:trPr>
          <w:trHeight w:val="291"/>
        </w:trPr>
        <w:tc>
          <w:tcPr>
            <w:tcW w:w="77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Goodwill</w:t>
            </w:r>
          </w:p>
        </w:tc>
        <w:tc>
          <w:tcPr>
            <w:tcW w:w="980" w:type="dxa"/>
            <w:vAlign w:val="bottom"/>
            <w:shd w:val="clear" w:color="auto" w:fill="DCE2EF"/>
          </w:tcPr>
          <w:p>
            <w:pPr>
              <w:spacing w:after="0"/>
              <w:rPr>
                <w:sz w:val="24"/>
                <w:szCs w:val="24"/>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2,591.1</w:t>
            </w:r>
          </w:p>
        </w:tc>
        <w:tc>
          <w:tcPr>
            <w:tcW w:w="220" w:type="dxa"/>
            <w:vAlign w:val="bottom"/>
            <w:shd w:val="clear" w:color="auto" w:fill="DCE2EF"/>
          </w:tcPr>
          <w:p>
            <w:pPr>
              <w:spacing w:after="0"/>
              <w:rPr>
                <w:sz w:val="24"/>
                <w:szCs w:val="24"/>
                <w:color w:val="auto"/>
              </w:rPr>
            </w:pPr>
          </w:p>
        </w:tc>
        <w:tc>
          <w:tcPr>
            <w:tcW w:w="460" w:type="dxa"/>
            <w:vAlign w:val="bottom"/>
            <w:shd w:val="clear" w:color="auto" w:fill="DCE2EF"/>
          </w:tcPr>
          <w:p>
            <w:pPr>
              <w:spacing w:after="0"/>
              <w:rPr>
                <w:sz w:val="24"/>
                <w:szCs w:val="24"/>
                <w:color w:val="auto"/>
              </w:rPr>
            </w:pPr>
          </w:p>
        </w:tc>
        <w:tc>
          <w:tcPr>
            <w:tcW w:w="5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2,575.9</w:t>
            </w:r>
          </w:p>
        </w:tc>
        <w:tc>
          <w:tcPr>
            <w:tcW w:w="0" w:type="dxa"/>
            <w:vAlign w:val="bottom"/>
          </w:tcPr>
          <w:p>
            <w:pPr>
              <w:spacing w:after="0"/>
              <w:rPr>
                <w:sz w:val="1"/>
                <w:szCs w:val="1"/>
                <w:color w:val="auto"/>
              </w:rPr>
            </w:pPr>
          </w:p>
        </w:tc>
      </w:tr>
      <w:tr>
        <w:trPr>
          <w:trHeight w:val="283"/>
        </w:trPr>
        <w:tc>
          <w:tcPr>
            <w:tcW w:w="7740" w:type="dxa"/>
            <w:vAlign w:val="bottom"/>
            <w:gridSpan w:val="3"/>
          </w:tcPr>
          <w:p>
            <w:pPr>
              <w:ind w:left="40"/>
              <w:spacing w:after="0"/>
              <w:rPr>
                <w:sz w:val="20"/>
                <w:szCs w:val="20"/>
                <w:color w:val="auto"/>
              </w:rPr>
            </w:pPr>
            <w:r>
              <w:rPr>
                <w:rFonts w:ascii="Arial" w:cs="Arial" w:eastAsia="Arial" w:hAnsi="Arial"/>
                <w:sz w:val="16"/>
                <w:szCs w:val="16"/>
                <w:color w:val="auto"/>
              </w:rPr>
              <w:t>Other noncurrent assets</w:t>
            </w: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w:t>
            </w:r>
          </w:p>
        </w:tc>
        <w:tc>
          <w:tcPr>
            <w:tcW w:w="2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w:t>
            </w:r>
          </w:p>
        </w:tc>
        <w:tc>
          <w:tcPr>
            <w:tcW w:w="0" w:type="dxa"/>
            <w:vAlign w:val="bottom"/>
          </w:tcPr>
          <w:p>
            <w:pPr>
              <w:spacing w:after="0"/>
              <w:rPr>
                <w:sz w:val="1"/>
                <w:szCs w:val="1"/>
                <w:color w:val="auto"/>
              </w:rPr>
            </w:pPr>
          </w:p>
        </w:tc>
      </w:tr>
      <w:tr>
        <w:trPr>
          <w:trHeight w:val="310"/>
        </w:trPr>
        <w:tc>
          <w:tcPr>
            <w:tcW w:w="77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color w:val="auto"/>
              </w:rPr>
              <w:t>Total assets</w:t>
            </w:r>
          </w:p>
        </w:tc>
        <w:tc>
          <w:tcPr>
            <w:tcW w:w="980" w:type="dxa"/>
            <w:vAlign w:val="bottom"/>
            <w:tcBorders>
              <w:bottom w:val="single" w:sz="8" w:color="DCE2EF"/>
            </w:tcBorders>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5,269.5</w:t>
            </w:r>
          </w:p>
        </w:tc>
        <w:tc>
          <w:tcPr>
            <w:tcW w:w="2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DCE2EF"/>
            </w:tcBorders>
            <w:shd w:val="clear" w:color="auto" w:fill="DCE2EF"/>
          </w:tcPr>
          <w:p>
            <w:pPr>
              <w:spacing w:after="0"/>
              <w:rPr>
                <w:sz w:val="24"/>
                <w:szCs w:val="24"/>
                <w:color w:val="auto"/>
              </w:rPr>
            </w:pPr>
          </w:p>
        </w:tc>
        <w:tc>
          <w:tcPr>
            <w:tcW w:w="520" w:type="dxa"/>
            <w:vAlign w:val="bottom"/>
            <w:tcBorders>
              <w:bottom w:val="single" w:sz="8" w:color="DCE2EF"/>
            </w:tcBorders>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5,097.2</w:t>
            </w:r>
          </w:p>
        </w:tc>
        <w:tc>
          <w:tcPr>
            <w:tcW w:w="0" w:type="dxa"/>
            <w:vAlign w:val="bottom"/>
          </w:tcPr>
          <w:p>
            <w:pPr>
              <w:spacing w:after="0"/>
              <w:rPr>
                <w:sz w:val="1"/>
                <w:szCs w:val="1"/>
                <w:color w:val="auto"/>
              </w:rPr>
            </w:pPr>
          </w:p>
        </w:tc>
      </w:tr>
      <w:tr>
        <w:trPr>
          <w:trHeight w:val="233"/>
        </w:trPr>
        <w:tc>
          <w:tcPr>
            <w:tcW w:w="7740" w:type="dxa"/>
            <w:vAlign w:val="bottom"/>
            <w:tcBorders>
              <w:top w:val="single" w:sz="8" w:color="DCE2EF"/>
            </w:tcBorders>
            <w:gridSpan w:val="3"/>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20" w:type="dxa"/>
            <w:vAlign w:val="bottom"/>
            <w:tcBorders>
              <w:top w:val="single" w:sz="8" w:color="DCE2EF"/>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77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Current liabilities</w:t>
            </w:r>
          </w:p>
        </w:tc>
        <w:tc>
          <w:tcPr>
            <w:tcW w:w="980" w:type="dxa"/>
            <w:vAlign w:val="bottom"/>
            <w:shd w:val="clear" w:color="auto" w:fill="DCE2EF"/>
          </w:tcPr>
          <w:p>
            <w:pPr>
              <w:spacing w:after="0"/>
              <w:rPr>
                <w:sz w:val="24"/>
                <w:szCs w:val="24"/>
                <w:color w:val="auto"/>
              </w:rPr>
            </w:pPr>
          </w:p>
        </w:tc>
        <w:tc>
          <w:tcPr>
            <w:tcW w:w="6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460" w:type="dxa"/>
            <w:vAlign w:val="bottom"/>
            <w:shd w:val="clear" w:color="auto" w:fill="DCE2EF"/>
          </w:tcPr>
          <w:p>
            <w:pPr>
              <w:spacing w:after="0"/>
              <w:rPr>
                <w:sz w:val="24"/>
                <w:szCs w:val="24"/>
                <w:color w:val="auto"/>
              </w:rPr>
            </w:pPr>
          </w:p>
        </w:tc>
        <w:tc>
          <w:tcPr>
            <w:tcW w:w="520" w:type="dxa"/>
            <w:vAlign w:val="bottom"/>
            <w:shd w:val="clear" w:color="auto" w:fill="DCE2EF"/>
          </w:tcPr>
          <w:p>
            <w:pPr>
              <w:spacing w:after="0"/>
              <w:rPr>
                <w:sz w:val="24"/>
                <w:szCs w:val="24"/>
                <w:color w:val="auto"/>
              </w:rPr>
            </w:pPr>
          </w:p>
        </w:tc>
        <w:tc>
          <w:tcPr>
            <w:tcW w:w="580" w:type="dxa"/>
            <w:vAlign w:val="bottom"/>
            <w:shd w:val="clear" w:color="auto" w:fill="DCE2EF"/>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7700" w:type="dxa"/>
            <w:vAlign w:val="bottom"/>
            <w:gridSpan w:val="2"/>
          </w:tcPr>
          <w:p>
            <w:pPr>
              <w:ind w:left="260"/>
              <w:spacing w:after="0"/>
              <w:rPr>
                <w:sz w:val="20"/>
                <w:szCs w:val="20"/>
                <w:color w:val="auto"/>
              </w:rPr>
            </w:pPr>
            <w:r>
              <w:rPr>
                <w:rFonts w:ascii="Arial" w:cs="Arial" w:eastAsia="Arial" w:hAnsi="Arial"/>
                <w:sz w:val="16"/>
                <w:szCs w:val="16"/>
                <w:color w:val="auto"/>
              </w:rPr>
              <w:t>Current portion of debt, net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29.4</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91"/>
        </w:trPr>
        <w:tc>
          <w:tcPr>
            <w:tcW w:w="40" w:type="dxa"/>
            <w:vAlign w:val="bottom"/>
            <w:shd w:val="clear" w:color="auto" w:fill="DCE2EF"/>
          </w:tcPr>
          <w:p>
            <w:pPr>
              <w:spacing w:after="0"/>
              <w:rPr>
                <w:sz w:val="24"/>
                <w:szCs w:val="24"/>
                <w:color w:val="auto"/>
              </w:rPr>
            </w:pPr>
          </w:p>
        </w:tc>
        <w:tc>
          <w:tcPr>
            <w:tcW w:w="7700" w:type="dxa"/>
            <w:vAlign w:val="bottom"/>
            <w:gridSpan w:val="2"/>
            <w:shd w:val="clear" w:color="auto" w:fill="DCE2EF"/>
          </w:tcPr>
          <w:p>
            <w:pPr>
              <w:ind w:left="260"/>
              <w:spacing w:after="0"/>
              <w:rPr>
                <w:sz w:val="20"/>
                <w:szCs w:val="20"/>
                <w:color w:val="auto"/>
              </w:rPr>
            </w:pPr>
            <w:r>
              <w:rPr>
                <w:rFonts w:ascii="Arial" w:cs="Arial" w:eastAsia="Arial" w:hAnsi="Arial"/>
                <w:sz w:val="16"/>
                <w:szCs w:val="16"/>
                <w:color w:val="auto"/>
              </w:rPr>
              <w:t>Trade accounts payable</w:t>
            </w:r>
          </w:p>
        </w:tc>
        <w:tc>
          <w:tcPr>
            <w:tcW w:w="980" w:type="dxa"/>
            <w:vAlign w:val="bottom"/>
            <w:shd w:val="clear" w:color="auto" w:fill="DCE2EF"/>
          </w:tcPr>
          <w:p>
            <w:pPr>
              <w:spacing w:after="0"/>
              <w:rPr>
                <w:sz w:val="24"/>
                <w:szCs w:val="24"/>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401.2</w:t>
            </w:r>
          </w:p>
        </w:tc>
        <w:tc>
          <w:tcPr>
            <w:tcW w:w="220" w:type="dxa"/>
            <w:vAlign w:val="bottom"/>
            <w:shd w:val="clear" w:color="auto" w:fill="DCE2EF"/>
          </w:tcPr>
          <w:p>
            <w:pPr>
              <w:spacing w:after="0"/>
              <w:rPr>
                <w:sz w:val="24"/>
                <w:szCs w:val="24"/>
                <w:color w:val="auto"/>
              </w:rPr>
            </w:pPr>
          </w:p>
        </w:tc>
        <w:tc>
          <w:tcPr>
            <w:tcW w:w="460" w:type="dxa"/>
            <w:vAlign w:val="bottom"/>
            <w:shd w:val="clear" w:color="auto" w:fill="DCE2EF"/>
          </w:tcPr>
          <w:p>
            <w:pPr>
              <w:spacing w:after="0"/>
              <w:rPr>
                <w:sz w:val="24"/>
                <w:szCs w:val="24"/>
                <w:color w:val="auto"/>
              </w:rPr>
            </w:pPr>
          </w:p>
        </w:tc>
        <w:tc>
          <w:tcPr>
            <w:tcW w:w="5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7700" w:type="dxa"/>
            <w:vAlign w:val="bottom"/>
            <w:gridSpan w:val="2"/>
          </w:tcPr>
          <w:p>
            <w:pPr>
              <w:ind w:left="260"/>
              <w:spacing w:after="0"/>
              <w:rPr>
                <w:sz w:val="20"/>
                <w:szCs w:val="20"/>
                <w:color w:val="auto"/>
              </w:rPr>
            </w:pPr>
            <w:r>
              <w:rPr>
                <w:rFonts w:ascii="Arial" w:cs="Arial" w:eastAsia="Arial" w:hAnsi="Arial"/>
                <w:sz w:val="16"/>
                <w:szCs w:val="16"/>
                <w:color w:val="auto"/>
              </w:rPr>
              <w:t>Accrued compensation</w:t>
            </w: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195.0</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291"/>
        </w:trPr>
        <w:tc>
          <w:tcPr>
            <w:tcW w:w="40" w:type="dxa"/>
            <w:vAlign w:val="bottom"/>
            <w:shd w:val="clear" w:color="auto" w:fill="DCE2EF"/>
          </w:tcPr>
          <w:p>
            <w:pPr>
              <w:spacing w:after="0"/>
              <w:rPr>
                <w:sz w:val="24"/>
                <w:szCs w:val="24"/>
                <w:color w:val="auto"/>
              </w:rPr>
            </w:pPr>
          </w:p>
        </w:tc>
        <w:tc>
          <w:tcPr>
            <w:tcW w:w="7700" w:type="dxa"/>
            <w:vAlign w:val="bottom"/>
            <w:gridSpan w:val="2"/>
            <w:shd w:val="clear" w:color="auto" w:fill="DCE2EF"/>
          </w:tcPr>
          <w:p>
            <w:pPr>
              <w:ind w:left="260"/>
              <w:spacing w:after="0"/>
              <w:rPr>
                <w:sz w:val="20"/>
                <w:szCs w:val="20"/>
                <w:color w:val="auto"/>
              </w:rPr>
            </w:pPr>
            <w:r>
              <w:rPr>
                <w:rFonts w:ascii="Arial" w:cs="Arial" w:eastAsia="Arial" w:hAnsi="Arial"/>
                <w:sz w:val="16"/>
                <w:szCs w:val="16"/>
                <w:color w:val="auto"/>
              </w:rPr>
              <w:t>Accrued taxes—other than income</w:t>
            </w:r>
          </w:p>
        </w:tc>
        <w:tc>
          <w:tcPr>
            <w:tcW w:w="980" w:type="dxa"/>
            <w:vAlign w:val="bottom"/>
            <w:shd w:val="clear" w:color="auto" w:fill="DCE2EF"/>
          </w:tcPr>
          <w:p>
            <w:pPr>
              <w:spacing w:after="0"/>
              <w:rPr>
                <w:sz w:val="24"/>
                <w:szCs w:val="24"/>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48.1</w:t>
            </w:r>
          </w:p>
        </w:tc>
        <w:tc>
          <w:tcPr>
            <w:tcW w:w="220" w:type="dxa"/>
            <w:vAlign w:val="bottom"/>
            <w:shd w:val="clear" w:color="auto" w:fill="DCE2EF"/>
          </w:tcPr>
          <w:p>
            <w:pPr>
              <w:spacing w:after="0"/>
              <w:rPr>
                <w:sz w:val="24"/>
                <w:szCs w:val="24"/>
                <w:color w:val="auto"/>
              </w:rPr>
            </w:pPr>
          </w:p>
        </w:tc>
        <w:tc>
          <w:tcPr>
            <w:tcW w:w="460" w:type="dxa"/>
            <w:vAlign w:val="bottom"/>
            <w:shd w:val="clear" w:color="auto" w:fill="DCE2EF"/>
          </w:tcPr>
          <w:p>
            <w:pPr>
              <w:spacing w:after="0"/>
              <w:rPr>
                <w:sz w:val="24"/>
                <w:szCs w:val="24"/>
                <w:color w:val="auto"/>
              </w:rPr>
            </w:pPr>
          </w:p>
        </w:tc>
        <w:tc>
          <w:tcPr>
            <w:tcW w:w="5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7700" w:type="dxa"/>
            <w:vAlign w:val="bottom"/>
            <w:gridSpan w:val="2"/>
          </w:tcPr>
          <w:p>
            <w:pPr>
              <w:ind w:left="260"/>
              <w:spacing w:after="0"/>
              <w:rPr>
                <w:sz w:val="20"/>
                <w:szCs w:val="20"/>
                <w:color w:val="auto"/>
              </w:rPr>
            </w:pPr>
            <w:r>
              <w:rPr>
                <w:rFonts w:ascii="Arial" w:cs="Arial" w:eastAsia="Arial" w:hAnsi="Arial"/>
                <w:sz w:val="16"/>
                <w:szCs w:val="16"/>
                <w:color w:val="auto"/>
              </w:rPr>
              <w:t>Deferred revenue</w:t>
            </w: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74.7</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91"/>
        </w:trPr>
        <w:tc>
          <w:tcPr>
            <w:tcW w:w="40" w:type="dxa"/>
            <w:vAlign w:val="bottom"/>
            <w:shd w:val="clear" w:color="auto" w:fill="DCE2EF"/>
          </w:tcPr>
          <w:p>
            <w:pPr>
              <w:spacing w:after="0"/>
              <w:rPr>
                <w:sz w:val="24"/>
                <w:szCs w:val="24"/>
                <w:color w:val="auto"/>
              </w:rPr>
            </w:pPr>
          </w:p>
        </w:tc>
        <w:tc>
          <w:tcPr>
            <w:tcW w:w="7700" w:type="dxa"/>
            <w:vAlign w:val="bottom"/>
            <w:gridSpan w:val="2"/>
            <w:shd w:val="clear" w:color="auto" w:fill="DCE2EF"/>
          </w:tcPr>
          <w:p>
            <w:pPr>
              <w:ind w:left="260"/>
              <w:spacing w:after="0"/>
              <w:rPr>
                <w:sz w:val="20"/>
                <w:szCs w:val="20"/>
                <w:color w:val="auto"/>
              </w:rPr>
            </w:pPr>
            <w:r>
              <w:rPr>
                <w:rFonts w:ascii="Arial" w:cs="Arial" w:eastAsia="Arial" w:hAnsi="Arial"/>
                <w:sz w:val="16"/>
                <w:szCs w:val="16"/>
                <w:color w:val="auto"/>
              </w:rPr>
              <w:t>Insurance claims</w:t>
            </w:r>
          </w:p>
        </w:tc>
        <w:tc>
          <w:tcPr>
            <w:tcW w:w="980" w:type="dxa"/>
            <w:vAlign w:val="bottom"/>
            <w:shd w:val="clear" w:color="auto" w:fill="DCE2EF"/>
          </w:tcPr>
          <w:p>
            <w:pPr>
              <w:spacing w:after="0"/>
              <w:rPr>
                <w:sz w:val="24"/>
                <w:szCs w:val="24"/>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200.8</w:t>
            </w:r>
          </w:p>
        </w:tc>
        <w:tc>
          <w:tcPr>
            <w:tcW w:w="220" w:type="dxa"/>
            <w:vAlign w:val="bottom"/>
            <w:shd w:val="clear" w:color="auto" w:fill="DCE2EF"/>
          </w:tcPr>
          <w:p>
            <w:pPr>
              <w:spacing w:after="0"/>
              <w:rPr>
                <w:sz w:val="24"/>
                <w:szCs w:val="24"/>
                <w:color w:val="auto"/>
              </w:rPr>
            </w:pPr>
          </w:p>
        </w:tc>
        <w:tc>
          <w:tcPr>
            <w:tcW w:w="460" w:type="dxa"/>
            <w:vAlign w:val="bottom"/>
            <w:shd w:val="clear" w:color="auto" w:fill="DCE2EF"/>
          </w:tcPr>
          <w:p>
            <w:pPr>
              <w:spacing w:after="0"/>
              <w:rPr>
                <w:sz w:val="24"/>
                <w:szCs w:val="24"/>
                <w:color w:val="auto"/>
              </w:rPr>
            </w:pPr>
          </w:p>
        </w:tc>
        <w:tc>
          <w:tcPr>
            <w:tcW w:w="5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197.5</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7700" w:type="dxa"/>
            <w:vAlign w:val="bottom"/>
            <w:gridSpan w:val="2"/>
          </w:tcPr>
          <w:p>
            <w:pPr>
              <w:ind w:left="260"/>
              <w:spacing w:after="0"/>
              <w:rPr>
                <w:sz w:val="20"/>
                <w:szCs w:val="20"/>
                <w:color w:val="auto"/>
              </w:rPr>
            </w:pPr>
            <w:r>
              <w:rPr>
                <w:rFonts w:ascii="Arial" w:cs="Arial" w:eastAsia="Arial" w:hAnsi="Arial"/>
                <w:sz w:val="16"/>
                <w:szCs w:val="16"/>
                <w:color w:val="auto"/>
              </w:rPr>
              <w:t>Income taxes payable</w:t>
            </w: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91"/>
        </w:trPr>
        <w:tc>
          <w:tcPr>
            <w:tcW w:w="40" w:type="dxa"/>
            <w:vAlign w:val="bottom"/>
            <w:shd w:val="clear" w:color="auto" w:fill="DCE2EF"/>
          </w:tcPr>
          <w:p>
            <w:pPr>
              <w:spacing w:after="0"/>
              <w:rPr>
                <w:sz w:val="24"/>
                <w:szCs w:val="24"/>
                <w:color w:val="auto"/>
              </w:rPr>
            </w:pPr>
          </w:p>
        </w:tc>
        <w:tc>
          <w:tcPr>
            <w:tcW w:w="7700" w:type="dxa"/>
            <w:vAlign w:val="bottom"/>
            <w:gridSpan w:val="2"/>
            <w:shd w:val="clear" w:color="auto" w:fill="DCE2EF"/>
          </w:tcPr>
          <w:p>
            <w:pPr>
              <w:ind w:left="260"/>
              <w:spacing w:after="0"/>
              <w:rPr>
                <w:sz w:val="20"/>
                <w:szCs w:val="20"/>
                <w:color w:val="auto"/>
              </w:rPr>
            </w:pPr>
            <w:r>
              <w:rPr>
                <w:rFonts w:ascii="Arial" w:cs="Arial" w:eastAsia="Arial" w:hAnsi="Arial"/>
                <w:sz w:val="16"/>
                <w:szCs w:val="16"/>
                <w:color w:val="auto"/>
              </w:rPr>
              <w:t>Current portion of lease liabilities</w:t>
            </w:r>
          </w:p>
        </w:tc>
        <w:tc>
          <w:tcPr>
            <w:tcW w:w="980" w:type="dxa"/>
            <w:vAlign w:val="bottom"/>
            <w:shd w:val="clear" w:color="auto" w:fill="DCE2EF"/>
          </w:tcPr>
          <w:p>
            <w:pPr>
              <w:spacing w:after="0"/>
              <w:rPr>
                <w:sz w:val="24"/>
                <w:szCs w:val="24"/>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28.2</w:t>
            </w:r>
          </w:p>
        </w:tc>
        <w:tc>
          <w:tcPr>
            <w:tcW w:w="220" w:type="dxa"/>
            <w:vAlign w:val="bottom"/>
            <w:shd w:val="clear" w:color="auto" w:fill="DCE2EF"/>
          </w:tcPr>
          <w:p>
            <w:pPr>
              <w:spacing w:after="0"/>
              <w:rPr>
                <w:sz w:val="24"/>
                <w:szCs w:val="24"/>
                <w:color w:val="auto"/>
              </w:rPr>
            </w:pPr>
          </w:p>
        </w:tc>
        <w:tc>
          <w:tcPr>
            <w:tcW w:w="460" w:type="dxa"/>
            <w:vAlign w:val="bottom"/>
            <w:shd w:val="clear" w:color="auto" w:fill="DCE2EF"/>
          </w:tcPr>
          <w:p>
            <w:pPr>
              <w:spacing w:after="0"/>
              <w:rPr>
                <w:sz w:val="24"/>
                <w:szCs w:val="24"/>
                <w:color w:val="auto"/>
              </w:rPr>
            </w:pPr>
          </w:p>
        </w:tc>
        <w:tc>
          <w:tcPr>
            <w:tcW w:w="5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7700" w:type="dxa"/>
            <w:vAlign w:val="bottom"/>
            <w:gridSpan w:val="2"/>
          </w:tcPr>
          <w:p>
            <w:pPr>
              <w:ind w:left="260"/>
              <w:spacing w:after="0"/>
              <w:rPr>
                <w:sz w:val="20"/>
                <w:szCs w:val="20"/>
                <w:color w:val="auto"/>
              </w:rPr>
            </w:pPr>
            <w:r>
              <w:rPr>
                <w:rFonts w:ascii="Arial" w:cs="Arial" w:eastAsia="Arial" w:hAnsi="Arial"/>
                <w:sz w:val="16"/>
                <w:szCs w:val="16"/>
                <w:color w:val="auto"/>
              </w:rPr>
              <w:t>Other accrued liabilities</w:t>
            </w: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w:t>
            </w:r>
          </w:p>
        </w:tc>
        <w:tc>
          <w:tcPr>
            <w:tcW w:w="2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348.2</w:t>
            </w:r>
          </w:p>
        </w:tc>
        <w:tc>
          <w:tcPr>
            <w:tcW w:w="0" w:type="dxa"/>
            <w:vAlign w:val="bottom"/>
          </w:tcPr>
          <w:p>
            <w:pPr>
              <w:spacing w:after="0"/>
              <w:rPr>
                <w:sz w:val="1"/>
                <w:szCs w:val="1"/>
                <w:color w:val="auto"/>
              </w:rPr>
            </w:pPr>
          </w:p>
        </w:tc>
      </w:tr>
      <w:tr>
        <w:trPr>
          <w:trHeight w:val="258"/>
        </w:trPr>
        <w:tc>
          <w:tcPr>
            <w:tcW w:w="40" w:type="dxa"/>
            <w:vAlign w:val="bottom"/>
            <w:tcBorders>
              <w:bottom w:val="single" w:sz="8" w:color="DCE2EF"/>
            </w:tcBorders>
            <w:shd w:val="clear" w:color="auto" w:fill="DCE2EF"/>
          </w:tcPr>
          <w:p>
            <w:pPr>
              <w:spacing w:after="0"/>
              <w:rPr>
                <w:sz w:val="22"/>
                <w:szCs w:val="22"/>
                <w:color w:val="auto"/>
              </w:rPr>
            </w:pPr>
          </w:p>
        </w:tc>
        <w:tc>
          <w:tcPr>
            <w:tcW w:w="7700" w:type="dxa"/>
            <w:vAlign w:val="bottom"/>
            <w:tcBorders>
              <w:bottom w:val="single" w:sz="8" w:color="DCE2EF"/>
            </w:tcBorders>
            <w:gridSpan w:val="2"/>
            <w:shd w:val="clear" w:color="auto" w:fill="DCE2EF"/>
          </w:tcPr>
          <w:p>
            <w:pPr>
              <w:ind w:left="500"/>
              <w:spacing w:after="0"/>
              <w:rPr>
                <w:sz w:val="20"/>
                <w:szCs w:val="20"/>
                <w:color w:val="auto"/>
              </w:rPr>
            </w:pPr>
            <w:r>
              <w:rPr>
                <w:rFonts w:ascii="Arial" w:cs="Arial" w:eastAsia="Arial" w:hAnsi="Arial"/>
                <w:sz w:val="16"/>
                <w:szCs w:val="16"/>
                <w:color w:val="auto"/>
              </w:rPr>
              <w:t>Total current liabilities</w:t>
            </w:r>
          </w:p>
        </w:tc>
        <w:tc>
          <w:tcPr>
            <w:tcW w:w="980" w:type="dxa"/>
            <w:vAlign w:val="bottom"/>
            <w:tcBorders>
              <w:bottom w:val="single" w:sz="8" w:color="auto"/>
            </w:tcBorders>
            <w:shd w:val="clear" w:color="auto" w:fill="DCE2EF"/>
          </w:tcPr>
          <w:p>
            <w:pPr>
              <w:spacing w:after="0"/>
              <w:rPr>
                <w:sz w:val="22"/>
                <w:szCs w:val="22"/>
                <w:color w:val="auto"/>
              </w:rPr>
            </w:pPr>
          </w:p>
        </w:tc>
        <w:tc>
          <w:tcPr>
            <w:tcW w:w="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1,305.7</w:t>
            </w:r>
          </w:p>
        </w:tc>
        <w:tc>
          <w:tcPr>
            <w:tcW w:w="220" w:type="dxa"/>
            <w:vAlign w:val="bottom"/>
            <w:tcBorders>
              <w:bottom w:val="single" w:sz="8" w:color="DCE2EF"/>
            </w:tcBorders>
            <w:shd w:val="clear" w:color="auto" w:fill="DCE2EF"/>
          </w:tcPr>
          <w:p>
            <w:pPr>
              <w:spacing w:after="0"/>
              <w:rPr>
                <w:sz w:val="22"/>
                <w:szCs w:val="22"/>
                <w:color w:val="auto"/>
              </w:rPr>
            </w:pPr>
          </w:p>
        </w:tc>
        <w:tc>
          <w:tcPr>
            <w:tcW w:w="460" w:type="dxa"/>
            <w:vAlign w:val="bottom"/>
            <w:tcBorders>
              <w:bottom w:val="single" w:sz="8" w:color="auto"/>
            </w:tcBorders>
            <w:shd w:val="clear" w:color="auto" w:fill="DCE2EF"/>
          </w:tcPr>
          <w:p>
            <w:pPr>
              <w:spacing w:after="0"/>
              <w:rPr>
                <w:sz w:val="22"/>
                <w:szCs w:val="22"/>
                <w:color w:val="auto"/>
              </w:rPr>
            </w:pPr>
          </w:p>
        </w:tc>
        <w:tc>
          <w:tcPr>
            <w:tcW w:w="520" w:type="dxa"/>
            <w:vAlign w:val="bottom"/>
            <w:tcBorders>
              <w:bottom w:val="single" w:sz="8" w:color="auto"/>
            </w:tcBorders>
            <w:shd w:val="clear" w:color="auto" w:fill="DCE2EF"/>
          </w:tcPr>
          <w:p>
            <w:pPr>
              <w:spacing w:after="0"/>
              <w:rPr>
                <w:sz w:val="22"/>
                <w:szCs w:val="22"/>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1,348.4</w:t>
            </w:r>
          </w:p>
        </w:tc>
        <w:tc>
          <w:tcPr>
            <w:tcW w:w="0" w:type="dxa"/>
            <w:vAlign w:val="bottom"/>
          </w:tcPr>
          <w:p>
            <w:pPr>
              <w:spacing w:after="0"/>
              <w:rPr>
                <w:sz w:val="1"/>
                <w:szCs w:val="1"/>
                <w:color w:val="auto"/>
              </w:rPr>
            </w:pPr>
          </w:p>
        </w:tc>
      </w:tr>
      <w:tr>
        <w:trPr>
          <w:trHeight w:val="248"/>
        </w:trPr>
        <w:tc>
          <w:tcPr>
            <w:tcW w:w="7740" w:type="dxa"/>
            <w:vAlign w:val="bottom"/>
            <w:gridSpan w:val="3"/>
          </w:tcPr>
          <w:p>
            <w:pPr>
              <w:ind w:left="40"/>
              <w:spacing w:after="0"/>
              <w:rPr>
                <w:sz w:val="20"/>
                <w:szCs w:val="20"/>
                <w:color w:val="auto"/>
              </w:rPr>
            </w:pPr>
            <w:r>
              <w:rPr>
                <w:rFonts w:ascii="Arial" w:cs="Arial" w:eastAsia="Arial" w:hAnsi="Arial"/>
                <w:sz w:val="16"/>
                <w:szCs w:val="16"/>
                <w:color w:val="auto"/>
              </w:rPr>
              <w:t>Long-term debt, net</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1,537.1</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1,302.2</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7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Long-term lease liabilities</w:t>
            </w:r>
          </w:p>
        </w:tc>
        <w:tc>
          <w:tcPr>
            <w:tcW w:w="980" w:type="dxa"/>
            <w:vAlign w:val="bottom"/>
            <w:shd w:val="clear" w:color="auto" w:fill="DCE2EF"/>
          </w:tcPr>
          <w:p>
            <w:pPr>
              <w:spacing w:after="0"/>
              <w:rPr>
                <w:sz w:val="24"/>
                <w:szCs w:val="24"/>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83.7</w:t>
            </w:r>
          </w:p>
        </w:tc>
        <w:tc>
          <w:tcPr>
            <w:tcW w:w="220" w:type="dxa"/>
            <w:vAlign w:val="bottom"/>
            <w:shd w:val="clear" w:color="auto" w:fill="DCE2EF"/>
          </w:tcPr>
          <w:p>
            <w:pPr>
              <w:spacing w:after="0"/>
              <w:rPr>
                <w:sz w:val="24"/>
                <w:szCs w:val="24"/>
                <w:color w:val="auto"/>
              </w:rPr>
            </w:pPr>
          </w:p>
        </w:tc>
        <w:tc>
          <w:tcPr>
            <w:tcW w:w="460" w:type="dxa"/>
            <w:vAlign w:val="bottom"/>
            <w:shd w:val="clear" w:color="auto" w:fill="DCE2EF"/>
          </w:tcPr>
          <w:p>
            <w:pPr>
              <w:spacing w:after="0"/>
              <w:rPr>
                <w:sz w:val="24"/>
                <w:szCs w:val="24"/>
                <w:color w:val="auto"/>
              </w:rPr>
            </w:pPr>
          </w:p>
        </w:tc>
        <w:tc>
          <w:tcPr>
            <w:tcW w:w="5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279"/>
        </w:trPr>
        <w:tc>
          <w:tcPr>
            <w:tcW w:w="7740" w:type="dxa"/>
            <w:vAlign w:val="bottom"/>
            <w:gridSpan w:val="3"/>
          </w:tcPr>
          <w:p>
            <w:pPr>
              <w:ind w:left="40"/>
              <w:spacing w:after="0"/>
              <w:rPr>
                <w:sz w:val="20"/>
                <w:szCs w:val="20"/>
                <w:color w:val="auto"/>
              </w:rPr>
            </w:pPr>
            <w:r>
              <w:rPr>
                <w:rFonts w:ascii="Arial" w:cs="Arial" w:eastAsia="Arial" w:hAnsi="Arial"/>
                <w:sz w:val="16"/>
                <w:szCs w:val="16"/>
                <w:color w:val="auto"/>
              </w:rPr>
              <w:t>Deferred income tax liability, net</w:t>
            </w:r>
          </w:p>
        </w:tc>
        <w:tc>
          <w:tcPr>
            <w:tcW w:w="9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39.9</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288"/>
        </w:trPr>
        <w:tc>
          <w:tcPr>
            <w:tcW w:w="77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Noncurrent insurance claims</w:t>
            </w:r>
          </w:p>
        </w:tc>
        <w:tc>
          <w:tcPr>
            <w:tcW w:w="980" w:type="dxa"/>
            <w:vAlign w:val="bottom"/>
            <w:shd w:val="clear" w:color="auto" w:fill="DCE2EF"/>
          </w:tcPr>
          <w:p>
            <w:pPr>
              <w:spacing w:after="0"/>
              <w:rPr>
                <w:sz w:val="24"/>
                <w:szCs w:val="24"/>
                <w:color w:val="auto"/>
              </w:rPr>
            </w:pPr>
          </w:p>
        </w:tc>
        <w:tc>
          <w:tcPr>
            <w:tcW w:w="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459.3</w:t>
            </w:r>
          </w:p>
        </w:tc>
        <w:tc>
          <w:tcPr>
            <w:tcW w:w="220" w:type="dxa"/>
            <w:vAlign w:val="bottom"/>
            <w:shd w:val="clear" w:color="auto" w:fill="DCE2EF"/>
          </w:tcPr>
          <w:p>
            <w:pPr>
              <w:spacing w:after="0"/>
              <w:rPr>
                <w:sz w:val="24"/>
                <w:szCs w:val="24"/>
                <w:color w:val="auto"/>
              </w:rPr>
            </w:pPr>
          </w:p>
        </w:tc>
        <w:tc>
          <w:tcPr>
            <w:tcW w:w="460" w:type="dxa"/>
            <w:vAlign w:val="bottom"/>
            <w:shd w:val="clear" w:color="auto" w:fill="DCE2EF"/>
          </w:tcPr>
          <w:p>
            <w:pPr>
              <w:spacing w:after="0"/>
              <w:rPr>
                <w:sz w:val="24"/>
                <w:szCs w:val="24"/>
                <w:color w:val="auto"/>
              </w:rPr>
            </w:pPr>
          </w:p>
        </w:tc>
        <w:tc>
          <w:tcPr>
            <w:tcW w:w="52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421.8</w:t>
            </w:r>
          </w:p>
        </w:tc>
        <w:tc>
          <w:tcPr>
            <w:tcW w:w="0" w:type="dxa"/>
            <w:vAlign w:val="bottom"/>
          </w:tcPr>
          <w:p>
            <w:pPr>
              <w:spacing w:after="0"/>
              <w:rPr>
                <w:sz w:val="1"/>
                <w:szCs w:val="1"/>
                <w:color w:val="auto"/>
              </w:rPr>
            </w:pPr>
          </w:p>
        </w:tc>
      </w:tr>
      <w:tr>
        <w:trPr>
          <w:trHeight w:val="279"/>
        </w:trPr>
        <w:tc>
          <w:tcPr>
            <w:tcW w:w="7740" w:type="dxa"/>
            <w:vAlign w:val="bottom"/>
            <w:gridSpan w:val="3"/>
          </w:tcPr>
          <w:p>
            <w:pPr>
              <w:ind w:left="40"/>
              <w:spacing w:after="0"/>
              <w:rPr>
                <w:sz w:val="20"/>
                <w:szCs w:val="20"/>
                <w:color w:val="auto"/>
              </w:rPr>
            </w:pPr>
            <w:r>
              <w:rPr>
                <w:rFonts w:ascii="Arial" w:cs="Arial" w:eastAsia="Arial" w:hAnsi="Arial"/>
                <w:sz w:val="16"/>
                <w:szCs w:val="16"/>
                <w:color w:val="auto"/>
              </w:rPr>
              <w:t>Other noncurrent liabilities</w:t>
            </w:r>
          </w:p>
        </w:tc>
        <w:tc>
          <w:tcPr>
            <w:tcW w:w="9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54.3</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287"/>
        </w:trPr>
        <w:tc>
          <w:tcPr>
            <w:tcW w:w="77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color w:val="auto"/>
              </w:rPr>
              <w:t>Noncurrent income taxes payable</w:t>
            </w:r>
          </w:p>
        </w:tc>
        <w:tc>
          <w:tcPr>
            <w:tcW w:w="980" w:type="dxa"/>
            <w:vAlign w:val="bottom"/>
            <w:tcBorders>
              <w:bottom w:val="single" w:sz="8" w:color="auto"/>
            </w:tcBorders>
            <w:shd w:val="clear" w:color="auto" w:fill="DCE2EF"/>
          </w:tcPr>
          <w:p>
            <w:pPr>
              <w:spacing w:after="0"/>
              <w:rPr>
                <w:sz w:val="24"/>
                <w:szCs w:val="24"/>
                <w:color w:val="auto"/>
              </w:rPr>
            </w:pPr>
          </w:p>
        </w:tc>
        <w:tc>
          <w:tcPr>
            <w:tcW w:w="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auto"/>
            </w:tcBorders>
            <w:shd w:val="clear" w:color="auto" w:fill="DCE2EF"/>
          </w:tcPr>
          <w:p>
            <w:pPr>
              <w:spacing w:after="0"/>
              <w:rPr>
                <w:sz w:val="24"/>
                <w:szCs w:val="24"/>
                <w:color w:val="auto"/>
              </w:rPr>
            </w:pPr>
          </w:p>
        </w:tc>
        <w:tc>
          <w:tcPr>
            <w:tcW w:w="52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7700" w:type="dxa"/>
            <w:vAlign w:val="bottom"/>
            <w:gridSpan w:val="2"/>
          </w:tcPr>
          <w:p>
            <w:pPr>
              <w:ind w:left="260"/>
              <w:spacing w:after="0"/>
              <w:rPr>
                <w:sz w:val="20"/>
                <w:szCs w:val="20"/>
                <w:color w:val="auto"/>
              </w:rPr>
            </w:pPr>
            <w:r>
              <w:rPr>
                <w:rFonts w:ascii="Arial" w:cs="Arial" w:eastAsia="Arial" w:hAnsi="Arial"/>
                <w:sz w:val="16"/>
                <w:szCs w:val="16"/>
                <w:color w:val="auto"/>
              </w:rPr>
              <w:t>Total liabilities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3,483.8</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3,315.2</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bottom w:val="single" w:sz="8" w:color="DCE2EF"/>
            </w:tcBorders>
            <w:shd w:val="clear" w:color="auto" w:fill="DCE2EF"/>
          </w:tcPr>
          <w:p>
            <w:pPr>
              <w:spacing w:after="0"/>
              <w:rPr>
                <w:sz w:val="24"/>
                <w:szCs w:val="24"/>
                <w:color w:val="auto"/>
              </w:rPr>
            </w:pPr>
          </w:p>
        </w:tc>
        <w:tc>
          <w:tcPr>
            <w:tcW w:w="7700" w:type="dxa"/>
            <w:vAlign w:val="bottom"/>
            <w:tcBorders>
              <w:bottom w:val="single" w:sz="8" w:color="DCE2EF"/>
            </w:tcBorders>
            <w:gridSpan w:val="2"/>
            <w:shd w:val="clear" w:color="auto" w:fill="DCE2EF"/>
          </w:tcPr>
          <w:p>
            <w:pPr>
              <w:ind w:left="260"/>
              <w:spacing w:after="0"/>
              <w:rPr>
                <w:sz w:val="20"/>
                <w:szCs w:val="20"/>
                <w:color w:val="auto"/>
              </w:rPr>
            </w:pPr>
            <w:r>
              <w:rPr>
                <w:rFonts w:ascii="Arial" w:cs="Arial" w:eastAsia="Arial" w:hAnsi="Arial"/>
                <w:sz w:val="16"/>
                <w:szCs w:val="16"/>
                <w:color w:val="auto"/>
              </w:rPr>
              <w:t>Total stockholders’ equity</w:t>
            </w:r>
          </w:p>
        </w:tc>
        <w:tc>
          <w:tcPr>
            <w:tcW w:w="980" w:type="dxa"/>
            <w:vAlign w:val="bottom"/>
            <w:tcBorders>
              <w:bottom w:val="single" w:sz="8" w:color="auto"/>
            </w:tcBorders>
            <w:shd w:val="clear" w:color="auto" w:fill="DCE2EF"/>
          </w:tcPr>
          <w:p>
            <w:pPr>
              <w:spacing w:after="0"/>
              <w:rPr>
                <w:sz w:val="24"/>
                <w:szCs w:val="24"/>
                <w:color w:val="auto"/>
              </w:rPr>
            </w:pPr>
          </w:p>
        </w:tc>
        <w:tc>
          <w:tcPr>
            <w:tcW w:w="6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1,785.6</w:t>
            </w:r>
          </w:p>
        </w:tc>
        <w:tc>
          <w:tcPr>
            <w:tcW w:w="220" w:type="dxa"/>
            <w:vAlign w:val="bottom"/>
            <w:tcBorders>
              <w:bottom w:val="single" w:sz="8" w:color="DCE2EF"/>
            </w:tcBorders>
            <w:shd w:val="clear" w:color="auto" w:fill="DCE2EF"/>
          </w:tcPr>
          <w:p>
            <w:pPr>
              <w:spacing w:after="0"/>
              <w:rPr>
                <w:sz w:val="24"/>
                <w:szCs w:val="24"/>
                <w:color w:val="auto"/>
              </w:rPr>
            </w:pPr>
          </w:p>
        </w:tc>
        <w:tc>
          <w:tcPr>
            <w:tcW w:w="460" w:type="dxa"/>
            <w:vAlign w:val="bottom"/>
            <w:tcBorders>
              <w:bottom w:val="single" w:sz="8" w:color="auto"/>
            </w:tcBorders>
            <w:shd w:val="clear" w:color="auto" w:fill="DCE2EF"/>
          </w:tcPr>
          <w:p>
            <w:pPr>
              <w:spacing w:after="0"/>
              <w:rPr>
                <w:sz w:val="24"/>
                <w:szCs w:val="24"/>
                <w:color w:val="auto"/>
              </w:rPr>
            </w:pPr>
          </w:p>
        </w:tc>
        <w:tc>
          <w:tcPr>
            <w:tcW w:w="52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1,781.9</w:t>
            </w:r>
          </w:p>
        </w:tc>
        <w:tc>
          <w:tcPr>
            <w:tcW w:w="0" w:type="dxa"/>
            <w:vAlign w:val="bottom"/>
          </w:tcPr>
          <w:p>
            <w:pPr>
              <w:spacing w:after="0"/>
              <w:rPr>
                <w:sz w:val="1"/>
                <w:szCs w:val="1"/>
                <w:color w:val="auto"/>
              </w:rPr>
            </w:pPr>
          </w:p>
        </w:tc>
      </w:tr>
      <w:tr>
        <w:trPr>
          <w:trHeight w:val="235"/>
        </w:trPr>
        <w:tc>
          <w:tcPr>
            <w:tcW w:w="7740" w:type="dxa"/>
            <w:vAlign w:val="bottom"/>
            <w:gridSpan w:val="3"/>
            <w:vMerge w:val="restart"/>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5,269.5</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5,097.2</w:t>
            </w:r>
          </w:p>
        </w:tc>
        <w:tc>
          <w:tcPr>
            <w:tcW w:w="0" w:type="dxa"/>
            <w:vAlign w:val="bottom"/>
          </w:tcPr>
          <w:p>
            <w:pPr>
              <w:spacing w:after="0"/>
              <w:rPr>
                <w:sz w:val="1"/>
                <w:szCs w:val="1"/>
                <w:color w:val="auto"/>
              </w:rPr>
            </w:pPr>
          </w:p>
        </w:tc>
      </w:tr>
      <w:tr>
        <w:trPr>
          <w:trHeight w:val="29"/>
        </w:trPr>
        <w:tc>
          <w:tcPr>
            <w:tcW w:w="7740" w:type="dxa"/>
            <w:vAlign w:val="bottom"/>
            <w:gridSpan w:val="3"/>
            <w:vMerge w:val="continue"/>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-6525895</wp:posOffset>
            </wp:positionV>
            <wp:extent cx="14605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-4005580</wp:posOffset>
            </wp:positionV>
            <wp:extent cx="14605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-3822700</wp:posOffset>
            </wp:positionV>
            <wp:extent cx="1460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-3796665</wp:posOffset>
            </wp:positionV>
            <wp:extent cx="1460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-1836420</wp:posOffset>
            </wp:positionV>
            <wp:extent cx="14605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-1656715</wp:posOffset>
            </wp:positionV>
            <wp:extent cx="14605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-576580</wp:posOffset>
            </wp:positionV>
            <wp:extent cx="146050"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-216535</wp:posOffset>
            </wp:positionV>
            <wp:extent cx="14605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6050" cy="114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5" w:right="399" w:bottom="1440" w:gutter="0" w:footer="0" w:header="0"/>
        </w:sectPr>
      </w:pPr>
    </w:p>
    <w:bookmarkStart w:id="15" w:name="page16"/>
    <w:bookmarkEnd w:id="15"/>
    <w:p>
      <w:pPr>
        <w:ind w:right="4940"/>
        <w:spacing w:after="0" w:line="279" w:lineRule="auto"/>
        <w:rPr>
          <w:sz w:val="20"/>
          <w:szCs w:val="20"/>
          <w:color w:val="auto"/>
        </w:rPr>
      </w:pPr>
      <w:r>
        <w:rPr>
          <w:rFonts w:ascii="Arial" w:cs="Arial" w:eastAsia="Arial" w:hAnsi="Arial"/>
          <w:sz w:val="19"/>
          <w:szCs w:val="19"/>
          <w:b w:val="1"/>
          <w:bCs w:val="1"/>
          <w:color w:val="0046AD"/>
        </w:rPr>
        <w:t>ABM INDUSTRIES INCORPORATED AND SUBSIDIARIES REVENUES AND OPERATING PROFIT BY SEGMENT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260" w:type="dxa"/>
            <w:vAlign w:val="bottom"/>
            <w:tcBorders>
              <w:bottom w:val="single" w:sz="8" w:color="auto"/>
            </w:tcBorders>
            <w:gridSpan w:val="5"/>
          </w:tcPr>
          <w:p>
            <w:pPr>
              <w:jc w:val="right"/>
              <w:ind w:right="278"/>
              <w:spacing w:after="0"/>
              <w:rPr>
                <w:sz w:val="20"/>
                <w:szCs w:val="20"/>
                <w:color w:val="auto"/>
              </w:rPr>
            </w:pPr>
            <w:r>
              <w:rPr>
                <w:rFonts w:ascii="Arial" w:cs="Arial" w:eastAsia="Arial" w:hAnsi="Arial"/>
                <w:sz w:val="16"/>
                <w:szCs w:val="16"/>
                <w:b w:val="1"/>
                <w:bCs w:val="1"/>
                <w:color w:val="auto"/>
              </w:rPr>
              <w:t>Three Months Ended October 31,</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5"/>
        </w:trPr>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rPr>
              <w:t>Increase/(Decreas</w:t>
            </w:r>
          </w:p>
        </w:tc>
      </w:tr>
      <w:tr>
        <w:trPr>
          <w:trHeight w:val="190"/>
        </w:trPr>
        <w:tc>
          <w:tcPr>
            <w:tcW w:w="6260" w:type="dxa"/>
            <w:vAlign w:val="bottom"/>
            <w:gridSpan w:val="3"/>
          </w:tcPr>
          <w:p>
            <w:pPr>
              <w:ind w:left="60"/>
              <w:spacing w:after="0"/>
              <w:rPr>
                <w:sz w:val="20"/>
                <w:szCs w:val="20"/>
                <w:color w:val="auto"/>
              </w:rPr>
            </w:pPr>
            <w:r>
              <w:rPr>
                <w:rFonts w:ascii="Arial" w:cs="Arial" w:eastAsia="Arial" w:hAnsi="Arial"/>
                <w:sz w:val="16"/>
                <w:szCs w:val="16"/>
                <w:i w:val="1"/>
                <w:iCs w:val="1"/>
                <w:u w:val="single" w:color="auto"/>
                <w:color w:val="auto"/>
              </w:rPr>
              <w:t>(</w:t>
            </w:r>
            <w:r>
              <w:rPr>
                <w:rFonts w:ascii="Arial" w:cs="Arial" w:eastAsia="Arial" w:hAnsi="Arial"/>
                <w:sz w:val="16"/>
                <w:szCs w:val="16"/>
                <w:i w:val="1"/>
                <w:iCs w:val="1"/>
                <w:color w:val="auto"/>
              </w:rPr>
              <w:t>$ in millions)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Pr>
          <w:p>
            <w:pPr>
              <w:spacing w:after="0"/>
              <w:rPr>
                <w:sz w:val="16"/>
                <w:szCs w:val="16"/>
                <w:color w:val="auto"/>
              </w:rPr>
            </w:pPr>
          </w:p>
        </w:tc>
        <w:tc>
          <w:tcPr>
            <w:tcW w:w="1160" w:type="dxa"/>
            <w:vAlign w:val="bottom"/>
            <w:gridSpan w:val="2"/>
          </w:tcPr>
          <w:p>
            <w:pPr>
              <w:ind w:left="800"/>
              <w:spacing w:after="0"/>
              <w:rPr>
                <w:sz w:val="20"/>
                <w:szCs w:val="20"/>
                <w:color w:val="auto"/>
              </w:rPr>
            </w:pPr>
            <w:r>
              <w:rPr>
                <w:rFonts w:ascii="Arial" w:cs="Arial" w:eastAsia="Arial" w:hAnsi="Arial"/>
                <w:sz w:val="16"/>
                <w:szCs w:val="16"/>
                <w:b w:val="1"/>
                <w:bCs w:val="1"/>
                <w:color w:val="auto"/>
                <w:w w:val="95"/>
              </w:rPr>
              <w:t>2024</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399"/>
              <w:spacing w:after="0"/>
              <w:rPr>
                <w:sz w:val="20"/>
                <w:szCs w:val="20"/>
                <w:color w:val="auto"/>
              </w:rPr>
            </w:pPr>
            <w:r>
              <w:rPr>
                <w:rFonts w:ascii="Arial" w:cs="Arial" w:eastAsia="Arial" w:hAnsi="Arial"/>
                <w:sz w:val="16"/>
                <w:szCs w:val="16"/>
                <w:b w:val="1"/>
                <w:bCs w:val="1"/>
                <w:color w:val="auto"/>
              </w:rPr>
              <w:t>e)</w:t>
            </w:r>
          </w:p>
        </w:tc>
        <w:tc>
          <w:tcPr>
            <w:tcW w:w="200" w:type="dxa"/>
            <w:vAlign w:val="bottom"/>
          </w:tcPr>
          <w:p>
            <w:pPr>
              <w:spacing w:after="0"/>
              <w:rPr>
                <w:sz w:val="16"/>
                <w:szCs w:val="16"/>
                <w:color w:val="auto"/>
              </w:rPr>
            </w:pPr>
          </w:p>
        </w:tc>
      </w:tr>
      <w:tr>
        <w:trPr>
          <w:trHeight w:val="34"/>
        </w:trPr>
        <w:tc>
          <w:tcPr>
            <w:tcW w:w="6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960" w:type="dxa"/>
            <w:vAlign w:val="bottom"/>
            <w:tcBorders>
              <w:bottom w:val="single" w:sz="8" w:color="DCE2EF"/>
            </w:tcBorders>
            <w:shd w:val="clear" w:color="auto" w:fill="DCE2EF"/>
          </w:tcPr>
          <w:p>
            <w:pPr>
              <w:spacing w:after="0"/>
              <w:rPr>
                <w:sz w:val="21"/>
                <w:szCs w:val="21"/>
                <w:color w:val="auto"/>
              </w:rPr>
            </w:pPr>
          </w:p>
        </w:tc>
        <w:tc>
          <w:tcPr>
            <w:tcW w:w="560" w:type="dxa"/>
            <w:vAlign w:val="bottom"/>
            <w:tcBorders>
              <w:bottom w:val="single" w:sz="8" w:color="DCE2EF"/>
            </w:tcBorders>
            <w:shd w:val="clear" w:color="auto" w:fill="DCE2EF"/>
          </w:tcPr>
          <w:p>
            <w:pPr>
              <w:spacing w:after="0"/>
              <w:rPr>
                <w:sz w:val="21"/>
                <w:szCs w:val="21"/>
                <w:color w:val="auto"/>
              </w:rPr>
            </w:pPr>
          </w:p>
        </w:tc>
        <w:tc>
          <w:tcPr>
            <w:tcW w:w="220" w:type="dxa"/>
            <w:vAlign w:val="bottom"/>
            <w:tcBorders>
              <w:bottom w:val="single" w:sz="8" w:color="DCE2EF"/>
            </w:tcBorders>
            <w:shd w:val="clear" w:color="auto" w:fill="DCE2EF"/>
          </w:tcPr>
          <w:p>
            <w:pPr>
              <w:spacing w:after="0"/>
              <w:rPr>
                <w:sz w:val="21"/>
                <w:szCs w:val="21"/>
                <w:color w:val="auto"/>
              </w:rPr>
            </w:pPr>
          </w:p>
        </w:tc>
        <w:tc>
          <w:tcPr>
            <w:tcW w:w="94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spacing w:after="0"/>
              <w:rPr>
                <w:sz w:val="21"/>
                <w:szCs w:val="21"/>
                <w:color w:val="auto"/>
              </w:rPr>
            </w:pPr>
          </w:p>
        </w:tc>
        <w:tc>
          <w:tcPr>
            <w:tcW w:w="200" w:type="dxa"/>
            <w:vAlign w:val="bottom"/>
            <w:tcBorders>
              <w:bottom w:val="single" w:sz="8" w:color="DCE2EF"/>
            </w:tcBorders>
            <w:shd w:val="clear" w:color="auto" w:fill="DCE2EF"/>
          </w:tcPr>
          <w:p>
            <w:pPr>
              <w:spacing w:after="0"/>
              <w:rPr>
                <w:sz w:val="21"/>
                <w:szCs w:val="21"/>
                <w:color w:val="auto"/>
              </w:rPr>
            </w:pPr>
          </w:p>
        </w:tc>
        <w:tc>
          <w:tcPr>
            <w:tcW w:w="1320" w:type="dxa"/>
            <w:vAlign w:val="bottom"/>
            <w:tcBorders>
              <w:bottom w:val="single" w:sz="8" w:color="DCE2EF"/>
            </w:tcBorders>
            <w:shd w:val="clear" w:color="auto" w:fill="DCE2EF"/>
          </w:tcPr>
          <w:p>
            <w:pPr>
              <w:spacing w:after="0"/>
              <w:rPr>
                <w:sz w:val="21"/>
                <w:szCs w:val="21"/>
                <w:color w:val="auto"/>
              </w:rPr>
            </w:pPr>
          </w:p>
        </w:tc>
        <w:tc>
          <w:tcPr>
            <w:tcW w:w="200" w:type="dxa"/>
            <w:vAlign w:val="bottom"/>
            <w:tcBorders>
              <w:bottom w:val="single" w:sz="8" w:color="DCE2EF"/>
            </w:tcBorders>
            <w:shd w:val="clear" w:color="auto" w:fill="DCE2EF"/>
          </w:tcPr>
          <w:p>
            <w:pPr>
              <w:spacing w:after="0"/>
              <w:rPr>
                <w:sz w:val="21"/>
                <w:szCs w:val="21"/>
                <w:color w:val="auto"/>
              </w:rPr>
            </w:pPr>
          </w:p>
        </w:tc>
      </w:tr>
      <w:tr>
        <w:trPr>
          <w:trHeight w:val="27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Business &amp; Industry</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1,048.8</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1,025.7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1"/>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Manufacturing &amp; Distribution</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417.4</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387.7</w:t>
            </w:r>
          </w:p>
        </w:tc>
        <w:tc>
          <w:tcPr>
            <w:tcW w:w="15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7.7</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7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Aviation</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296.7</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276.5</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7.3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1"/>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Education</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233.7</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230.0</w:t>
            </w:r>
          </w:p>
        </w:tc>
        <w:tc>
          <w:tcPr>
            <w:tcW w:w="15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1.6</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77"/>
        </w:trPr>
        <w:tc>
          <w:tcPr>
            <w:tcW w:w="6260" w:type="dxa"/>
            <w:vAlign w:val="bottom"/>
            <w:tcBorders>
              <w:bottom w:val="single" w:sz="8" w:color="DCE2EF"/>
            </w:tcBorders>
            <w:gridSpan w:val="3"/>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298.7</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257.4</w:t>
            </w:r>
          </w:p>
        </w:tc>
        <w:tc>
          <w:tcPr>
            <w:tcW w:w="1520" w:type="dxa"/>
            <w:vAlign w:val="bottom"/>
            <w:tcBorders>
              <w:bottom w:val="single" w:sz="8" w:color="DCE2EF"/>
            </w:tcBorders>
            <w:gridSpan w:val="2"/>
          </w:tcPr>
          <w:p>
            <w:pPr>
              <w:ind w:left="880"/>
              <w:spacing w:after="0"/>
              <w:rPr>
                <w:sz w:val="20"/>
                <w:szCs w:val="20"/>
                <w:color w:val="auto"/>
              </w:rPr>
            </w:pPr>
            <w:r>
              <w:rPr>
                <w:rFonts w:ascii="Arial" w:cs="Arial" w:eastAsia="Arial" w:hAnsi="Arial"/>
                <w:sz w:val="16"/>
                <w:szCs w:val="16"/>
                <w:color w:val="auto"/>
              </w:rPr>
              <w:t>16.0</w:t>
            </w:r>
          </w:p>
        </w:tc>
        <w:tc>
          <w:tcPr>
            <w:tcW w:w="200" w:type="dxa"/>
            <w:vAlign w:val="bottom"/>
            <w:tcBorders>
              <w:bottom w:val="single" w:sz="8" w:color="DCE2EF"/>
            </w:tcBorders>
          </w:tcPr>
          <w:p>
            <w:pPr>
              <w:jc w:val="right"/>
              <w:spacing w:after="0"/>
              <w:rPr>
                <w:sz w:val="20"/>
                <w:szCs w:val="20"/>
                <w:color w:val="auto"/>
              </w:rPr>
            </w:pPr>
            <w:r>
              <w:rPr>
                <w:rFonts w:ascii="Arial" w:cs="Arial" w:eastAsia="Arial" w:hAnsi="Arial"/>
                <w:sz w:val="16"/>
                <w:szCs w:val="16"/>
                <w:color w:val="auto"/>
              </w:rPr>
              <w:t>%</w:t>
            </w:r>
          </w:p>
        </w:tc>
      </w:tr>
      <w:tr>
        <w:trPr>
          <w:trHeight w:val="310"/>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Total revenues</w:t>
            </w:r>
          </w:p>
        </w:tc>
        <w:tc>
          <w:tcPr>
            <w:tcW w:w="96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2,295.3</w:t>
            </w:r>
          </w:p>
        </w:tc>
        <w:tc>
          <w:tcPr>
            <w:tcW w:w="1160" w:type="dxa"/>
            <w:vAlign w:val="bottom"/>
            <w:gridSpan w:val="2"/>
            <w:shd w:val="clear" w:color="auto" w:fill="DCE2EF"/>
          </w:tcPr>
          <w:p>
            <w:pPr>
              <w:ind w:left="820"/>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2,177.3</w:t>
            </w:r>
          </w:p>
        </w:tc>
        <w:tc>
          <w:tcPr>
            <w:tcW w:w="15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5.4</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626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b w:val="1"/>
                <w:bCs w:val="1"/>
                <w:color w:val="auto"/>
              </w:rPr>
              <w:t>Operating profit</w:t>
            </w:r>
          </w:p>
        </w:tc>
        <w:tc>
          <w:tcPr>
            <w:tcW w:w="9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20" w:type="dxa"/>
            <w:vAlign w:val="bottom"/>
            <w:tcBorders>
              <w:top w:val="single" w:sz="8" w:color="DCE2EF"/>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0" w:type="dxa"/>
            <w:vAlign w:val="bottom"/>
            <w:tcBorders>
              <w:top w:val="single" w:sz="8" w:color="DCE2EF"/>
            </w:tcBorders>
          </w:tcPr>
          <w:p>
            <w:pPr>
              <w:spacing w:after="0"/>
              <w:rPr>
                <w:sz w:val="21"/>
                <w:szCs w:val="21"/>
                <w:color w:val="auto"/>
              </w:rPr>
            </w:pPr>
          </w:p>
        </w:tc>
        <w:tc>
          <w:tcPr>
            <w:tcW w:w="1320" w:type="dxa"/>
            <w:vAlign w:val="bottom"/>
            <w:tcBorders>
              <w:top w:val="single" w:sz="8" w:color="DCE2EF"/>
            </w:tcBorders>
          </w:tcPr>
          <w:p>
            <w:pPr>
              <w:spacing w:after="0"/>
              <w:rPr>
                <w:sz w:val="21"/>
                <w:szCs w:val="21"/>
                <w:color w:val="auto"/>
              </w:rPr>
            </w:pPr>
          </w:p>
        </w:tc>
        <w:tc>
          <w:tcPr>
            <w:tcW w:w="200" w:type="dxa"/>
            <w:vAlign w:val="bottom"/>
            <w:tcBorders>
              <w:top w:val="single" w:sz="8" w:color="DCE2EF"/>
            </w:tcBorders>
          </w:tcPr>
          <w:p>
            <w:pPr>
              <w:spacing w:after="0"/>
              <w:rPr>
                <w:sz w:val="21"/>
                <w:szCs w:val="21"/>
                <w:color w:val="auto"/>
              </w:rPr>
            </w:pPr>
          </w:p>
        </w:tc>
      </w:tr>
      <w:tr>
        <w:trPr>
          <w:trHeight w:val="287"/>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Business &amp; Industry</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80.6</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72.0</w:t>
            </w:r>
          </w:p>
        </w:tc>
        <w:tc>
          <w:tcPr>
            <w:tcW w:w="1520" w:type="dxa"/>
            <w:vAlign w:val="bottom"/>
            <w:gridSpan w:val="2"/>
            <w:shd w:val="clear" w:color="auto" w:fill="DCE2EF"/>
          </w:tcPr>
          <w:p>
            <w:pPr>
              <w:ind w:left="880"/>
              <w:spacing w:after="0"/>
              <w:rPr>
                <w:sz w:val="20"/>
                <w:szCs w:val="20"/>
                <w:color w:val="auto"/>
              </w:rPr>
            </w:pPr>
            <w:r>
              <w:rPr>
                <w:rFonts w:ascii="Arial" w:cs="Arial" w:eastAsia="Arial" w:hAnsi="Arial"/>
                <w:sz w:val="16"/>
                <w:szCs w:val="16"/>
                <w:color w:val="auto"/>
              </w:rPr>
              <w:t>12.0</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7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Manufacturing &amp; Distribution</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35.8</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40.4</w:t>
            </w:r>
          </w:p>
        </w:tc>
        <w:tc>
          <w:tcPr>
            <w:tcW w:w="1520" w:type="dxa"/>
            <w:vAlign w:val="bottom"/>
            <w:gridSpan w:val="2"/>
          </w:tcPr>
          <w:p>
            <w:pPr>
              <w:ind w:left="880"/>
              <w:spacing w:after="0"/>
              <w:rPr>
                <w:sz w:val="20"/>
                <w:szCs w:val="20"/>
                <w:color w:val="auto"/>
              </w:rPr>
            </w:pPr>
            <w:r>
              <w:rPr>
                <w:rFonts w:ascii="Arial" w:cs="Arial" w:eastAsia="Arial" w:hAnsi="Arial"/>
                <w:sz w:val="16"/>
                <w:szCs w:val="16"/>
                <w:color w:val="auto"/>
              </w:rPr>
              <w:t>(11.3)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1"/>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Aviation</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16.8</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18.6</w:t>
            </w:r>
          </w:p>
        </w:tc>
        <w:tc>
          <w:tcPr>
            <w:tcW w:w="1520" w:type="dxa"/>
            <w:vAlign w:val="bottom"/>
            <w:gridSpan w:val="2"/>
            <w:shd w:val="clear" w:color="auto" w:fill="DCE2EF"/>
          </w:tcPr>
          <w:p>
            <w:pPr>
              <w:ind w:left="880"/>
              <w:spacing w:after="0"/>
              <w:rPr>
                <w:sz w:val="20"/>
                <w:szCs w:val="20"/>
                <w:color w:val="auto"/>
              </w:rPr>
            </w:pPr>
            <w:r>
              <w:rPr>
                <w:rFonts w:ascii="Arial" w:cs="Arial" w:eastAsia="Arial" w:hAnsi="Arial"/>
                <w:sz w:val="16"/>
                <w:szCs w:val="16"/>
                <w:color w:val="auto"/>
              </w:rPr>
              <w:t>(9.8)</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7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Education</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18.8</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13.1</w:t>
            </w:r>
          </w:p>
        </w:tc>
        <w:tc>
          <w:tcPr>
            <w:tcW w:w="1520" w:type="dxa"/>
            <w:vAlign w:val="bottom"/>
            <w:gridSpan w:val="2"/>
          </w:tcPr>
          <w:p>
            <w:pPr>
              <w:ind w:left="880"/>
              <w:spacing w:after="0"/>
              <w:rPr>
                <w:sz w:val="20"/>
                <w:szCs w:val="20"/>
                <w:color w:val="auto"/>
              </w:rPr>
            </w:pPr>
            <w:r>
              <w:rPr>
                <w:rFonts w:ascii="Arial" w:cs="Arial" w:eastAsia="Arial" w:hAnsi="Arial"/>
                <w:sz w:val="16"/>
                <w:szCs w:val="16"/>
                <w:color w:val="auto"/>
              </w:rPr>
              <w:t>43.8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37.1</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28.0</w:t>
            </w:r>
          </w:p>
        </w:tc>
        <w:tc>
          <w:tcPr>
            <w:tcW w:w="1520" w:type="dxa"/>
            <w:vAlign w:val="bottom"/>
            <w:tcBorders>
              <w:bottom w:val="single" w:sz="8" w:color="DCE2EF"/>
            </w:tcBorders>
            <w:gridSpan w:val="2"/>
            <w:shd w:val="clear" w:color="auto" w:fill="DCE2EF"/>
          </w:tcPr>
          <w:p>
            <w:pPr>
              <w:ind w:left="880"/>
              <w:spacing w:after="0"/>
              <w:rPr>
                <w:sz w:val="20"/>
                <w:szCs w:val="20"/>
                <w:color w:val="auto"/>
              </w:rPr>
            </w:pPr>
            <w:r>
              <w:rPr>
                <w:rFonts w:ascii="Arial" w:cs="Arial" w:eastAsia="Arial" w:hAnsi="Arial"/>
                <w:sz w:val="16"/>
                <w:szCs w:val="16"/>
                <w:color w:val="auto"/>
              </w:rPr>
              <w:t>32.2</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260" w:type="dxa"/>
            <w:vAlign w:val="bottom"/>
            <w:gridSpan w:val="3"/>
          </w:tcPr>
          <w:p>
            <w:pPr>
              <w:ind w:left="60"/>
              <w:spacing w:after="0"/>
              <w:rPr>
                <w:sz w:val="20"/>
                <w:szCs w:val="20"/>
                <w:color w:val="auto"/>
              </w:rPr>
            </w:pPr>
            <w:r>
              <w:rPr>
                <w:rFonts w:ascii="Arial" w:cs="Arial" w:eastAsia="Arial" w:hAnsi="Arial"/>
                <w:sz w:val="16"/>
                <w:szCs w:val="16"/>
                <w:b w:val="1"/>
                <w:bCs w:val="1"/>
                <w:color w:val="auto"/>
              </w:rPr>
              <w:t>Segment operating profit</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189.1</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172.1</w:t>
            </w:r>
          </w:p>
        </w:tc>
        <w:tc>
          <w:tcPr>
            <w:tcW w:w="1720" w:type="dxa"/>
            <w:vAlign w:val="bottom"/>
            <w:gridSpan w:val="3"/>
          </w:tcPr>
          <w:p>
            <w:pPr>
              <w:jc w:val="right"/>
              <w:spacing w:after="0"/>
              <w:rPr>
                <w:sz w:val="20"/>
                <w:szCs w:val="20"/>
                <w:color w:val="auto"/>
              </w:rPr>
            </w:pPr>
            <w:r>
              <w:rPr>
                <w:rFonts w:ascii="Arial" w:cs="Arial" w:eastAsia="Arial" w:hAnsi="Arial"/>
                <w:sz w:val="16"/>
                <w:szCs w:val="16"/>
                <w:color w:val="auto"/>
              </w:rPr>
              <w:t>9.9 %</w:t>
            </w:r>
          </w:p>
        </w:tc>
      </w:tr>
      <w:tr>
        <w:trPr>
          <w:trHeight w:val="21"/>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8"/>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i w:val="1"/>
                <w:iCs w:val="1"/>
                <w:color w:val="auto"/>
              </w:rPr>
              <w:t>Segment operating margin</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Times New Roman" w:cs="Times New Roman" w:eastAsia="Times New Roman" w:hAnsi="Times New Roman"/>
                <w:sz w:val="18"/>
                <w:szCs w:val="18"/>
                <w:i w:val="1"/>
                <w:iCs w:val="1"/>
                <w:color w:val="auto"/>
              </w:rPr>
              <w:t>8.2 %</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Times New Roman" w:cs="Times New Roman" w:eastAsia="Times New Roman" w:hAnsi="Times New Roman"/>
                <w:sz w:val="18"/>
                <w:szCs w:val="18"/>
                <w:i w:val="1"/>
                <w:iCs w:val="1"/>
                <w:color w:val="auto"/>
              </w:rPr>
              <w:t>7.9 %</w:t>
            </w:r>
          </w:p>
        </w:tc>
        <w:tc>
          <w:tcPr>
            <w:tcW w:w="200" w:type="dxa"/>
            <w:vAlign w:val="bottom"/>
            <w:shd w:val="clear" w:color="auto" w:fill="DCE2EF"/>
          </w:tcPr>
          <w:p>
            <w:pPr>
              <w:spacing w:after="0"/>
              <w:rPr>
                <w:sz w:val="24"/>
                <w:szCs w:val="24"/>
                <w:color w:val="auto"/>
              </w:rPr>
            </w:pPr>
          </w:p>
        </w:tc>
        <w:tc>
          <w:tcPr>
            <w:tcW w:w="132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-2753995</wp:posOffset>
            </wp:positionV>
            <wp:extent cx="13716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-2753995</wp:posOffset>
            </wp:positionV>
            <wp:extent cx="13716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-1490980</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-1464945</wp:posOffset>
            </wp:positionV>
            <wp:extent cx="137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-1490980</wp:posOffset>
            </wp:positionV>
            <wp:extent cx="137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-1464945</wp:posOffset>
            </wp:positionV>
            <wp:extent cx="137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-1671320</wp:posOffset>
            </wp:positionV>
            <wp:extent cx="137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-396240</wp:posOffset>
            </wp:positionV>
            <wp:extent cx="137160"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-396240</wp:posOffset>
            </wp:positionV>
            <wp:extent cx="137160"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p>
      <w:pPr>
        <w:spacing w:after="0" w:line="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Corporate</w:t>
      </w:r>
      <w:r>
        <w:rPr>
          <w:rFonts w:ascii="Arial" w:cs="Arial" w:eastAsia="Arial" w:hAnsi="Arial"/>
          <w:sz w:val="21"/>
          <w:szCs w:val="2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3003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49" w:lineRule="exact"/>
        <w:rPr>
          <w:sz w:val="20"/>
          <w:szCs w:val="20"/>
          <w:color w:val="auto"/>
        </w:rPr>
      </w:pPr>
    </w:p>
    <w:p>
      <w:pPr>
        <w:ind w:left="160" w:hanging="98"/>
        <w:spacing w:after="0" w:line="286" w:lineRule="auto"/>
        <w:rPr>
          <w:sz w:val="20"/>
          <w:szCs w:val="20"/>
          <w:color w:val="auto"/>
        </w:rPr>
      </w:pPr>
      <w:r>
        <w:rPr>
          <w:rFonts w:ascii="Arial" w:cs="Arial" w:eastAsia="Arial" w:hAnsi="Arial"/>
          <w:sz w:val="16"/>
          <w:szCs w:val="16"/>
          <w:color w:val="auto"/>
        </w:rPr>
        <w:t>Adjustment for income from unconsolidated affiliates, included in Aviation and Technical Solutions</w:t>
      </w:r>
    </w:p>
    <w:p>
      <w:pPr>
        <w:spacing w:after="0" w:line="34" w:lineRule="exact"/>
        <w:rPr>
          <w:sz w:val="20"/>
          <w:szCs w:val="20"/>
          <w:color w:val="auto"/>
        </w:rPr>
      </w:pPr>
    </w:p>
    <w:p>
      <w:pPr>
        <w:ind w:left="200" w:right="1160" w:hanging="134"/>
        <w:spacing w:after="0" w:line="286" w:lineRule="auto"/>
        <w:rPr>
          <w:sz w:val="20"/>
          <w:szCs w:val="20"/>
          <w:color w:val="auto"/>
        </w:rPr>
      </w:pPr>
      <w:r>
        <w:rPr>
          <w:rFonts w:ascii="Arial" w:cs="Arial" w:eastAsia="Arial" w:hAnsi="Arial"/>
          <w:sz w:val="16"/>
          <w:szCs w:val="16"/>
          <w:color w:val="auto"/>
        </w:rPr>
        <w:t>Adjustment for tax deductions for energy efficient government buildings, included in Technical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82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8288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b w:val="1"/>
          <w:bCs w:val="1"/>
          <w:color w:val="auto"/>
        </w:rPr>
        <w:t>Total operating profit</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Income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Interest expense</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80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Income tax provision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income (loss)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Pr>
          <w:p>
            <w:pPr>
              <w:jc w:val="right"/>
              <w:spacing w:after="0"/>
              <w:rPr>
                <w:sz w:val="20"/>
                <w:szCs w:val="20"/>
                <w:color w:val="auto"/>
              </w:rPr>
            </w:pPr>
            <w:r>
              <w:rPr>
                <w:rFonts w:ascii="Arial" w:cs="Arial" w:eastAsia="Arial" w:hAnsi="Arial"/>
                <w:sz w:val="16"/>
                <w:szCs w:val="16"/>
                <w:color w:val="auto"/>
              </w:rPr>
              <w:t>(118.7)</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(148.1)</w:t>
            </w:r>
          </w:p>
        </w:tc>
        <w:tc>
          <w:tcPr>
            <w:tcW w:w="1520" w:type="dxa"/>
            <w:vAlign w:val="bottom"/>
          </w:tcPr>
          <w:p>
            <w:pPr>
              <w:ind w:left="880"/>
              <w:spacing w:after="0"/>
              <w:rPr>
                <w:sz w:val="20"/>
                <w:szCs w:val="20"/>
                <w:color w:val="auto"/>
              </w:rPr>
            </w:pPr>
            <w:r>
              <w:rPr>
                <w:rFonts w:ascii="Arial" w:cs="Arial" w:eastAsia="Arial" w:hAnsi="Arial"/>
                <w:sz w:val="16"/>
                <w:szCs w:val="16"/>
                <w:color w:val="auto"/>
              </w:rPr>
              <w:t>19.9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73"/>
        </w:trPr>
        <w:tc>
          <w:tcPr>
            <w:tcW w:w="1520" w:type="dxa"/>
            <w:vAlign w:val="bottom"/>
          </w:tcPr>
          <w:p>
            <w:pPr>
              <w:jc w:val="right"/>
              <w:spacing w:after="0"/>
              <w:rPr>
                <w:sz w:val="20"/>
                <w:szCs w:val="20"/>
                <w:color w:val="auto"/>
              </w:rPr>
            </w:pPr>
            <w:r>
              <w:rPr>
                <w:rFonts w:ascii="Arial" w:cs="Arial" w:eastAsia="Arial" w:hAnsi="Arial"/>
                <w:sz w:val="16"/>
                <w:szCs w:val="16"/>
                <w:color w:val="auto"/>
              </w:rPr>
              <w:t>(1.2)</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520" w:type="dxa"/>
            <w:vAlign w:val="bottom"/>
          </w:tcPr>
          <w:p>
            <w:pPr>
              <w:ind w:left="880"/>
              <w:spacing w:after="0"/>
              <w:rPr>
                <w:sz w:val="20"/>
                <w:szCs w:val="20"/>
                <w:color w:val="auto"/>
              </w:rPr>
            </w:pPr>
            <w:r>
              <w:rPr>
                <w:rFonts w:ascii="Arial" w:cs="Arial" w:eastAsia="Arial" w:hAnsi="Arial"/>
                <w:sz w:val="16"/>
                <w:szCs w:val="16"/>
                <w:color w:val="auto"/>
              </w:rPr>
              <w:t>31.7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73"/>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2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520" w:type="dxa"/>
            <w:vAlign w:val="bottom"/>
          </w:tcPr>
          <w:p>
            <w:pPr>
              <w:ind w:left="880"/>
              <w:spacing w:after="0"/>
              <w:rPr>
                <w:sz w:val="20"/>
                <w:szCs w:val="20"/>
                <w:color w:val="auto"/>
              </w:rPr>
            </w:pPr>
            <w:r>
              <w:rPr>
                <w:rFonts w:ascii="Arial" w:cs="Arial" w:eastAsia="Arial" w:hAnsi="Arial"/>
                <w:sz w:val="16"/>
                <w:szCs w:val="16"/>
                <w:color w:val="auto"/>
              </w:rPr>
              <w:t>74.1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1520" w:type="dxa"/>
            <w:vAlign w:val="bottom"/>
          </w:tcPr>
          <w:p>
            <w:pPr>
              <w:jc w:val="right"/>
              <w:spacing w:after="0"/>
              <w:rPr>
                <w:sz w:val="20"/>
                <w:szCs w:val="20"/>
                <w:color w:val="auto"/>
              </w:rPr>
            </w:pPr>
            <w:r>
              <w:rPr>
                <w:rFonts w:ascii="Arial" w:cs="Arial" w:eastAsia="Arial" w:hAnsi="Arial"/>
                <w:sz w:val="16"/>
                <w:szCs w:val="16"/>
                <w:color w:val="auto"/>
              </w:rPr>
              <w:t>68.4</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19.2</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NM*</w:t>
            </w:r>
          </w:p>
        </w:tc>
      </w:tr>
      <w:tr>
        <w:trPr>
          <w:trHeight w:val="297"/>
        </w:trPr>
        <w:tc>
          <w:tcPr>
            <w:tcW w:w="1520" w:type="dxa"/>
            <w:vAlign w:val="bottom"/>
          </w:tcPr>
          <w:p>
            <w:pPr>
              <w:jc w:val="right"/>
              <w:spacing w:after="0"/>
              <w:rPr>
                <w:sz w:val="20"/>
                <w:szCs w:val="20"/>
                <w:color w:val="auto"/>
              </w:rPr>
            </w:pPr>
            <w:r>
              <w:rPr>
                <w:rFonts w:ascii="Arial" w:cs="Arial" w:eastAsia="Arial" w:hAnsi="Arial"/>
                <w:sz w:val="16"/>
                <w:szCs w:val="16"/>
                <w:color w:val="auto"/>
              </w:rPr>
              <w:t>1.2</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520" w:type="dxa"/>
            <w:vAlign w:val="bottom"/>
          </w:tcPr>
          <w:p>
            <w:pPr>
              <w:ind w:left="880"/>
              <w:spacing w:after="0"/>
              <w:rPr>
                <w:sz w:val="20"/>
                <w:szCs w:val="20"/>
                <w:color w:val="auto"/>
              </w:rPr>
            </w:pPr>
            <w:r>
              <w:rPr>
                <w:rFonts w:ascii="Arial" w:cs="Arial" w:eastAsia="Arial" w:hAnsi="Arial"/>
                <w:sz w:val="16"/>
                <w:szCs w:val="16"/>
                <w:color w:val="auto"/>
              </w:rPr>
              <w:t>(31.7)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8"/>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2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520" w:type="dxa"/>
            <w:vAlign w:val="bottom"/>
          </w:tcPr>
          <w:p>
            <w:pPr>
              <w:ind w:left="880"/>
              <w:spacing w:after="0"/>
              <w:rPr>
                <w:sz w:val="20"/>
                <w:szCs w:val="20"/>
                <w:color w:val="auto"/>
              </w:rPr>
            </w:pPr>
            <w:r>
              <w:rPr>
                <w:rFonts w:ascii="Arial" w:cs="Arial" w:eastAsia="Arial" w:hAnsi="Arial"/>
                <w:sz w:val="16"/>
                <w:szCs w:val="16"/>
                <w:color w:val="auto"/>
              </w:rPr>
              <w:t>(11.2)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1520" w:type="dxa"/>
            <w:vAlign w:val="bottom"/>
          </w:tcPr>
          <w:p>
            <w:pPr>
              <w:jc w:val="right"/>
              <w:spacing w:after="0"/>
              <w:rPr>
                <w:sz w:val="20"/>
                <w:szCs w:val="20"/>
                <w:color w:val="auto"/>
              </w:rPr>
            </w:pPr>
            <w:r>
              <w:rPr>
                <w:rFonts w:ascii="Arial" w:cs="Arial" w:eastAsia="Arial" w:hAnsi="Arial"/>
                <w:sz w:val="16"/>
                <w:szCs w:val="16"/>
                <w:color w:val="auto"/>
              </w:rPr>
              <w:t>45.3</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NM*</w:t>
            </w:r>
          </w:p>
        </w:tc>
      </w:tr>
      <w:tr>
        <w:trPr>
          <w:trHeight w:val="306"/>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2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520" w:type="dxa"/>
            <w:vAlign w:val="bottom"/>
          </w:tcPr>
          <w:p>
            <w:pPr>
              <w:ind w:left="1240"/>
              <w:spacing w:after="0"/>
              <w:rPr>
                <w:sz w:val="20"/>
                <w:szCs w:val="20"/>
                <w:color w:val="auto"/>
              </w:rPr>
            </w:pPr>
            <w:r>
              <w:rPr>
                <w:rFonts w:ascii="Arial" w:cs="Arial" w:eastAsia="Arial" w:hAnsi="Arial"/>
                <w:sz w:val="16"/>
                <w:szCs w:val="16"/>
                <w:color w:val="auto"/>
              </w:rPr>
              <w:t>3.6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1520" w:type="dxa"/>
            <w:vAlign w:val="bottom"/>
          </w:tcPr>
          <w:p>
            <w:pPr>
              <w:jc w:val="right"/>
              <w:spacing w:after="0"/>
              <w:rPr>
                <w:sz w:val="20"/>
                <w:szCs w:val="20"/>
                <w:color w:val="auto"/>
              </w:rPr>
            </w:pPr>
            <w:r>
              <w:rPr>
                <w:rFonts w:ascii="Arial" w:cs="Arial" w:eastAsia="Arial" w:hAnsi="Arial"/>
                <w:sz w:val="16"/>
                <w:szCs w:val="16"/>
                <w:color w:val="auto"/>
              </w:rPr>
              <w:t>$   34.8</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   (11.7)</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NM*</w:t>
            </w:r>
          </w:p>
        </w:tc>
      </w:tr>
      <w:tr>
        <w:trPr>
          <w:trHeight w:val="20"/>
        </w:trPr>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20" w:space="640"/>
            <w:col w:w="4980"/>
          </w:cols>
          <w:pgMar w:left="320" w:top="885" w:right="339" w:bottom="1440" w:gutter="0" w:footer="0" w:header="0"/>
          <w:type w:val="continuous"/>
        </w:sectPr>
      </w:pPr>
    </w:p>
    <w:p>
      <w:pPr>
        <w:spacing w:after="0" w:line="35" w:lineRule="exact"/>
        <w:rPr>
          <w:sz w:val="20"/>
          <w:szCs w:val="20"/>
          <w:color w:val="auto"/>
        </w:rPr>
      </w:pPr>
    </w:p>
    <w:p>
      <w:pPr>
        <w:ind w:left="60" w:right="60" w:hanging="4"/>
        <w:spacing w:after="0" w:line="213" w:lineRule="auto"/>
        <w:tabs>
          <w:tab w:leader="none" w:pos="192"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The three months ended October 31, 2025, includes a $1.6 million fair value adjustment to decrease the contingent consideration related to the RavenVolt Acquisition. The three months ended October 31, 2024, includes a $59.7 million fair value adjustment to increase the contingent consideration related to the RavenVolt Acquisition.</w:t>
      </w:r>
    </w:p>
    <w:p>
      <w:pPr>
        <w:spacing w:after="0" w:line="314" w:lineRule="exact"/>
        <w:rPr>
          <w:rFonts w:ascii="Arial" w:cs="Arial" w:eastAsia="Arial" w:hAnsi="Arial"/>
          <w:sz w:val="16"/>
          <w:szCs w:val="16"/>
          <w:color w:val="auto"/>
          <w:vertAlign w:val="superscript"/>
        </w:rPr>
      </w:pPr>
    </w:p>
    <w:p>
      <w:pPr>
        <w:ind w:left="180" w:hanging="124"/>
        <w:spacing w:after="0"/>
        <w:tabs>
          <w:tab w:leader="none" w:pos="180" w:val="left"/>
        </w:tabs>
        <w:numPr>
          <w:ilvl w:val="0"/>
          <w:numId w:val="19"/>
        </w:numPr>
        <w:rPr>
          <w:rFonts w:ascii="Arial" w:cs="Arial" w:eastAsia="Arial" w:hAnsi="Arial"/>
          <w:sz w:val="15"/>
          <w:szCs w:val="15"/>
          <w:color w:val="auto"/>
          <w:vertAlign w:val="superscript"/>
        </w:rPr>
      </w:pPr>
      <w:r>
        <w:rPr>
          <w:rFonts w:ascii="Arial" w:cs="Arial" w:eastAsia="Arial" w:hAnsi="Arial"/>
          <w:sz w:val="11"/>
          <w:szCs w:val="11"/>
          <w:color w:val="auto"/>
        </w:rPr>
        <w:t>The three months ended October 31, 2025 and October 31, 2024, include a $22.2 million and a $2.4 million negative impact of prior year self-insurance adjustments, respectively.</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2"/>
          <w:szCs w:val="12"/>
          <w:color w:val="auto"/>
        </w:rPr>
        <w:t>* Not meaningful (due to variance greater than or equal to +/-100%)</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type w:val="continuous"/>
        </w:sectPr>
      </w:pPr>
    </w:p>
    <w:bookmarkStart w:id="16" w:name="page17"/>
    <w:bookmarkEnd w:id="16"/>
    <w:p>
      <w:pPr>
        <w:ind w:right="4940"/>
        <w:spacing w:after="0" w:line="279" w:lineRule="auto"/>
        <w:rPr>
          <w:sz w:val="20"/>
          <w:szCs w:val="20"/>
          <w:color w:val="auto"/>
        </w:rPr>
      </w:pPr>
      <w:r>
        <w:rPr>
          <w:rFonts w:ascii="Arial" w:cs="Arial" w:eastAsia="Arial" w:hAnsi="Arial"/>
          <w:sz w:val="19"/>
          <w:szCs w:val="19"/>
          <w:b w:val="1"/>
          <w:bCs w:val="1"/>
          <w:color w:val="0046AD"/>
        </w:rPr>
        <w:t>ABM INDUSTRIES INCORPORATED AND SUBSIDIARIES REVENUES AND OPERATING PROFIT BY SEGMENT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rPr>
              <w:t>Years Ended October 31,</w:t>
            </w: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5"/>
        </w:trPr>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rPr>
              <w:t>Increase/(Decreas</w:t>
            </w:r>
          </w:p>
        </w:tc>
      </w:tr>
      <w:tr>
        <w:trPr>
          <w:trHeight w:val="203"/>
        </w:trPr>
        <w:tc>
          <w:tcPr>
            <w:tcW w:w="626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399"/>
              <w:spacing w:after="0"/>
              <w:rPr>
                <w:sz w:val="20"/>
                <w:szCs w:val="20"/>
                <w:color w:val="auto"/>
              </w:rPr>
            </w:pPr>
            <w:r>
              <w:rPr>
                <w:rFonts w:ascii="Arial" w:cs="Arial" w:eastAsia="Arial" w:hAnsi="Arial"/>
                <w:sz w:val="16"/>
                <w:szCs w:val="16"/>
                <w:b w:val="1"/>
                <w:bCs w:val="1"/>
                <w:color w:val="auto"/>
              </w:rPr>
              <w:t>e)</w:t>
            </w:r>
          </w:p>
        </w:tc>
        <w:tc>
          <w:tcPr>
            <w:tcW w:w="20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44"/>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Revenues</w:t>
            </w:r>
          </w:p>
        </w:tc>
        <w:tc>
          <w:tcPr>
            <w:tcW w:w="960" w:type="dxa"/>
            <w:vAlign w:val="bottom"/>
            <w:tcBorders>
              <w:bottom w:val="single" w:sz="8" w:color="DCE2EF"/>
            </w:tcBorders>
            <w:shd w:val="clear" w:color="auto" w:fill="DCE2EF"/>
          </w:tcPr>
          <w:p>
            <w:pPr>
              <w:spacing w:after="0"/>
              <w:rPr>
                <w:sz w:val="21"/>
                <w:szCs w:val="21"/>
                <w:color w:val="auto"/>
              </w:rPr>
            </w:pPr>
          </w:p>
        </w:tc>
        <w:tc>
          <w:tcPr>
            <w:tcW w:w="560" w:type="dxa"/>
            <w:vAlign w:val="bottom"/>
            <w:tcBorders>
              <w:bottom w:val="single" w:sz="8" w:color="DCE2EF"/>
            </w:tcBorders>
            <w:shd w:val="clear" w:color="auto" w:fill="DCE2EF"/>
          </w:tcPr>
          <w:p>
            <w:pPr>
              <w:spacing w:after="0"/>
              <w:rPr>
                <w:sz w:val="21"/>
                <w:szCs w:val="21"/>
                <w:color w:val="auto"/>
              </w:rPr>
            </w:pPr>
          </w:p>
        </w:tc>
        <w:tc>
          <w:tcPr>
            <w:tcW w:w="220" w:type="dxa"/>
            <w:vAlign w:val="bottom"/>
            <w:tcBorders>
              <w:bottom w:val="single" w:sz="8" w:color="DCE2EF"/>
            </w:tcBorders>
            <w:shd w:val="clear" w:color="auto" w:fill="DCE2EF"/>
          </w:tcPr>
          <w:p>
            <w:pPr>
              <w:spacing w:after="0"/>
              <w:rPr>
                <w:sz w:val="21"/>
                <w:szCs w:val="21"/>
                <w:color w:val="auto"/>
              </w:rPr>
            </w:pPr>
          </w:p>
        </w:tc>
        <w:tc>
          <w:tcPr>
            <w:tcW w:w="940" w:type="dxa"/>
            <w:vAlign w:val="bottom"/>
            <w:tcBorders>
              <w:bottom w:val="single" w:sz="8" w:color="DCE2EF"/>
            </w:tcBorders>
            <w:shd w:val="clear" w:color="auto" w:fill="DCE2EF"/>
          </w:tcPr>
          <w:p>
            <w:pPr>
              <w:spacing w:after="0"/>
              <w:rPr>
                <w:sz w:val="21"/>
                <w:szCs w:val="21"/>
                <w:color w:val="auto"/>
              </w:rPr>
            </w:pPr>
          </w:p>
        </w:tc>
        <w:tc>
          <w:tcPr>
            <w:tcW w:w="580" w:type="dxa"/>
            <w:vAlign w:val="bottom"/>
            <w:tcBorders>
              <w:bottom w:val="single" w:sz="8" w:color="DCE2EF"/>
            </w:tcBorders>
            <w:shd w:val="clear" w:color="auto" w:fill="DCE2EF"/>
          </w:tcPr>
          <w:p>
            <w:pPr>
              <w:spacing w:after="0"/>
              <w:rPr>
                <w:sz w:val="21"/>
                <w:szCs w:val="21"/>
                <w:color w:val="auto"/>
              </w:rPr>
            </w:pPr>
          </w:p>
        </w:tc>
        <w:tc>
          <w:tcPr>
            <w:tcW w:w="200" w:type="dxa"/>
            <w:vAlign w:val="bottom"/>
            <w:tcBorders>
              <w:bottom w:val="single" w:sz="8" w:color="DCE2EF"/>
            </w:tcBorders>
            <w:shd w:val="clear" w:color="auto" w:fill="DCE2EF"/>
          </w:tcPr>
          <w:p>
            <w:pPr>
              <w:spacing w:after="0"/>
              <w:rPr>
                <w:sz w:val="21"/>
                <w:szCs w:val="21"/>
                <w:color w:val="auto"/>
              </w:rPr>
            </w:pPr>
          </w:p>
        </w:tc>
        <w:tc>
          <w:tcPr>
            <w:tcW w:w="1320" w:type="dxa"/>
            <w:vAlign w:val="bottom"/>
            <w:tcBorders>
              <w:bottom w:val="single" w:sz="8" w:color="DCE2EF"/>
            </w:tcBorders>
            <w:shd w:val="clear" w:color="auto" w:fill="DCE2EF"/>
          </w:tcPr>
          <w:p>
            <w:pPr>
              <w:spacing w:after="0"/>
              <w:rPr>
                <w:sz w:val="21"/>
                <w:szCs w:val="21"/>
                <w:color w:val="auto"/>
              </w:rPr>
            </w:pPr>
          </w:p>
        </w:tc>
        <w:tc>
          <w:tcPr>
            <w:tcW w:w="200" w:type="dxa"/>
            <w:vAlign w:val="bottom"/>
            <w:tcBorders>
              <w:bottom w:val="single" w:sz="8" w:color="DCE2EF"/>
            </w:tcBorders>
            <w:shd w:val="clear" w:color="auto" w:fill="DCE2EF"/>
          </w:tcPr>
          <w:p>
            <w:pPr>
              <w:spacing w:after="0"/>
              <w:rPr>
                <w:sz w:val="21"/>
                <w:szCs w:val="21"/>
                <w:color w:val="auto"/>
              </w:rPr>
            </w:pPr>
          </w:p>
        </w:tc>
      </w:tr>
      <w:tr>
        <w:trPr>
          <w:trHeight w:val="27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Business &amp; Industry</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4,126.0</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4,059.1</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1"/>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Manufacturing &amp; Distribution</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1,618.6</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1,554.3</w:t>
            </w:r>
          </w:p>
        </w:tc>
        <w:tc>
          <w:tcPr>
            <w:tcW w:w="15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4.1</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7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Aviation</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1,118.7</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1,032.6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8.3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1"/>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Education</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922.0</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904.0</w:t>
            </w:r>
          </w:p>
        </w:tc>
        <w:tc>
          <w:tcPr>
            <w:tcW w:w="15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77"/>
        </w:trPr>
        <w:tc>
          <w:tcPr>
            <w:tcW w:w="6260" w:type="dxa"/>
            <w:vAlign w:val="bottom"/>
            <w:tcBorders>
              <w:bottom w:val="single" w:sz="8" w:color="DCE2EF"/>
            </w:tcBorders>
            <w:gridSpan w:val="3"/>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960.6</w:t>
            </w:r>
          </w:p>
        </w:tc>
        <w:tc>
          <w:tcPr>
            <w:tcW w:w="220" w:type="dxa"/>
            <w:vAlign w:val="bottom"/>
            <w:tcBorders>
              <w:bottom w:val="single" w:sz="8" w:color="DCE2EF"/>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809.3</w:t>
            </w:r>
          </w:p>
        </w:tc>
        <w:tc>
          <w:tcPr>
            <w:tcW w:w="1520" w:type="dxa"/>
            <w:vAlign w:val="bottom"/>
            <w:tcBorders>
              <w:bottom w:val="single" w:sz="8" w:color="DCE2EF"/>
            </w:tcBorders>
            <w:gridSpan w:val="2"/>
          </w:tcPr>
          <w:p>
            <w:pPr>
              <w:ind w:left="880"/>
              <w:spacing w:after="0"/>
              <w:rPr>
                <w:sz w:val="20"/>
                <w:szCs w:val="20"/>
                <w:color w:val="auto"/>
              </w:rPr>
            </w:pPr>
            <w:r>
              <w:rPr>
                <w:rFonts w:ascii="Arial" w:cs="Arial" w:eastAsia="Arial" w:hAnsi="Arial"/>
                <w:sz w:val="16"/>
                <w:szCs w:val="16"/>
                <w:color w:val="auto"/>
              </w:rPr>
              <w:t>18.7</w:t>
            </w:r>
          </w:p>
        </w:tc>
        <w:tc>
          <w:tcPr>
            <w:tcW w:w="200" w:type="dxa"/>
            <w:vAlign w:val="bottom"/>
            <w:tcBorders>
              <w:bottom w:val="single" w:sz="8" w:color="DCE2EF"/>
            </w:tcBorders>
          </w:tcPr>
          <w:p>
            <w:pPr>
              <w:jc w:val="right"/>
              <w:spacing w:after="0"/>
              <w:rPr>
                <w:sz w:val="20"/>
                <w:szCs w:val="20"/>
                <w:color w:val="auto"/>
              </w:rPr>
            </w:pPr>
            <w:r>
              <w:rPr>
                <w:rFonts w:ascii="Arial" w:cs="Arial" w:eastAsia="Arial" w:hAnsi="Arial"/>
                <w:sz w:val="16"/>
                <w:szCs w:val="16"/>
                <w:color w:val="auto"/>
              </w:rPr>
              <w:t>%</w:t>
            </w:r>
          </w:p>
        </w:tc>
      </w:tr>
      <w:tr>
        <w:trPr>
          <w:trHeight w:val="310"/>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color w:val="auto"/>
              </w:rPr>
              <w:t>Total revenues</w:t>
            </w:r>
          </w:p>
        </w:tc>
        <w:tc>
          <w:tcPr>
            <w:tcW w:w="96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8,745.9</w:t>
            </w:r>
          </w:p>
        </w:tc>
        <w:tc>
          <w:tcPr>
            <w:tcW w:w="1160" w:type="dxa"/>
            <w:vAlign w:val="bottom"/>
            <w:gridSpan w:val="2"/>
            <w:shd w:val="clear" w:color="auto" w:fill="DCE2EF"/>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8,359.4</w:t>
            </w:r>
          </w:p>
        </w:tc>
        <w:tc>
          <w:tcPr>
            <w:tcW w:w="15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4.6</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6260" w:type="dxa"/>
            <w:vAlign w:val="bottom"/>
            <w:tcBorders>
              <w:top w:val="single" w:sz="8" w:color="DCE2EF"/>
            </w:tcBorders>
            <w:gridSpan w:val="3"/>
          </w:tcPr>
          <w:p>
            <w:pPr>
              <w:ind w:left="60"/>
              <w:spacing w:after="0"/>
              <w:rPr>
                <w:sz w:val="20"/>
                <w:szCs w:val="20"/>
                <w:color w:val="auto"/>
              </w:rPr>
            </w:pPr>
            <w:r>
              <w:rPr>
                <w:rFonts w:ascii="Arial" w:cs="Arial" w:eastAsia="Arial" w:hAnsi="Arial"/>
                <w:sz w:val="16"/>
                <w:szCs w:val="16"/>
                <w:b w:val="1"/>
                <w:bCs w:val="1"/>
                <w:color w:val="auto"/>
              </w:rPr>
              <w:t>Operating profit</w:t>
            </w:r>
          </w:p>
        </w:tc>
        <w:tc>
          <w:tcPr>
            <w:tcW w:w="9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20" w:type="dxa"/>
            <w:vAlign w:val="bottom"/>
            <w:tcBorders>
              <w:top w:val="single" w:sz="8" w:color="DCE2EF"/>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0" w:type="dxa"/>
            <w:vAlign w:val="bottom"/>
            <w:tcBorders>
              <w:top w:val="single" w:sz="8" w:color="DCE2EF"/>
            </w:tcBorders>
          </w:tcPr>
          <w:p>
            <w:pPr>
              <w:spacing w:after="0"/>
              <w:rPr>
                <w:sz w:val="21"/>
                <w:szCs w:val="21"/>
                <w:color w:val="auto"/>
              </w:rPr>
            </w:pPr>
          </w:p>
        </w:tc>
        <w:tc>
          <w:tcPr>
            <w:tcW w:w="1320" w:type="dxa"/>
            <w:vAlign w:val="bottom"/>
            <w:tcBorders>
              <w:top w:val="single" w:sz="8" w:color="DCE2EF"/>
            </w:tcBorders>
          </w:tcPr>
          <w:p>
            <w:pPr>
              <w:spacing w:after="0"/>
              <w:rPr>
                <w:sz w:val="21"/>
                <w:szCs w:val="21"/>
                <w:color w:val="auto"/>
              </w:rPr>
            </w:pPr>
          </w:p>
        </w:tc>
        <w:tc>
          <w:tcPr>
            <w:tcW w:w="200" w:type="dxa"/>
            <w:vAlign w:val="bottom"/>
            <w:tcBorders>
              <w:top w:val="single" w:sz="8" w:color="DCE2EF"/>
            </w:tcBorders>
          </w:tcPr>
          <w:p>
            <w:pPr>
              <w:spacing w:after="0"/>
              <w:rPr>
                <w:sz w:val="21"/>
                <w:szCs w:val="21"/>
                <w:color w:val="auto"/>
              </w:rPr>
            </w:pPr>
          </w:p>
        </w:tc>
      </w:tr>
      <w:tr>
        <w:trPr>
          <w:trHeight w:val="287"/>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Business &amp; Industry</w:t>
            </w:r>
          </w:p>
        </w:tc>
        <w:tc>
          <w:tcPr>
            <w:tcW w:w="96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316.9</w:t>
            </w:r>
          </w:p>
        </w:tc>
        <w:tc>
          <w:tcPr>
            <w:tcW w:w="1160" w:type="dxa"/>
            <w:vAlign w:val="bottom"/>
            <w:gridSpan w:val="2"/>
            <w:shd w:val="clear" w:color="auto" w:fill="DCE2E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307.0</w:t>
            </w:r>
          </w:p>
        </w:tc>
        <w:tc>
          <w:tcPr>
            <w:tcW w:w="1520" w:type="dxa"/>
            <w:vAlign w:val="bottom"/>
            <w:gridSpan w:val="2"/>
            <w:shd w:val="clear" w:color="auto" w:fill="DCE2EF"/>
          </w:tcPr>
          <w:p>
            <w:pPr>
              <w:jc w:val="right"/>
              <w:spacing w:after="0"/>
              <w:rPr>
                <w:sz w:val="20"/>
                <w:szCs w:val="20"/>
                <w:color w:val="auto"/>
              </w:rPr>
            </w:pPr>
            <w:r>
              <w:rPr>
                <w:rFonts w:ascii="Arial" w:cs="Arial" w:eastAsia="Arial" w:hAnsi="Arial"/>
                <w:sz w:val="16"/>
                <w:szCs w:val="16"/>
                <w:color w:val="auto"/>
              </w:rPr>
              <w:t>3.2</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7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Manufacturing &amp; Distribution</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151.4</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166.3</w:t>
            </w:r>
          </w:p>
        </w:tc>
        <w:tc>
          <w:tcPr>
            <w:tcW w:w="1520" w:type="dxa"/>
            <w:vAlign w:val="bottom"/>
            <w:gridSpan w:val="2"/>
          </w:tcPr>
          <w:p>
            <w:pPr>
              <w:ind w:left="880"/>
              <w:spacing w:after="0"/>
              <w:rPr>
                <w:sz w:val="20"/>
                <w:szCs w:val="20"/>
                <w:color w:val="auto"/>
              </w:rPr>
            </w:pPr>
            <w:r>
              <w:rPr>
                <w:rFonts w:ascii="Arial" w:cs="Arial" w:eastAsia="Arial" w:hAnsi="Arial"/>
                <w:sz w:val="16"/>
                <w:szCs w:val="16"/>
                <w:color w:val="auto"/>
              </w:rPr>
              <w:t>(8.9)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1"/>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color w:val="auto"/>
              </w:rPr>
              <w:t>Aviation</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65.2</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59.1</w:t>
            </w:r>
          </w:p>
        </w:tc>
        <w:tc>
          <w:tcPr>
            <w:tcW w:w="1520" w:type="dxa"/>
            <w:vAlign w:val="bottom"/>
            <w:gridSpan w:val="2"/>
            <w:shd w:val="clear" w:color="auto" w:fill="DCE2EF"/>
          </w:tcPr>
          <w:p>
            <w:pPr>
              <w:ind w:left="880"/>
              <w:spacing w:after="0"/>
              <w:rPr>
                <w:sz w:val="20"/>
                <w:szCs w:val="20"/>
                <w:color w:val="auto"/>
              </w:rPr>
            </w:pPr>
            <w:r>
              <w:rPr>
                <w:rFonts w:ascii="Arial" w:cs="Arial" w:eastAsia="Arial" w:hAnsi="Arial"/>
                <w:sz w:val="16"/>
                <w:szCs w:val="16"/>
                <w:color w:val="auto"/>
              </w:rPr>
              <w:t>10.3</w:t>
            </w: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76"/>
        </w:trPr>
        <w:tc>
          <w:tcPr>
            <w:tcW w:w="6260" w:type="dxa"/>
            <w:vAlign w:val="bottom"/>
            <w:gridSpan w:val="3"/>
          </w:tcPr>
          <w:p>
            <w:pPr>
              <w:ind w:left="60"/>
              <w:spacing w:after="0"/>
              <w:rPr>
                <w:sz w:val="20"/>
                <w:szCs w:val="20"/>
                <w:color w:val="auto"/>
              </w:rPr>
            </w:pPr>
            <w:r>
              <w:rPr>
                <w:rFonts w:ascii="Arial" w:cs="Arial" w:eastAsia="Arial" w:hAnsi="Arial"/>
                <w:sz w:val="16"/>
                <w:szCs w:val="16"/>
                <w:color w:val="auto"/>
              </w:rPr>
              <w:t>Education</w:t>
            </w:r>
          </w:p>
        </w:tc>
        <w:tc>
          <w:tcPr>
            <w:tcW w:w="9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67.7</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55.3</w:t>
            </w:r>
          </w:p>
        </w:tc>
        <w:tc>
          <w:tcPr>
            <w:tcW w:w="1520" w:type="dxa"/>
            <w:vAlign w:val="bottom"/>
            <w:gridSpan w:val="2"/>
          </w:tcPr>
          <w:p>
            <w:pPr>
              <w:ind w:left="880"/>
              <w:spacing w:after="0"/>
              <w:rPr>
                <w:sz w:val="20"/>
                <w:szCs w:val="20"/>
                <w:color w:val="auto"/>
              </w:rPr>
            </w:pPr>
            <w:r>
              <w:rPr>
                <w:rFonts w:ascii="Arial" w:cs="Arial" w:eastAsia="Arial" w:hAnsi="Arial"/>
                <w:sz w:val="16"/>
                <w:szCs w:val="16"/>
                <w:color w:val="auto"/>
              </w:rPr>
              <w:t>22.2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0"/>
        </w:trPr>
        <w:tc>
          <w:tcPr>
            <w:tcW w:w="6260" w:type="dxa"/>
            <w:vAlign w:val="bottom"/>
            <w:tcBorders>
              <w:bottom w:val="single" w:sz="8" w:color="DCE2EF"/>
            </w:tcBorders>
            <w:gridSpan w:val="3"/>
            <w:shd w:val="clear" w:color="auto" w:fill="DCE2EF"/>
          </w:tcPr>
          <w:p>
            <w:pPr>
              <w:ind w:left="60"/>
              <w:spacing w:after="0"/>
              <w:rPr>
                <w:sz w:val="20"/>
                <w:szCs w:val="20"/>
                <w:color w:val="auto"/>
              </w:rPr>
            </w:pPr>
            <w:r>
              <w:rPr>
                <w:rFonts w:ascii="Arial" w:cs="Arial" w:eastAsia="Arial" w:hAnsi="Arial"/>
                <w:sz w:val="16"/>
                <w:szCs w:val="16"/>
                <w:color w:val="auto"/>
              </w:rPr>
              <w:t>Technical Solutions</w:t>
            </w:r>
          </w:p>
        </w:tc>
        <w:tc>
          <w:tcPr>
            <w:tcW w:w="960" w:type="dxa"/>
            <w:vAlign w:val="bottom"/>
            <w:tcBorders>
              <w:bottom w:val="single" w:sz="8" w:color="auto"/>
            </w:tcBorders>
            <w:shd w:val="clear" w:color="auto" w:fill="DCE2EF"/>
          </w:tcPr>
          <w:p>
            <w:pPr>
              <w:spacing w:after="0"/>
              <w:rPr>
                <w:sz w:val="24"/>
                <w:szCs w:val="24"/>
                <w:color w:val="auto"/>
              </w:rPr>
            </w:pPr>
          </w:p>
        </w:tc>
        <w:tc>
          <w:tcPr>
            <w:tcW w:w="5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86.5</w:t>
            </w:r>
          </w:p>
        </w:tc>
        <w:tc>
          <w:tcPr>
            <w:tcW w:w="220" w:type="dxa"/>
            <w:vAlign w:val="bottom"/>
            <w:tcBorders>
              <w:bottom w:val="single" w:sz="8" w:color="DCE2EF"/>
            </w:tcBorders>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spacing w:after="0"/>
              <w:rPr>
                <w:sz w:val="24"/>
                <w:szCs w:val="24"/>
                <w:color w:val="auto"/>
              </w:rPr>
            </w:pPr>
          </w:p>
        </w:tc>
        <w:tc>
          <w:tcPr>
            <w:tcW w:w="5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69.4</w:t>
            </w:r>
          </w:p>
        </w:tc>
        <w:tc>
          <w:tcPr>
            <w:tcW w:w="1520" w:type="dxa"/>
            <w:vAlign w:val="bottom"/>
            <w:tcBorders>
              <w:bottom w:val="single" w:sz="8" w:color="DCE2EF"/>
            </w:tcBorders>
            <w:gridSpan w:val="2"/>
            <w:shd w:val="clear" w:color="auto" w:fill="DCE2EF"/>
          </w:tcPr>
          <w:p>
            <w:pPr>
              <w:ind w:left="880"/>
              <w:spacing w:after="0"/>
              <w:rPr>
                <w:sz w:val="20"/>
                <w:szCs w:val="20"/>
                <w:color w:val="auto"/>
              </w:rPr>
            </w:pPr>
            <w:r>
              <w:rPr>
                <w:rFonts w:ascii="Arial" w:cs="Arial" w:eastAsia="Arial" w:hAnsi="Arial"/>
                <w:sz w:val="16"/>
                <w:szCs w:val="16"/>
                <w:color w:val="auto"/>
              </w:rPr>
              <w:t>24.6</w:t>
            </w:r>
          </w:p>
        </w:tc>
        <w:tc>
          <w:tcPr>
            <w:tcW w:w="20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6260" w:type="dxa"/>
            <w:vAlign w:val="bottom"/>
            <w:gridSpan w:val="3"/>
          </w:tcPr>
          <w:p>
            <w:pPr>
              <w:ind w:left="60"/>
              <w:spacing w:after="0"/>
              <w:rPr>
                <w:sz w:val="20"/>
                <w:szCs w:val="20"/>
                <w:color w:val="auto"/>
              </w:rPr>
            </w:pPr>
            <w:r>
              <w:rPr>
                <w:rFonts w:ascii="Arial" w:cs="Arial" w:eastAsia="Arial" w:hAnsi="Arial"/>
                <w:sz w:val="16"/>
                <w:szCs w:val="16"/>
                <w:b w:val="1"/>
                <w:bCs w:val="1"/>
                <w:color w:val="auto"/>
              </w:rPr>
              <w:t>Segment operating profit</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687.6</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657.2</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8"/>
        </w:trPr>
        <w:tc>
          <w:tcPr>
            <w:tcW w:w="6260" w:type="dxa"/>
            <w:vAlign w:val="bottom"/>
            <w:gridSpan w:val="3"/>
            <w:shd w:val="clear" w:color="auto" w:fill="DCE2EF"/>
          </w:tcPr>
          <w:p>
            <w:pPr>
              <w:ind w:left="60"/>
              <w:spacing w:after="0"/>
              <w:rPr>
                <w:sz w:val="20"/>
                <w:szCs w:val="20"/>
                <w:color w:val="auto"/>
              </w:rPr>
            </w:pPr>
            <w:r>
              <w:rPr>
                <w:rFonts w:ascii="Arial" w:cs="Arial" w:eastAsia="Arial" w:hAnsi="Arial"/>
                <w:sz w:val="16"/>
                <w:szCs w:val="16"/>
                <w:b w:val="1"/>
                <w:bCs w:val="1"/>
                <w:i w:val="1"/>
                <w:iCs w:val="1"/>
                <w:color w:val="auto"/>
              </w:rPr>
              <w:t>Segment operating margin</w:t>
            </w:r>
          </w:p>
        </w:tc>
        <w:tc>
          <w:tcPr>
            <w:tcW w:w="960" w:type="dxa"/>
            <w:vAlign w:val="bottom"/>
            <w:shd w:val="clear" w:color="auto" w:fill="DCE2EF"/>
          </w:tcPr>
          <w:p>
            <w:pPr>
              <w:spacing w:after="0"/>
              <w:rPr>
                <w:sz w:val="24"/>
                <w:szCs w:val="24"/>
                <w:color w:val="auto"/>
              </w:rPr>
            </w:pPr>
          </w:p>
        </w:tc>
        <w:tc>
          <w:tcPr>
            <w:tcW w:w="560" w:type="dxa"/>
            <w:vAlign w:val="bottom"/>
            <w:shd w:val="clear" w:color="auto" w:fill="DCE2EF"/>
          </w:tcPr>
          <w:p>
            <w:pPr>
              <w:jc w:val="right"/>
              <w:spacing w:after="0"/>
              <w:rPr>
                <w:sz w:val="20"/>
                <w:szCs w:val="20"/>
                <w:color w:val="auto"/>
              </w:rPr>
            </w:pPr>
            <w:r>
              <w:rPr>
                <w:rFonts w:ascii="Times New Roman" w:cs="Times New Roman" w:eastAsia="Times New Roman" w:hAnsi="Times New Roman"/>
                <w:sz w:val="18"/>
                <w:szCs w:val="18"/>
                <w:i w:val="1"/>
                <w:iCs w:val="1"/>
                <w:color w:val="auto"/>
              </w:rPr>
              <w:t>7.9 %</w:t>
            </w:r>
          </w:p>
        </w:tc>
        <w:tc>
          <w:tcPr>
            <w:tcW w:w="220" w:type="dxa"/>
            <w:vAlign w:val="bottom"/>
            <w:shd w:val="clear" w:color="auto" w:fill="DCE2EF"/>
          </w:tcPr>
          <w:p>
            <w:pPr>
              <w:spacing w:after="0"/>
              <w:rPr>
                <w:sz w:val="24"/>
                <w:szCs w:val="24"/>
                <w:color w:val="auto"/>
              </w:rPr>
            </w:pPr>
          </w:p>
        </w:tc>
        <w:tc>
          <w:tcPr>
            <w:tcW w:w="940" w:type="dxa"/>
            <w:vAlign w:val="bottom"/>
            <w:shd w:val="clear" w:color="auto" w:fill="DCE2EF"/>
          </w:tcPr>
          <w:p>
            <w:pPr>
              <w:spacing w:after="0"/>
              <w:rPr>
                <w:sz w:val="24"/>
                <w:szCs w:val="24"/>
                <w:color w:val="auto"/>
              </w:rPr>
            </w:pPr>
          </w:p>
        </w:tc>
        <w:tc>
          <w:tcPr>
            <w:tcW w:w="580" w:type="dxa"/>
            <w:vAlign w:val="bottom"/>
            <w:shd w:val="clear" w:color="auto" w:fill="DCE2EF"/>
          </w:tcPr>
          <w:p>
            <w:pPr>
              <w:jc w:val="right"/>
              <w:spacing w:after="0"/>
              <w:rPr>
                <w:sz w:val="20"/>
                <w:szCs w:val="20"/>
                <w:color w:val="auto"/>
              </w:rPr>
            </w:pPr>
            <w:r>
              <w:rPr>
                <w:rFonts w:ascii="Times New Roman" w:cs="Times New Roman" w:eastAsia="Times New Roman" w:hAnsi="Times New Roman"/>
                <w:sz w:val="18"/>
                <w:szCs w:val="18"/>
                <w:i w:val="1"/>
                <w:iCs w:val="1"/>
                <w:color w:val="auto"/>
              </w:rPr>
              <w:t>7.9 %</w:t>
            </w:r>
          </w:p>
        </w:tc>
        <w:tc>
          <w:tcPr>
            <w:tcW w:w="200" w:type="dxa"/>
            <w:vAlign w:val="bottom"/>
            <w:shd w:val="clear" w:color="auto" w:fill="DCE2EF"/>
          </w:tcPr>
          <w:p>
            <w:pPr>
              <w:spacing w:after="0"/>
              <w:rPr>
                <w:sz w:val="24"/>
                <w:szCs w:val="24"/>
                <w:color w:val="auto"/>
              </w:rPr>
            </w:pPr>
          </w:p>
        </w:tc>
        <w:tc>
          <w:tcPr>
            <w:tcW w:w="132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-2753995</wp:posOffset>
            </wp:positionV>
            <wp:extent cx="137160"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-2753995</wp:posOffset>
            </wp:positionV>
            <wp:extent cx="137160" cy="11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-1490980</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-1464945</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-1671320</wp:posOffset>
            </wp:positionV>
            <wp:extent cx="137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-1490980</wp:posOffset>
            </wp:positionV>
            <wp:extent cx="137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-1464945</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-1671320</wp:posOffset>
            </wp:positionV>
            <wp:extent cx="137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-396240</wp:posOffset>
            </wp:positionV>
            <wp:extent cx="137160"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-396240</wp:posOffset>
            </wp:positionV>
            <wp:extent cx="137160"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p>
      <w:pPr>
        <w:spacing w:after="0" w:line="27"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Corporate</w:t>
      </w:r>
      <w:r>
        <w:rPr>
          <w:rFonts w:ascii="Arial" w:cs="Arial" w:eastAsia="Arial" w:hAnsi="Arial"/>
          <w:sz w:val="21"/>
          <w:szCs w:val="2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3003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49" w:lineRule="exact"/>
        <w:rPr>
          <w:sz w:val="20"/>
          <w:szCs w:val="20"/>
          <w:color w:val="auto"/>
        </w:rPr>
      </w:pPr>
    </w:p>
    <w:p>
      <w:pPr>
        <w:ind w:left="160" w:hanging="98"/>
        <w:spacing w:after="0" w:line="286" w:lineRule="auto"/>
        <w:rPr>
          <w:sz w:val="20"/>
          <w:szCs w:val="20"/>
          <w:color w:val="auto"/>
        </w:rPr>
      </w:pPr>
      <w:r>
        <w:rPr>
          <w:rFonts w:ascii="Arial" w:cs="Arial" w:eastAsia="Arial" w:hAnsi="Arial"/>
          <w:sz w:val="16"/>
          <w:szCs w:val="16"/>
          <w:color w:val="auto"/>
        </w:rPr>
        <w:t>Adjustment for income from unconsolidated affiliates, included in Aviation and Technical Solutions</w:t>
      </w:r>
    </w:p>
    <w:p>
      <w:pPr>
        <w:spacing w:after="0" w:line="34" w:lineRule="exact"/>
        <w:rPr>
          <w:sz w:val="20"/>
          <w:szCs w:val="20"/>
          <w:color w:val="auto"/>
        </w:rPr>
      </w:pPr>
    </w:p>
    <w:p>
      <w:pPr>
        <w:ind w:left="200" w:right="1160" w:hanging="134"/>
        <w:spacing w:after="0" w:line="286" w:lineRule="auto"/>
        <w:rPr>
          <w:sz w:val="20"/>
          <w:szCs w:val="20"/>
          <w:color w:val="auto"/>
        </w:rPr>
      </w:pPr>
      <w:r>
        <w:rPr>
          <w:rFonts w:ascii="Arial" w:cs="Arial" w:eastAsia="Arial" w:hAnsi="Arial"/>
          <w:sz w:val="16"/>
          <w:szCs w:val="16"/>
          <w:color w:val="auto"/>
        </w:rPr>
        <w:t>Adjustment for tax deductions for energy efficient government buildings, included in Technical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82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8288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b w:val="1"/>
          <w:bCs w:val="1"/>
          <w:color w:val="auto"/>
        </w:rPr>
        <w:t>Total operating profit</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Income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Interest expense</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Income tax provision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Net income</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Pr>
          <w:p>
            <w:pPr>
              <w:jc w:val="right"/>
              <w:spacing w:after="0"/>
              <w:rPr>
                <w:sz w:val="20"/>
                <w:szCs w:val="20"/>
                <w:color w:val="auto"/>
              </w:rPr>
            </w:pPr>
            <w:r>
              <w:rPr>
                <w:rFonts w:ascii="Arial" w:cs="Arial" w:eastAsia="Arial" w:hAnsi="Arial"/>
                <w:sz w:val="16"/>
                <w:szCs w:val="16"/>
                <w:color w:val="auto"/>
              </w:rPr>
              <w:t>(370.5)</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(433.1)</w:t>
            </w:r>
          </w:p>
        </w:tc>
        <w:tc>
          <w:tcPr>
            <w:tcW w:w="200" w:type="dxa"/>
            <w:vAlign w:val="bottom"/>
          </w:tcPr>
          <w:p>
            <w:pPr>
              <w:spacing w:after="0"/>
              <w:rPr>
                <w:sz w:val="18"/>
                <w:szCs w:val="18"/>
                <w:color w:val="auto"/>
              </w:rPr>
            </w:pPr>
          </w:p>
        </w:tc>
        <w:tc>
          <w:tcPr>
            <w:tcW w:w="1240" w:type="dxa"/>
            <w:vAlign w:val="bottom"/>
          </w:tcPr>
          <w:p>
            <w:pPr>
              <w:ind w:left="680"/>
              <w:spacing w:after="0"/>
              <w:rPr>
                <w:sz w:val="20"/>
                <w:szCs w:val="20"/>
                <w:color w:val="auto"/>
              </w:rPr>
            </w:pPr>
            <w:r>
              <w:rPr>
                <w:rFonts w:ascii="Arial" w:cs="Arial" w:eastAsia="Arial" w:hAnsi="Arial"/>
                <w:sz w:val="16"/>
                <w:szCs w:val="16"/>
                <w:color w:val="auto"/>
              </w:rPr>
              <w:t>14.5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73"/>
        </w:trPr>
        <w:tc>
          <w:tcPr>
            <w:tcW w:w="1520" w:type="dxa"/>
            <w:vAlign w:val="bottom"/>
          </w:tcPr>
          <w:p>
            <w:pPr>
              <w:jc w:val="right"/>
              <w:spacing w:after="0"/>
              <w:rPr>
                <w:sz w:val="20"/>
                <w:szCs w:val="20"/>
                <w:color w:val="auto"/>
              </w:rPr>
            </w:pPr>
            <w:r>
              <w:rPr>
                <w:rFonts w:ascii="Arial" w:cs="Arial" w:eastAsia="Arial" w:hAnsi="Arial"/>
                <w:sz w:val="16"/>
                <w:szCs w:val="16"/>
                <w:color w:val="auto"/>
              </w:rPr>
              <w:t>(4.6)</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200" w:type="dxa"/>
            <w:vAlign w:val="bottom"/>
          </w:tcPr>
          <w:p>
            <w:pPr>
              <w:spacing w:after="0"/>
              <w:rPr>
                <w:sz w:val="24"/>
                <w:szCs w:val="24"/>
                <w:color w:val="auto"/>
              </w:rPr>
            </w:pPr>
          </w:p>
        </w:tc>
        <w:tc>
          <w:tcPr>
            <w:tcW w:w="1240" w:type="dxa"/>
            <w:vAlign w:val="bottom"/>
          </w:tcPr>
          <w:p>
            <w:pPr>
              <w:ind w:left="680"/>
              <w:spacing w:after="0"/>
              <w:rPr>
                <w:sz w:val="20"/>
                <w:szCs w:val="20"/>
                <w:color w:val="auto"/>
              </w:rPr>
            </w:pPr>
            <w:r>
              <w:rPr>
                <w:rFonts w:ascii="Arial" w:cs="Arial" w:eastAsia="Arial" w:hAnsi="Arial"/>
                <w:sz w:val="16"/>
                <w:szCs w:val="16"/>
                <w:color w:val="auto"/>
              </w:rPr>
              <w:t>29.3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68"/>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2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200" w:type="dxa"/>
            <w:vAlign w:val="bottom"/>
            <w:tcBorders>
              <w:bottom w:val="single" w:sz="8" w:color="auto"/>
            </w:tcBorders>
          </w:tcPr>
          <w:p>
            <w:pPr>
              <w:spacing w:after="0"/>
              <w:rPr>
                <w:sz w:val="24"/>
                <w:szCs w:val="24"/>
                <w:color w:val="auto"/>
              </w:rPr>
            </w:pPr>
          </w:p>
        </w:tc>
        <w:tc>
          <w:tcPr>
            <w:tcW w:w="1240" w:type="dxa"/>
            <w:vAlign w:val="bottom"/>
          </w:tcPr>
          <w:p>
            <w:pPr>
              <w:ind w:left="680"/>
              <w:spacing w:after="0"/>
              <w:rPr>
                <w:sz w:val="20"/>
                <w:szCs w:val="20"/>
                <w:color w:val="auto"/>
              </w:rPr>
            </w:pPr>
            <w:r>
              <w:rPr>
                <w:rFonts w:ascii="Arial" w:cs="Arial" w:eastAsia="Arial" w:hAnsi="Arial"/>
                <w:sz w:val="16"/>
                <w:szCs w:val="16"/>
                <w:color w:val="auto"/>
              </w:rPr>
              <w:t>84.9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1"/>
        </w:trPr>
        <w:tc>
          <w:tcPr>
            <w:tcW w:w="1520" w:type="dxa"/>
            <w:vAlign w:val="bottom"/>
          </w:tcPr>
          <w:p>
            <w:pPr>
              <w:jc w:val="right"/>
              <w:spacing w:after="0"/>
              <w:rPr>
                <w:sz w:val="20"/>
                <w:szCs w:val="20"/>
                <w:color w:val="auto"/>
              </w:rPr>
            </w:pPr>
            <w:r>
              <w:rPr>
                <w:rFonts w:ascii="Arial" w:cs="Arial" w:eastAsia="Arial" w:hAnsi="Arial"/>
                <w:sz w:val="16"/>
                <w:szCs w:val="16"/>
                <w:color w:val="auto"/>
              </w:rPr>
              <w:t>311.7</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212.0</w:t>
            </w:r>
          </w:p>
        </w:tc>
        <w:tc>
          <w:tcPr>
            <w:tcW w:w="200" w:type="dxa"/>
            <w:vAlign w:val="bottom"/>
          </w:tcPr>
          <w:p>
            <w:pPr>
              <w:spacing w:after="0"/>
              <w:rPr>
                <w:sz w:val="20"/>
                <w:szCs w:val="20"/>
                <w:color w:val="auto"/>
              </w:rPr>
            </w:pPr>
          </w:p>
        </w:tc>
        <w:tc>
          <w:tcPr>
            <w:tcW w:w="1240" w:type="dxa"/>
            <w:vAlign w:val="bottom"/>
          </w:tcPr>
          <w:p>
            <w:pPr>
              <w:ind w:left="680"/>
              <w:spacing w:after="0"/>
              <w:rPr>
                <w:sz w:val="20"/>
                <w:szCs w:val="20"/>
                <w:color w:val="auto"/>
              </w:rPr>
            </w:pPr>
            <w:r>
              <w:rPr>
                <w:rFonts w:ascii="Arial" w:cs="Arial" w:eastAsia="Arial" w:hAnsi="Arial"/>
                <w:sz w:val="16"/>
                <w:szCs w:val="16"/>
                <w:color w:val="auto"/>
              </w:rPr>
              <w:t>47.0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7"/>
        </w:trPr>
        <w:tc>
          <w:tcPr>
            <w:tcW w:w="1520" w:type="dxa"/>
            <w:vAlign w:val="bottom"/>
          </w:tcPr>
          <w:p>
            <w:pPr>
              <w:jc w:val="right"/>
              <w:spacing w:after="0"/>
              <w:rPr>
                <w:sz w:val="20"/>
                <w:szCs w:val="20"/>
                <w:color w:val="auto"/>
              </w:rPr>
            </w:pPr>
            <w:r>
              <w:rPr>
                <w:rFonts w:ascii="Arial" w:cs="Arial" w:eastAsia="Arial" w:hAnsi="Arial"/>
                <w:sz w:val="16"/>
                <w:szCs w:val="16"/>
                <w:color w:val="auto"/>
              </w:rPr>
              <w:t>4.6</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200" w:type="dxa"/>
            <w:vAlign w:val="bottom"/>
          </w:tcPr>
          <w:p>
            <w:pPr>
              <w:spacing w:after="0"/>
              <w:rPr>
                <w:sz w:val="24"/>
                <w:szCs w:val="24"/>
                <w:color w:val="auto"/>
              </w:rPr>
            </w:pPr>
          </w:p>
        </w:tc>
        <w:tc>
          <w:tcPr>
            <w:tcW w:w="1240" w:type="dxa"/>
            <w:vAlign w:val="bottom"/>
          </w:tcPr>
          <w:p>
            <w:pPr>
              <w:ind w:left="680"/>
              <w:spacing w:after="0"/>
              <w:rPr>
                <w:sz w:val="20"/>
                <w:szCs w:val="20"/>
                <w:color w:val="auto"/>
              </w:rPr>
            </w:pPr>
            <w:r>
              <w:rPr>
                <w:rFonts w:ascii="Arial" w:cs="Arial" w:eastAsia="Arial" w:hAnsi="Arial"/>
                <w:sz w:val="16"/>
                <w:szCs w:val="16"/>
                <w:color w:val="auto"/>
              </w:rPr>
              <w:t>(29.3)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8"/>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w:t>
            </w:r>
          </w:p>
        </w:tc>
        <w:tc>
          <w:tcPr>
            <w:tcW w:w="2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200" w:type="dxa"/>
            <w:vAlign w:val="bottom"/>
          </w:tcPr>
          <w:p>
            <w:pPr>
              <w:spacing w:after="0"/>
              <w:rPr>
                <w:sz w:val="24"/>
                <w:szCs w:val="24"/>
                <w:color w:val="auto"/>
              </w:rPr>
            </w:pPr>
          </w:p>
        </w:tc>
        <w:tc>
          <w:tcPr>
            <w:tcW w:w="1240" w:type="dxa"/>
            <w:vAlign w:val="bottom"/>
          </w:tcPr>
          <w:p>
            <w:pPr>
              <w:ind w:left="680"/>
              <w:spacing w:after="0"/>
              <w:rPr>
                <w:sz w:val="20"/>
                <w:szCs w:val="20"/>
                <w:color w:val="auto"/>
              </w:rPr>
            </w:pPr>
            <w:r>
              <w:rPr>
                <w:rFonts w:ascii="Arial" w:cs="Arial" w:eastAsia="Arial" w:hAnsi="Arial"/>
                <w:sz w:val="16"/>
                <w:szCs w:val="16"/>
                <w:color w:val="auto"/>
              </w:rPr>
              <w:t>(13.4)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1520" w:type="dxa"/>
            <w:vAlign w:val="bottom"/>
          </w:tcPr>
          <w:p>
            <w:pPr>
              <w:jc w:val="right"/>
              <w:spacing w:after="0"/>
              <w:rPr>
                <w:sz w:val="20"/>
                <w:szCs w:val="20"/>
                <w:color w:val="auto"/>
              </w:rPr>
            </w:pPr>
            <w:r>
              <w:rPr>
                <w:rFonts w:ascii="Arial" w:cs="Arial" w:eastAsia="Arial" w:hAnsi="Arial"/>
                <w:sz w:val="16"/>
                <w:szCs w:val="16"/>
                <w:color w:val="auto"/>
              </w:rPr>
              <w:t>219.9</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133.6</w:t>
            </w:r>
          </w:p>
        </w:tc>
        <w:tc>
          <w:tcPr>
            <w:tcW w:w="200" w:type="dxa"/>
            <w:vAlign w:val="bottom"/>
          </w:tcPr>
          <w:p>
            <w:pPr>
              <w:spacing w:after="0"/>
              <w:rPr>
                <w:sz w:val="20"/>
                <w:szCs w:val="20"/>
                <w:color w:val="auto"/>
              </w:rPr>
            </w:pPr>
          </w:p>
        </w:tc>
        <w:tc>
          <w:tcPr>
            <w:tcW w:w="1240" w:type="dxa"/>
            <w:vAlign w:val="bottom"/>
          </w:tcPr>
          <w:p>
            <w:pPr>
              <w:ind w:left="680"/>
              <w:spacing w:after="0"/>
              <w:rPr>
                <w:sz w:val="20"/>
                <w:szCs w:val="20"/>
                <w:color w:val="auto"/>
              </w:rPr>
            </w:pPr>
            <w:r>
              <w:rPr>
                <w:rFonts w:ascii="Arial" w:cs="Arial" w:eastAsia="Arial" w:hAnsi="Arial"/>
                <w:sz w:val="16"/>
                <w:szCs w:val="16"/>
                <w:color w:val="auto"/>
              </w:rPr>
              <w:t>64.6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06"/>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2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200" w:type="dxa"/>
            <w:vAlign w:val="bottom"/>
          </w:tcPr>
          <w:p>
            <w:pPr>
              <w:spacing w:after="0"/>
              <w:rPr>
                <w:sz w:val="24"/>
                <w:szCs w:val="24"/>
                <w:color w:val="auto"/>
              </w:rPr>
            </w:pPr>
          </w:p>
        </w:tc>
        <w:tc>
          <w:tcPr>
            <w:tcW w:w="1240" w:type="dxa"/>
            <w:vAlign w:val="bottom"/>
          </w:tcPr>
          <w:p>
            <w:pPr>
              <w:ind w:left="680"/>
              <w:spacing w:after="0"/>
              <w:rPr>
                <w:sz w:val="20"/>
                <w:szCs w:val="20"/>
                <w:color w:val="auto"/>
              </w:rPr>
            </w:pPr>
            <w:r>
              <w:rPr>
                <w:rFonts w:ascii="Arial" w:cs="Arial" w:eastAsia="Arial" w:hAnsi="Arial"/>
                <w:sz w:val="16"/>
                <w:szCs w:val="16"/>
                <w:color w:val="auto"/>
              </w:rPr>
              <w:t>(10.2)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1520" w:type="dxa"/>
            <w:vAlign w:val="bottom"/>
          </w:tcPr>
          <w:p>
            <w:pPr>
              <w:jc w:val="right"/>
              <w:spacing w:after="0"/>
              <w:rPr>
                <w:sz w:val="20"/>
                <w:szCs w:val="20"/>
                <w:color w:val="auto"/>
              </w:rPr>
            </w:pPr>
            <w:r>
              <w:rPr>
                <w:rFonts w:ascii="Arial" w:cs="Arial" w:eastAsia="Arial" w:hAnsi="Arial"/>
                <w:sz w:val="16"/>
                <w:szCs w:val="16"/>
                <w:color w:val="auto"/>
              </w:rPr>
              <w:t>$   162.4</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   81.4</w:t>
            </w:r>
          </w:p>
        </w:tc>
        <w:tc>
          <w:tcPr>
            <w:tcW w:w="200" w:type="dxa"/>
            <w:vAlign w:val="bottom"/>
          </w:tcPr>
          <w:p>
            <w:pPr>
              <w:spacing w:after="0"/>
              <w:rPr>
                <w:sz w:val="23"/>
                <w:szCs w:val="23"/>
                <w:color w:val="auto"/>
              </w:rPr>
            </w:pPr>
          </w:p>
        </w:tc>
        <w:tc>
          <w:tcPr>
            <w:tcW w:w="1240" w:type="dxa"/>
            <w:vAlign w:val="bottom"/>
          </w:tcPr>
          <w:p>
            <w:pPr>
              <w:ind w:left="680"/>
              <w:spacing w:after="0"/>
              <w:rPr>
                <w:sz w:val="20"/>
                <w:szCs w:val="20"/>
                <w:color w:val="auto"/>
              </w:rPr>
            </w:pPr>
            <w:r>
              <w:rPr>
                <w:rFonts w:ascii="Arial" w:cs="Arial" w:eastAsia="Arial" w:hAnsi="Arial"/>
                <w:sz w:val="16"/>
                <w:szCs w:val="16"/>
                <w:color w:val="auto"/>
              </w:rPr>
              <w:t>99.6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20" w:space="640"/>
            <w:col w:w="4980"/>
          </w:cols>
          <w:pgMar w:left="320" w:top="885" w:right="339" w:bottom="1440" w:gutter="0" w:footer="0" w:header="0"/>
          <w:type w:val="continuous"/>
        </w:sectPr>
      </w:pPr>
    </w:p>
    <w:p>
      <w:pPr>
        <w:spacing w:after="0" w:line="22" w:lineRule="exact"/>
        <w:rPr>
          <w:sz w:val="20"/>
          <w:szCs w:val="20"/>
          <w:color w:val="auto"/>
        </w:rPr>
      </w:pPr>
    </w:p>
    <w:p>
      <w:pPr>
        <w:ind w:left="60" w:right="60" w:hanging="4"/>
        <w:spacing w:after="0" w:line="213" w:lineRule="auto"/>
        <w:tabs>
          <w:tab w:leader="none" w:pos="193"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The year ended October 31, 2025, includes a $1.6 million fair value adjustment to decrease the contingent consideration related to the RavenVolt Acquisition. The year ended October 31, 2024, includes a $95.7 million fair value adjustment to increase the contingent consideration related to the RavenVolt Acquisition.</w:t>
      </w:r>
    </w:p>
    <w:p>
      <w:pPr>
        <w:spacing w:after="0" w:line="98" w:lineRule="exact"/>
        <w:rPr>
          <w:rFonts w:ascii="Arial" w:cs="Arial" w:eastAsia="Arial" w:hAnsi="Arial"/>
          <w:sz w:val="16"/>
          <w:szCs w:val="16"/>
          <w:color w:val="auto"/>
          <w:vertAlign w:val="superscript"/>
        </w:rPr>
      </w:pPr>
    </w:p>
    <w:p>
      <w:pPr>
        <w:ind w:left="180" w:hanging="124"/>
        <w:spacing w:after="0"/>
        <w:tabs>
          <w:tab w:leader="none" w:pos="180" w:val="left"/>
        </w:tabs>
        <w:numPr>
          <w:ilvl w:val="0"/>
          <w:numId w:val="20"/>
        </w:numPr>
        <w:rPr>
          <w:rFonts w:ascii="Arial" w:cs="Arial" w:eastAsia="Arial" w:hAnsi="Arial"/>
          <w:sz w:val="15"/>
          <w:szCs w:val="15"/>
          <w:color w:val="auto"/>
          <w:vertAlign w:val="superscript"/>
        </w:rPr>
      </w:pPr>
      <w:r>
        <w:rPr>
          <w:rFonts w:ascii="Arial" w:cs="Arial" w:eastAsia="Arial" w:hAnsi="Arial"/>
          <w:sz w:val="11"/>
          <w:szCs w:val="11"/>
          <w:color w:val="auto"/>
        </w:rPr>
        <w:t>The years ended October 31, 2025 and October 31, 2024 include a $23.3 million and a $20.3 million negative impact of prior year self-insurance adjustments,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type w:val="continuous"/>
        </w:sectPr>
      </w:pPr>
    </w:p>
    <w:bookmarkStart w:id="17" w:name="page18"/>
    <w:bookmarkEnd w:id="17"/>
    <w:p>
      <w:pPr>
        <w:ind w:right="4280"/>
        <w:spacing w:after="0" w:line="279" w:lineRule="auto"/>
        <w:rPr>
          <w:sz w:val="20"/>
          <w:szCs w:val="20"/>
          <w:color w:val="auto"/>
        </w:rPr>
      </w:pPr>
      <w:r>
        <w:rPr>
          <w:rFonts w:ascii="Arial" w:cs="Arial" w:eastAsia="Arial" w:hAnsi="Arial"/>
          <w:sz w:val="19"/>
          <w:szCs w:val="19"/>
          <w:b w:val="1"/>
          <w:bCs w:val="1"/>
          <w:color w:val="0046AD"/>
        </w:rPr>
        <w:t>ABM INDUSTRIES INCORPORATED AND SUBSIDIARIES RECONCILIATIONS OF NON-GAAP FINANCIAL MEASURES (UNAUDITED)</w:t>
      </w:r>
    </w:p>
    <w:tbl>
      <w:tblPr>
        <w:tblLayout w:type="fixed"/>
        <w:tblInd w:w="0" w:type="dxa"/>
        <w:tblCellMar>
          <w:top w:w="0" w:type="dxa"/>
          <w:left w:w="0" w:type="dxa"/>
          <w:bottom w:w="0" w:type="dxa"/>
          <w:right w:w="0" w:type="dxa"/>
        </w:tblCellMar>
      </w:tblPr>
      <w:tr>
        <w:trPr>
          <w:trHeight w:val="163"/>
        </w:trPr>
        <w:tc>
          <w:tcPr>
            <w:tcW w:w="60" w:type="dxa"/>
            <w:vAlign w:val="bottom"/>
          </w:tcPr>
          <w:p>
            <w:pPr>
              <w:spacing w:after="0"/>
              <w:rPr>
                <w:sz w:val="14"/>
                <w:szCs w:val="14"/>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 in millions, except per share amounts)</w:t>
            </w:r>
          </w:p>
        </w:tc>
        <w:tc>
          <w:tcPr>
            <w:tcW w:w="3080" w:type="dxa"/>
            <w:vAlign w:val="bottom"/>
            <w:gridSpan w:val="6"/>
          </w:tcPr>
          <w:p>
            <w:pPr>
              <w:ind w:left="340"/>
              <w:spacing w:after="0"/>
              <w:rPr>
                <w:sz w:val="20"/>
                <w:szCs w:val="20"/>
                <w:color w:val="auto"/>
              </w:rPr>
            </w:pPr>
            <w:r>
              <w:rPr>
                <w:rFonts w:ascii="Arial" w:cs="Arial" w:eastAsia="Arial" w:hAnsi="Arial"/>
                <w:sz w:val="13"/>
                <w:szCs w:val="13"/>
                <w:b w:val="1"/>
                <w:bCs w:val="1"/>
                <w:color w:val="auto"/>
              </w:rPr>
              <w:t>Three Months Ended October 31,</w:t>
            </w:r>
          </w:p>
        </w:tc>
        <w:tc>
          <w:tcPr>
            <w:tcW w:w="2360" w:type="dxa"/>
            <w:vAlign w:val="bottom"/>
            <w:gridSpan w:val="4"/>
          </w:tcPr>
          <w:p>
            <w:pPr>
              <w:jc w:val="right"/>
              <w:ind w:right="108"/>
              <w:spacing w:after="0"/>
              <w:rPr>
                <w:sz w:val="20"/>
                <w:szCs w:val="20"/>
                <w:color w:val="auto"/>
              </w:rPr>
            </w:pPr>
            <w:r>
              <w:rPr>
                <w:rFonts w:ascii="Arial" w:cs="Arial" w:eastAsia="Arial" w:hAnsi="Arial"/>
                <w:sz w:val="13"/>
                <w:szCs w:val="13"/>
                <w:b w:val="1"/>
                <w:bCs w:val="1"/>
                <w:color w:val="auto"/>
              </w:rPr>
              <w:t>Years Ended October 31,</w:t>
            </w:r>
          </w:p>
        </w:tc>
        <w:tc>
          <w:tcPr>
            <w:tcW w:w="440" w:type="dxa"/>
            <w:vAlign w:val="bottom"/>
          </w:tcPr>
          <w:p>
            <w:pPr>
              <w:spacing w:after="0"/>
              <w:rPr>
                <w:sz w:val="14"/>
                <w:szCs w:val="14"/>
                <w:color w:val="auto"/>
              </w:rPr>
            </w:pPr>
          </w:p>
        </w:tc>
      </w:tr>
      <w:tr>
        <w:trPr>
          <w:trHeight w:val="20"/>
        </w:trPr>
        <w:tc>
          <w:tcPr>
            <w:tcW w:w="6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880" w:type="dxa"/>
            <w:vAlign w:val="bottom"/>
          </w:tcPr>
          <w:p>
            <w:pPr>
              <w:jc w:val="center"/>
              <w:ind w:left="329"/>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8"/>
                <w:szCs w:val="18"/>
                <w:color w:val="auto"/>
              </w:rPr>
            </w:pPr>
          </w:p>
        </w:tc>
        <w:tc>
          <w:tcPr>
            <w:tcW w:w="1100" w:type="dxa"/>
            <w:vAlign w:val="bottom"/>
            <w:gridSpan w:val="2"/>
          </w:tcPr>
          <w:p>
            <w:pPr>
              <w:jc w:val="center"/>
              <w:ind w:left="588"/>
              <w:spacing w:after="0"/>
              <w:rPr>
                <w:sz w:val="20"/>
                <w:szCs w:val="20"/>
                <w:color w:val="auto"/>
              </w:rPr>
            </w:pPr>
            <w:r>
              <w:rPr>
                <w:rFonts w:ascii="Arial" w:cs="Arial" w:eastAsia="Arial" w:hAnsi="Arial"/>
                <w:sz w:val="14"/>
                <w:szCs w:val="14"/>
                <w:b w:val="1"/>
                <w:bCs w:val="1"/>
                <w:color w:val="auto"/>
              </w:rPr>
              <w:t>2024</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left="329"/>
              <w:spacing w:after="0"/>
              <w:rPr>
                <w:sz w:val="20"/>
                <w:szCs w:val="20"/>
                <w:color w:val="auto"/>
              </w:rPr>
            </w:pPr>
            <w:r>
              <w:rPr>
                <w:rFonts w:ascii="Arial" w:cs="Arial" w:eastAsia="Arial" w:hAnsi="Arial"/>
                <w:sz w:val="14"/>
                <w:szCs w:val="14"/>
                <w:b w:val="1"/>
                <w:bCs w:val="1"/>
                <w:color w:val="auto"/>
              </w:rPr>
              <w:t>2025</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left="328"/>
              <w:spacing w:after="0"/>
              <w:rPr>
                <w:sz w:val="20"/>
                <w:szCs w:val="20"/>
                <w:color w:val="auto"/>
              </w:rPr>
            </w:pPr>
            <w:r>
              <w:rPr>
                <w:rFonts w:ascii="Arial" w:cs="Arial" w:eastAsia="Arial" w:hAnsi="Arial"/>
                <w:sz w:val="14"/>
                <w:szCs w:val="14"/>
                <w:b w:val="1"/>
                <w:bCs w:val="1"/>
                <w:color w:val="auto"/>
              </w:rPr>
              <w:t>2024</w:t>
            </w:r>
          </w:p>
        </w:tc>
        <w:tc>
          <w:tcPr>
            <w:tcW w:w="440" w:type="dxa"/>
            <w:vAlign w:val="bottom"/>
          </w:tcPr>
          <w:p>
            <w:pPr>
              <w:spacing w:after="0"/>
              <w:rPr>
                <w:sz w:val="18"/>
                <w:szCs w:val="18"/>
                <w:color w:val="auto"/>
              </w:rPr>
            </w:pPr>
          </w:p>
        </w:tc>
      </w:tr>
      <w:tr>
        <w:trPr>
          <w:trHeight w:val="237"/>
        </w:trPr>
        <w:tc>
          <w:tcPr>
            <w:tcW w:w="5360" w:type="dxa"/>
            <w:vAlign w:val="bottom"/>
            <w:tcBorders>
              <w:bottom w:val="single" w:sz="8" w:color="DCE2EF"/>
              <w:right w:val="single" w:sz="8" w:color="DCE2EF"/>
            </w:tcBorders>
            <w:gridSpan w:val="3"/>
            <w:shd w:val="clear" w:color="auto" w:fill="DCE2EF"/>
          </w:tcPr>
          <w:p>
            <w:pPr>
              <w:ind w:left="60"/>
              <w:spacing w:after="0"/>
              <w:rPr>
                <w:sz w:val="20"/>
                <w:szCs w:val="20"/>
                <w:color w:val="auto"/>
              </w:rPr>
            </w:pPr>
            <w:r>
              <w:rPr>
                <w:rFonts w:ascii="Arial" w:cs="Arial" w:eastAsia="Arial" w:hAnsi="Arial"/>
                <w:sz w:val="14"/>
                <w:szCs w:val="14"/>
                <w:b w:val="1"/>
                <w:bCs w:val="1"/>
                <w:color w:val="auto"/>
              </w:rPr>
              <w:t>Reconciliation of Net Income (loss) to Adjusted Net Income</w:t>
            </w:r>
          </w:p>
        </w:tc>
        <w:tc>
          <w:tcPr>
            <w:tcW w:w="880" w:type="dxa"/>
            <w:vAlign w:val="bottom"/>
            <w:tcBorders>
              <w:top w:val="single" w:sz="8" w:color="auto"/>
              <w:bottom w:val="single" w:sz="8" w:color="DCE2EF"/>
            </w:tcBorders>
            <w:shd w:val="clear" w:color="auto" w:fill="DCE2EF"/>
          </w:tcPr>
          <w:p>
            <w:pPr>
              <w:spacing w:after="0"/>
              <w:rPr>
                <w:sz w:val="20"/>
                <w:szCs w:val="20"/>
                <w:color w:val="auto"/>
              </w:rPr>
            </w:pPr>
          </w:p>
        </w:tc>
        <w:tc>
          <w:tcPr>
            <w:tcW w:w="420" w:type="dxa"/>
            <w:vAlign w:val="bottom"/>
            <w:tcBorders>
              <w:top w:val="single" w:sz="8" w:color="auto"/>
              <w:bottom w:val="single" w:sz="8" w:color="DCE2EF"/>
            </w:tcBorders>
            <w:shd w:val="clear" w:color="auto" w:fill="DCE2EF"/>
          </w:tcPr>
          <w:p>
            <w:pPr>
              <w:spacing w:after="0"/>
              <w:rPr>
                <w:sz w:val="20"/>
                <w:szCs w:val="20"/>
                <w:color w:val="auto"/>
              </w:rPr>
            </w:pPr>
          </w:p>
        </w:tc>
        <w:tc>
          <w:tcPr>
            <w:tcW w:w="240" w:type="dxa"/>
            <w:vAlign w:val="bottom"/>
            <w:tcBorders>
              <w:bottom w:val="single" w:sz="8" w:color="DCE2EF"/>
            </w:tcBorders>
            <w:shd w:val="clear" w:color="auto" w:fill="DCE2EF"/>
          </w:tcPr>
          <w:p>
            <w:pPr>
              <w:spacing w:after="0"/>
              <w:rPr>
                <w:sz w:val="20"/>
                <w:szCs w:val="20"/>
                <w:color w:val="auto"/>
              </w:rPr>
            </w:pPr>
          </w:p>
        </w:tc>
        <w:tc>
          <w:tcPr>
            <w:tcW w:w="860" w:type="dxa"/>
            <w:vAlign w:val="bottom"/>
            <w:tcBorders>
              <w:top w:val="single" w:sz="8" w:color="auto"/>
              <w:bottom w:val="single" w:sz="8" w:color="DCE2EF"/>
            </w:tcBorders>
            <w:shd w:val="clear" w:color="auto" w:fill="DCE2EF"/>
          </w:tcPr>
          <w:p>
            <w:pPr>
              <w:spacing w:after="0"/>
              <w:rPr>
                <w:sz w:val="20"/>
                <w:szCs w:val="20"/>
                <w:color w:val="auto"/>
              </w:rPr>
            </w:pPr>
          </w:p>
        </w:tc>
        <w:tc>
          <w:tcPr>
            <w:tcW w:w="460" w:type="dxa"/>
            <w:vAlign w:val="bottom"/>
            <w:tcBorders>
              <w:top w:val="single" w:sz="8" w:color="auto"/>
              <w:bottom w:val="single" w:sz="8" w:color="DCE2EF"/>
              <w:right w:val="single" w:sz="8" w:color="DCE2EF"/>
            </w:tcBorders>
            <w:shd w:val="clear" w:color="auto" w:fill="DCE2EF"/>
          </w:tcPr>
          <w:p>
            <w:pPr>
              <w:spacing w:after="0"/>
              <w:rPr>
                <w:sz w:val="20"/>
                <w:szCs w:val="20"/>
                <w:color w:val="auto"/>
              </w:rPr>
            </w:pPr>
          </w:p>
        </w:tc>
        <w:tc>
          <w:tcPr>
            <w:tcW w:w="220" w:type="dxa"/>
            <w:vAlign w:val="bottom"/>
            <w:tcBorders>
              <w:bottom w:val="single" w:sz="8" w:color="DCE2EF"/>
              <w:right w:val="single" w:sz="8" w:color="DCE2EF"/>
            </w:tcBorders>
            <w:shd w:val="clear" w:color="auto" w:fill="DCE2EF"/>
          </w:tcPr>
          <w:p>
            <w:pPr>
              <w:spacing w:after="0"/>
              <w:rPr>
                <w:sz w:val="20"/>
                <w:szCs w:val="20"/>
                <w:color w:val="auto"/>
              </w:rPr>
            </w:pPr>
          </w:p>
        </w:tc>
        <w:tc>
          <w:tcPr>
            <w:tcW w:w="840" w:type="dxa"/>
            <w:vAlign w:val="bottom"/>
            <w:tcBorders>
              <w:top w:val="single" w:sz="8" w:color="auto"/>
              <w:bottom w:val="single" w:sz="8" w:color="DCE2EF"/>
            </w:tcBorders>
            <w:shd w:val="clear" w:color="auto" w:fill="DCE2EF"/>
          </w:tcPr>
          <w:p>
            <w:pPr>
              <w:spacing w:after="0"/>
              <w:rPr>
                <w:sz w:val="20"/>
                <w:szCs w:val="20"/>
                <w:color w:val="auto"/>
              </w:rPr>
            </w:pPr>
          </w:p>
        </w:tc>
        <w:tc>
          <w:tcPr>
            <w:tcW w:w="460" w:type="dxa"/>
            <w:vAlign w:val="bottom"/>
            <w:tcBorders>
              <w:top w:val="single" w:sz="8" w:color="auto"/>
              <w:bottom w:val="single" w:sz="8" w:color="DCE2EF"/>
              <w:right w:val="single" w:sz="8" w:color="DCE2EF"/>
            </w:tcBorders>
            <w:shd w:val="clear" w:color="auto" w:fill="DCE2EF"/>
          </w:tcPr>
          <w:p>
            <w:pPr>
              <w:spacing w:after="0"/>
              <w:rPr>
                <w:sz w:val="20"/>
                <w:szCs w:val="20"/>
                <w:color w:val="auto"/>
              </w:rPr>
            </w:pPr>
          </w:p>
        </w:tc>
        <w:tc>
          <w:tcPr>
            <w:tcW w:w="220" w:type="dxa"/>
            <w:vAlign w:val="bottom"/>
            <w:tcBorders>
              <w:bottom w:val="single" w:sz="8" w:color="DCE2EF"/>
              <w:right w:val="single" w:sz="8" w:color="DCE2EF"/>
            </w:tcBorders>
            <w:shd w:val="clear" w:color="auto" w:fill="DCE2EF"/>
          </w:tcPr>
          <w:p>
            <w:pPr>
              <w:spacing w:after="0"/>
              <w:rPr>
                <w:sz w:val="20"/>
                <w:szCs w:val="20"/>
                <w:color w:val="auto"/>
              </w:rPr>
            </w:pPr>
          </w:p>
        </w:tc>
        <w:tc>
          <w:tcPr>
            <w:tcW w:w="840" w:type="dxa"/>
            <w:vAlign w:val="bottom"/>
            <w:tcBorders>
              <w:top w:val="single" w:sz="8" w:color="auto"/>
              <w:bottom w:val="single" w:sz="8" w:color="DCE2EF"/>
            </w:tcBorders>
            <w:shd w:val="clear" w:color="auto" w:fill="DCE2EF"/>
          </w:tcPr>
          <w:p>
            <w:pPr>
              <w:spacing w:after="0"/>
              <w:rPr>
                <w:sz w:val="20"/>
                <w:szCs w:val="20"/>
                <w:color w:val="auto"/>
              </w:rPr>
            </w:pPr>
          </w:p>
        </w:tc>
        <w:tc>
          <w:tcPr>
            <w:tcW w:w="440" w:type="dxa"/>
            <w:vAlign w:val="bottom"/>
            <w:tcBorders>
              <w:top w:val="single" w:sz="8" w:color="auto"/>
              <w:bottom w:val="single" w:sz="8" w:color="DCE2EF"/>
            </w:tcBorders>
            <w:shd w:val="clear" w:color="auto" w:fill="DCE2EF"/>
          </w:tcPr>
          <w:p>
            <w:pPr>
              <w:spacing w:after="0"/>
              <w:rPr>
                <w:sz w:val="20"/>
                <w:szCs w:val="20"/>
                <w:color w:val="auto"/>
              </w:rPr>
            </w:pPr>
          </w:p>
        </w:tc>
      </w:tr>
      <w:tr>
        <w:trPr>
          <w:trHeight w:val="252"/>
        </w:trPr>
        <w:tc>
          <w:tcPr>
            <w:tcW w:w="5360" w:type="dxa"/>
            <w:vAlign w:val="bottom"/>
            <w:gridSpan w:val="3"/>
          </w:tcPr>
          <w:p>
            <w:pPr>
              <w:ind w:left="60"/>
              <w:spacing w:after="0"/>
              <w:rPr>
                <w:sz w:val="20"/>
                <w:szCs w:val="20"/>
                <w:color w:val="auto"/>
              </w:rPr>
            </w:pPr>
            <w:r>
              <w:rPr>
                <w:rFonts w:ascii="Arial" w:cs="Arial" w:eastAsia="Arial" w:hAnsi="Arial"/>
                <w:sz w:val="14"/>
                <w:szCs w:val="14"/>
                <w:color w:val="auto"/>
              </w:rPr>
              <w:t>Net income (loss)</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34.8</w:t>
            </w:r>
          </w:p>
        </w:tc>
        <w:tc>
          <w:tcPr>
            <w:tcW w:w="11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(11.7)</w:t>
            </w:r>
          </w:p>
        </w:tc>
        <w:tc>
          <w:tcPr>
            <w:tcW w:w="220" w:type="dxa"/>
            <w:vAlign w:val="bottom"/>
          </w:tcPr>
          <w:p>
            <w:pPr>
              <w:spacing w:after="0"/>
              <w:rPr>
                <w:sz w:val="21"/>
                <w:szCs w:val="21"/>
                <w:color w:val="auto"/>
              </w:rPr>
            </w:pPr>
          </w:p>
        </w:tc>
        <w:tc>
          <w:tcPr>
            <w:tcW w:w="840" w:type="dxa"/>
            <w:vAlign w:val="bottom"/>
          </w:tcPr>
          <w:p>
            <w:pPr>
              <w:jc w:val="center"/>
              <w:ind w:left="329"/>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162.4</w:t>
            </w:r>
          </w:p>
        </w:tc>
        <w:tc>
          <w:tcPr>
            <w:tcW w:w="22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81.4</w:t>
            </w:r>
          </w:p>
        </w:tc>
      </w:tr>
      <w:tr>
        <w:trPr>
          <w:trHeight w:val="261"/>
        </w:trPr>
        <w:tc>
          <w:tcPr>
            <w:tcW w:w="5360" w:type="dxa"/>
            <w:vAlign w:val="bottom"/>
            <w:tcBorders>
              <w:right w:val="single" w:sz="8" w:color="DCE2EF"/>
            </w:tcBorders>
            <w:gridSpan w:val="3"/>
            <w:shd w:val="clear" w:color="auto" w:fill="DCE2EF"/>
          </w:tcPr>
          <w:p>
            <w:pPr>
              <w:ind w:left="60"/>
              <w:spacing w:after="0"/>
              <w:rPr>
                <w:sz w:val="20"/>
                <w:szCs w:val="20"/>
                <w:color w:val="auto"/>
              </w:rPr>
            </w:pPr>
            <w:r>
              <w:rPr>
                <w:rFonts w:ascii="Arial" w:cs="Arial" w:eastAsia="Arial" w:hAnsi="Arial"/>
                <w:sz w:val="14"/>
                <w:szCs w:val="14"/>
                <w:color w:val="auto"/>
              </w:rPr>
              <w:t>Items impacting comparability</w:t>
            </w:r>
            <w:r>
              <w:rPr>
                <w:rFonts w:ascii="Arial" w:cs="Arial" w:eastAsia="Arial" w:hAnsi="Arial"/>
                <w:sz w:val="19"/>
                <w:szCs w:val="19"/>
                <w:color w:val="auto"/>
                <w:vertAlign w:val="superscript"/>
              </w:rPr>
              <w:t>(a)(b)</w:t>
            </w:r>
          </w:p>
        </w:tc>
        <w:tc>
          <w:tcPr>
            <w:tcW w:w="880" w:type="dxa"/>
            <w:vAlign w:val="bottom"/>
            <w:shd w:val="clear" w:color="auto" w:fill="DCE2EF"/>
          </w:tcPr>
          <w:p>
            <w:pPr>
              <w:spacing w:after="0"/>
              <w:rPr>
                <w:sz w:val="22"/>
                <w:szCs w:val="22"/>
                <w:color w:val="auto"/>
              </w:rPr>
            </w:pPr>
          </w:p>
        </w:tc>
        <w:tc>
          <w:tcPr>
            <w:tcW w:w="420" w:type="dxa"/>
            <w:vAlign w:val="bottom"/>
            <w:shd w:val="clear" w:color="auto" w:fill="DCE2EF"/>
          </w:tcPr>
          <w:p>
            <w:pPr>
              <w:spacing w:after="0"/>
              <w:rPr>
                <w:sz w:val="22"/>
                <w:szCs w:val="22"/>
                <w:color w:val="auto"/>
              </w:rPr>
            </w:pPr>
          </w:p>
        </w:tc>
        <w:tc>
          <w:tcPr>
            <w:tcW w:w="240" w:type="dxa"/>
            <w:vAlign w:val="bottom"/>
            <w:shd w:val="clear" w:color="auto" w:fill="DCE2EF"/>
          </w:tcPr>
          <w:p>
            <w:pPr>
              <w:spacing w:after="0"/>
              <w:rPr>
                <w:sz w:val="22"/>
                <w:szCs w:val="22"/>
                <w:color w:val="auto"/>
              </w:rPr>
            </w:pPr>
          </w:p>
        </w:tc>
        <w:tc>
          <w:tcPr>
            <w:tcW w:w="860" w:type="dxa"/>
            <w:vAlign w:val="bottom"/>
            <w:shd w:val="clear" w:color="auto" w:fill="DCE2EF"/>
          </w:tcPr>
          <w:p>
            <w:pPr>
              <w:spacing w:after="0"/>
              <w:rPr>
                <w:sz w:val="22"/>
                <w:szCs w:val="22"/>
                <w:color w:val="auto"/>
              </w:rPr>
            </w:pPr>
          </w:p>
        </w:tc>
        <w:tc>
          <w:tcPr>
            <w:tcW w:w="460" w:type="dxa"/>
            <w:vAlign w:val="bottom"/>
            <w:tcBorders>
              <w:right w:val="single" w:sz="8" w:color="DCE2EF"/>
            </w:tcBorders>
            <w:shd w:val="clear" w:color="auto" w:fill="DCE2EF"/>
          </w:tcPr>
          <w:p>
            <w:pPr>
              <w:spacing w:after="0"/>
              <w:rPr>
                <w:sz w:val="22"/>
                <w:szCs w:val="22"/>
                <w:color w:val="auto"/>
              </w:rPr>
            </w:pPr>
          </w:p>
        </w:tc>
        <w:tc>
          <w:tcPr>
            <w:tcW w:w="220" w:type="dxa"/>
            <w:vAlign w:val="bottom"/>
            <w:tcBorders>
              <w:right w:val="single" w:sz="8" w:color="DCE2EF"/>
            </w:tcBorders>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60" w:type="dxa"/>
            <w:vAlign w:val="bottom"/>
            <w:tcBorders>
              <w:right w:val="single" w:sz="8" w:color="DCE2EF"/>
            </w:tcBorders>
            <w:shd w:val="clear" w:color="auto" w:fill="DCE2EF"/>
          </w:tcPr>
          <w:p>
            <w:pPr>
              <w:spacing w:after="0"/>
              <w:rPr>
                <w:sz w:val="22"/>
                <w:szCs w:val="22"/>
                <w:color w:val="auto"/>
              </w:rPr>
            </w:pPr>
          </w:p>
        </w:tc>
        <w:tc>
          <w:tcPr>
            <w:tcW w:w="220" w:type="dxa"/>
            <w:vAlign w:val="bottom"/>
            <w:tcBorders>
              <w:right w:val="single" w:sz="8" w:color="DCE2EF"/>
            </w:tcBorders>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40" w:type="dxa"/>
            <w:vAlign w:val="bottom"/>
            <w:shd w:val="clear" w:color="auto" w:fill="DCE2EF"/>
          </w:tcPr>
          <w:p>
            <w:pPr>
              <w:spacing w:after="0"/>
              <w:rPr>
                <w:sz w:val="22"/>
                <w:szCs w:val="22"/>
                <w:color w:val="auto"/>
              </w:rPr>
            </w:pPr>
          </w:p>
        </w:tc>
      </w:tr>
      <w:tr>
        <w:trPr>
          <w:trHeight w:val="257"/>
        </w:trPr>
        <w:tc>
          <w:tcPr>
            <w:tcW w:w="60" w:type="dxa"/>
            <w:vAlign w:val="bottom"/>
          </w:tcPr>
          <w:p>
            <w:pPr>
              <w:spacing w:after="0"/>
              <w:rPr>
                <w:sz w:val="22"/>
                <w:szCs w:val="22"/>
                <w:color w:val="auto"/>
              </w:rPr>
            </w:pPr>
          </w:p>
        </w:tc>
        <w:tc>
          <w:tcPr>
            <w:tcW w:w="5300" w:type="dxa"/>
            <w:vAlign w:val="bottom"/>
            <w:gridSpan w:val="2"/>
          </w:tcPr>
          <w:p>
            <w:pPr>
              <w:ind w:left="60"/>
              <w:spacing w:after="0"/>
              <w:rPr>
                <w:sz w:val="20"/>
                <w:szCs w:val="20"/>
                <w:color w:val="auto"/>
              </w:rPr>
            </w:pPr>
            <w:r>
              <w:rPr>
                <w:rFonts w:ascii="Arial" w:cs="Arial" w:eastAsia="Arial" w:hAnsi="Arial"/>
                <w:sz w:val="14"/>
                <w:szCs w:val="14"/>
                <w:color w:val="auto"/>
              </w:rPr>
              <w:t>Restructuring and related</w:t>
            </w:r>
            <w:r>
              <w:rPr>
                <w:rFonts w:ascii="Arial" w:cs="Arial" w:eastAsia="Arial" w:hAnsi="Arial"/>
                <w:sz w:val="19"/>
                <w:szCs w:val="19"/>
                <w:color w:val="auto"/>
                <w:vertAlign w:val="superscript"/>
              </w:rPr>
              <w:t>(c)</w:t>
            </w:r>
          </w:p>
        </w:tc>
        <w:tc>
          <w:tcPr>
            <w:tcW w:w="8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13.1</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13.4</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7"/>
        </w:trPr>
        <w:tc>
          <w:tcPr>
            <w:tcW w:w="60" w:type="dxa"/>
            <w:vAlign w:val="bottom"/>
            <w:shd w:val="clear" w:color="auto" w:fill="DCE2EF"/>
          </w:tcPr>
          <w:p>
            <w:pPr>
              <w:spacing w:after="0"/>
              <w:rPr>
                <w:sz w:val="22"/>
                <w:szCs w:val="22"/>
                <w:color w:val="auto"/>
              </w:rPr>
            </w:pPr>
          </w:p>
        </w:tc>
        <w:tc>
          <w:tcPr>
            <w:tcW w:w="5300" w:type="dxa"/>
            <w:vAlign w:val="bottom"/>
            <w:tcBorders>
              <w:right w:val="single" w:sz="8" w:color="DCE2EF"/>
            </w:tcBorders>
            <w:gridSpan w:val="2"/>
            <w:shd w:val="clear" w:color="auto" w:fill="DCE2EF"/>
          </w:tcPr>
          <w:p>
            <w:pPr>
              <w:ind w:left="60"/>
              <w:spacing w:after="0"/>
              <w:rPr>
                <w:sz w:val="20"/>
                <w:szCs w:val="20"/>
                <w:color w:val="auto"/>
              </w:rPr>
            </w:pPr>
            <w:r>
              <w:rPr>
                <w:rFonts w:ascii="Arial" w:cs="Arial" w:eastAsia="Arial" w:hAnsi="Arial"/>
                <w:sz w:val="14"/>
                <w:szCs w:val="14"/>
                <w:color w:val="auto"/>
              </w:rPr>
              <w:t>Legal costs and other settlements</w:t>
            </w:r>
          </w:p>
        </w:tc>
        <w:tc>
          <w:tcPr>
            <w:tcW w:w="880" w:type="dxa"/>
            <w:vAlign w:val="bottom"/>
            <w:shd w:val="clear" w:color="auto" w:fill="DCE2EF"/>
          </w:tcPr>
          <w:p>
            <w:pPr>
              <w:spacing w:after="0"/>
              <w:rPr>
                <w:sz w:val="22"/>
                <w:szCs w:val="22"/>
                <w:color w:val="auto"/>
              </w:rPr>
            </w:pPr>
          </w:p>
        </w:tc>
        <w:tc>
          <w:tcPr>
            <w:tcW w:w="4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CE2EF"/>
          </w:tcPr>
          <w:p>
            <w:pPr>
              <w:spacing w:after="0"/>
              <w:rPr>
                <w:sz w:val="22"/>
                <w:szCs w:val="22"/>
                <w:color w:val="auto"/>
              </w:rPr>
            </w:pPr>
          </w:p>
        </w:tc>
        <w:tc>
          <w:tcPr>
            <w:tcW w:w="860" w:type="dxa"/>
            <w:vAlign w:val="bottom"/>
            <w:shd w:val="clear" w:color="auto" w:fill="DCE2EF"/>
          </w:tcPr>
          <w:p>
            <w:pPr>
              <w:spacing w:after="0"/>
              <w:rPr>
                <w:sz w:val="22"/>
                <w:szCs w:val="22"/>
                <w:color w:val="auto"/>
              </w:rPr>
            </w:pPr>
          </w:p>
        </w:tc>
        <w:tc>
          <w:tcPr>
            <w:tcW w:w="460" w:type="dxa"/>
            <w:vAlign w:val="bottom"/>
            <w:tcBorders>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3.7</w:t>
            </w:r>
          </w:p>
        </w:tc>
        <w:tc>
          <w:tcPr>
            <w:tcW w:w="220" w:type="dxa"/>
            <w:vAlign w:val="bottom"/>
            <w:tcBorders>
              <w:right w:val="single" w:sz="8" w:color="DCE2EF"/>
            </w:tcBorders>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60" w:type="dxa"/>
            <w:vAlign w:val="bottom"/>
            <w:tcBorders>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2.5</w:t>
            </w:r>
          </w:p>
        </w:tc>
        <w:tc>
          <w:tcPr>
            <w:tcW w:w="220" w:type="dxa"/>
            <w:vAlign w:val="bottom"/>
            <w:tcBorders>
              <w:right w:val="single" w:sz="8" w:color="DCE2EF"/>
            </w:tcBorders>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3.9</w:t>
            </w:r>
          </w:p>
        </w:tc>
      </w:tr>
      <w:tr>
        <w:trPr>
          <w:trHeight w:val="256"/>
        </w:trPr>
        <w:tc>
          <w:tcPr>
            <w:tcW w:w="60" w:type="dxa"/>
            <w:vAlign w:val="bottom"/>
          </w:tcPr>
          <w:p>
            <w:pPr>
              <w:spacing w:after="0"/>
              <w:rPr>
                <w:sz w:val="22"/>
                <w:szCs w:val="22"/>
                <w:color w:val="auto"/>
              </w:rPr>
            </w:pPr>
          </w:p>
        </w:tc>
        <w:tc>
          <w:tcPr>
            <w:tcW w:w="5300" w:type="dxa"/>
            <w:vAlign w:val="bottom"/>
            <w:gridSpan w:val="2"/>
          </w:tcPr>
          <w:p>
            <w:pPr>
              <w:ind w:left="60"/>
              <w:spacing w:after="0"/>
              <w:rPr>
                <w:sz w:val="20"/>
                <w:szCs w:val="20"/>
                <w:color w:val="auto"/>
              </w:rPr>
            </w:pPr>
            <w:r>
              <w:rPr>
                <w:rFonts w:ascii="Arial" w:cs="Arial" w:eastAsia="Arial" w:hAnsi="Arial"/>
                <w:sz w:val="14"/>
                <w:szCs w:val="14"/>
                <w:color w:val="auto"/>
              </w:rPr>
              <w:t>Acquisition and integration related costs</w:t>
            </w:r>
            <w:r>
              <w:rPr>
                <w:rFonts w:ascii="Arial" w:cs="Arial" w:eastAsia="Arial" w:hAnsi="Arial"/>
                <w:sz w:val="19"/>
                <w:szCs w:val="19"/>
                <w:color w:val="auto"/>
                <w:vertAlign w:val="superscript"/>
              </w:rPr>
              <w:t>(d)</w:t>
            </w:r>
          </w:p>
        </w:tc>
        <w:tc>
          <w:tcPr>
            <w:tcW w:w="8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6.3</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17.7</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257"/>
        </w:trPr>
        <w:tc>
          <w:tcPr>
            <w:tcW w:w="60" w:type="dxa"/>
            <w:vAlign w:val="bottom"/>
            <w:shd w:val="clear" w:color="auto" w:fill="DCE2EF"/>
          </w:tcPr>
          <w:p>
            <w:pPr>
              <w:spacing w:after="0"/>
              <w:rPr>
                <w:sz w:val="22"/>
                <w:szCs w:val="22"/>
                <w:color w:val="auto"/>
              </w:rPr>
            </w:pPr>
          </w:p>
        </w:tc>
        <w:tc>
          <w:tcPr>
            <w:tcW w:w="5300" w:type="dxa"/>
            <w:vAlign w:val="bottom"/>
            <w:tcBorders>
              <w:right w:val="single" w:sz="8" w:color="DCE2EF"/>
            </w:tcBorders>
            <w:gridSpan w:val="2"/>
            <w:shd w:val="clear" w:color="auto" w:fill="DCE2EF"/>
          </w:tcPr>
          <w:p>
            <w:pPr>
              <w:ind w:left="60"/>
              <w:spacing w:after="0"/>
              <w:rPr>
                <w:sz w:val="20"/>
                <w:szCs w:val="20"/>
                <w:color w:val="auto"/>
              </w:rPr>
            </w:pPr>
            <w:r>
              <w:rPr>
                <w:rFonts w:ascii="Arial" w:cs="Arial" w:eastAsia="Arial" w:hAnsi="Arial"/>
                <w:sz w:val="14"/>
                <w:szCs w:val="14"/>
                <w:color w:val="auto"/>
              </w:rPr>
              <w:t>Transformation initiative costs</w:t>
            </w:r>
            <w:r>
              <w:rPr>
                <w:rFonts w:ascii="Arial" w:cs="Arial" w:eastAsia="Arial" w:hAnsi="Arial"/>
                <w:sz w:val="19"/>
                <w:szCs w:val="19"/>
                <w:color w:val="auto"/>
                <w:vertAlign w:val="superscript"/>
              </w:rPr>
              <w:t>(e)</w:t>
            </w:r>
          </w:p>
        </w:tc>
        <w:tc>
          <w:tcPr>
            <w:tcW w:w="880" w:type="dxa"/>
            <w:vAlign w:val="bottom"/>
            <w:shd w:val="clear" w:color="auto" w:fill="DCE2EF"/>
          </w:tcPr>
          <w:p>
            <w:pPr>
              <w:spacing w:after="0"/>
              <w:rPr>
                <w:sz w:val="22"/>
                <w:szCs w:val="22"/>
                <w:color w:val="auto"/>
              </w:rPr>
            </w:pPr>
          </w:p>
        </w:tc>
        <w:tc>
          <w:tcPr>
            <w:tcW w:w="4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9.8</w:t>
            </w:r>
          </w:p>
        </w:tc>
        <w:tc>
          <w:tcPr>
            <w:tcW w:w="240" w:type="dxa"/>
            <w:vAlign w:val="bottom"/>
            <w:shd w:val="clear" w:color="auto" w:fill="DCE2EF"/>
          </w:tcPr>
          <w:p>
            <w:pPr>
              <w:spacing w:after="0"/>
              <w:rPr>
                <w:sz w:val="22"/>
                <w:szCs w:val="22"/>
                <w:color w:val="auto"/>
              </w:rPr>
            </w:pPr>
          </w:p>
        </w:tc>
        <w:tc>
          <w:tcPr>
            <w:tcW w:w="860" w:type="dxa"/>
            <w:vAlign w:val="bottom"/>
            <w:shd w:val="clear" w:color="auto" w:fill="DCE2EF"/>
          </w:tcPr>
          <w:p>
            <w:pPr>
              <w:spacing w:after="0"/>
              <w:rPr>
                <w:sz w:val="22"/>
                <w:szCs w:val="22"/>
                <w:color w:val="auto"/>
              </w:rPr>
            </w:pPr>
          </w:p>
        </w:tc>
        <w:tc>
          <w:tcPr>
            <w:tcW w:w="460" w:type="dxa"/>
            <w:vAlign w:val="bottom"/>
            <w:tcBorders>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10.1</w:t>
            </w:r>
          </w:p>
        </w:tc>
        <w:tc>
          <w:tcPr>
            <w:tcW w:w="220" w:type="dxa"/>
            <w:vAlign w:val="bottom"/>
            <w:tcBorders>
              <w:right w:val="single" w:sz="8" w:color="DCE2EF"/>
            </w:tcBorders>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60" w:type="dxa"/>
            <w:vAlign w:val="bottom"/>
            <w:tcBorders>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39.9</w:t>
            </w:r>
          </w:p>
        </w:tc>
        <w:tc>
          <w:tcPr>
            <w:tcW w:w="220" w:type="dxa"/>
            <w:vAlign w:val="bottom"/>
            <w:tcBorders>
              <w:right w:val="single" w:sz="8" w:color="DCE2EF"/>
            </w:tcBorders>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37.9</w:t>
            </w:r>
          </w:p>
        </w:tc>
      </w:tr>
      <w:tr>
        <w:trPr>
          <w:trHeight w:val="257"/>
        </w:trPr>
        <w:tc>
          <w:tcPr>
            <w:tcW w:w="60" w:type="dxa"/>
            <w:vAlign w:val="bottom"/>
          </w:tcPr>
          <w:p>
            <w:pPr>
              <w:spacing w:after="0"/>
              <w:rPr>
                <w:sz w:val="22"/>
                <w:szCs w:val="22"/>
                <w:color w:val="auto"/>
              </w:rPr>
            </w:pPr>
          </w:p>
        </w:tc>
        <w:tc>
          <w:tcPr>
            <w:tcW w:w="5300" w:type="dxa"/>
            <w:vAlign w:val="bottom"/>
            <w:gridSpan w:val="2"/>
          </w:tcPr>
          <w:p>
            <w:pPr>
              <w:ind w:left="60"/>
              <w:spacing w:after="0"/>
              <w:rPr>
                <w:sz w:val="20"/>
                <w:szCs w:val="20"/>
                <w:color w:val="auto"/>
              </w:rPr>
            </w:pPr>
            <w:r>
              <w:rPr>
                <w:rFonts w:ascii="Arial" w:cs="Arial" w:eastAsia="Arial" w:hAnsi="Arial"/>
                <w:sz w:val="14"/>
                <w:szCs w:val="14"/>
                <w:color w:val="auto"/>
              </w:rPr>
              <w:t>Change in fair value of contingent consideration</w:t>
            </w:r>
            <w:r>
              <w:rPr>
                <w:rFonts w:ascii="Arial" w:cs="Arial" w:eastAsia="Arial" w:hAnsi="Arial"/>
                <w:sz w:val="19"/>
                <w:szCs w:val="19"/>
                <w:color w:val="auto"/>
                <w:vertAlign w:val="superscript"/>
              </w:rPr>
              <w:t>(f)</w:t>
            </w:r>
          </w:p>
        </w:tc>
        <w:tc>
          <w:tcPr>
            <w:tcW w:w="8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59.7</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95.7</w:t>
            </w:r>
          </w:p>
        </w:tc>
      </w:tr>
      <w:tr>
        <w:trPr>
          <w:trHeight w:val="257"/>
        </w:trPr>
        <w:tc>
          <w:tcPr>
            <w:tcW w:w="60" w:type="dxa"/>
            <w:vAlign w:val="bottom"/>
            <w:shd w:val="clear" w:color="auto" w:fill="DCE2EF"/>
          </w:tcPr>
          <w:p>
            <w:pPr>
              <w:spacing w:after="0"/>
              <w:rPr>
                <w:sz w:val="22"/>
                <w:szCs w:val="22"/>
                <w:color w:val="auto"/>
              </w:rPr>
            </w:pPr>
          </w:p>
        </w:tc>
        <w:tc>
          <w:tcPr>
            <w:tcW w:w="5300" w:type="dxa"/>
            <w:vAlign w:val="bottom"/>
            <w:tcBorders>
              <w:right w:val="single" w:sz="8" w:color="DCE2EF"/>
            </w:tcBorders>
            <w:gridSpan w:val="2"/>
            <w:shd w:val="clear" w:color="auto" w:fill="DCE2EF"/>
          </w:tcPr>
          <w:p>
            <w:pPr>
              <w:ind w:left="60"/>
              <w:spacing w:after="0"/>
              <w:rPr>
                <w:sz w:val="20"/>
                <w:szCs w:val="20"/>
                <w:color w:val="auto"/>
              </w:rPr>
            </w:pPr>
            <w:r>
              <w:rPr>
                <w:rFonts w:ascii="Arial" w:cs="Arial" w:eastAsia="Arial" w:hAnsi="Arial"/>
                <w:sz w:val="14"/>
                <w:szCs w:val="14"/>
                <w:color w:val="auto"/>
              </w:rPr>
              <w:t>Employee Retention Credit</w:t>
            </w:r>
            <w:r>
              <w:rPr>
                <w:rFonts w:ascii="Arial" w:cs="Arial" w:eastAsia="Arial" w:hAnsi="Arial"/>
                <w:sz w:val="19"/>
                <w:szCs w:val="19"/>
                <w:color w:val="auto"/>
                <w:vertAlign w:val="superscript"/>
              </w:rPr>
              <w:t>(g)</w:t>
            </w:r>
          </w:p>
        </w:tc>
        <w:tc>
          <w:tcPr>
            <w:tcW w:w="880" w:type="dxa"/>
            <w:vAlign w:val="bottom"/>
            <w:shd w:val="clear" w:color="auto" w:fill="DCE2EF"/>
          </w:tcPr>
          <w:p>
            <w:pPr>
              <w:spacing w:after="0"/>
              <w:rPr>
                <w:sz w:val="22"/>
                <w:szCs w:val="22"/>
                <w:color w:val="auto"/>
              </w:rPr>
            </w:pPr>
          </w:p>
        </w:tc>
        <w:tc>
          <w:tcPr>
            <w:tcW w:w="4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DCE2EF"/>
          </w:tcPr>
          <w:p>
            <w:pPr>
              <w:spacing w:after="0"/>
              <w:rPr>
                <w:sz w:val="22"/>
                <w:szCs w:val="22"/>
                <w:color w:val="auto"/>
              </w:rPr>
            </w:pPr>
          </w:p>
        </w:tc>
        <w:tc>
          <w:tcPr>
            <w:tcW w:w="860" w:type="dxa"/>
            <w:vAlign w:val="bottom"/>
            <w:shd w:val="clear" w:color="auto" w:fill="DCE2EF"/>
          </w:tcPr>
          <w:p>
            <w:pPr>
              <w:spacing w:after="0"/>
              <w:rPr>
                <w:sz w:val="22"/>
                <w:szCs w:val="22"/>
                <w:color w:val="auto"/>
              </w:rPr>
            </w:pPr>
          </w:p>
        </w:tc>
        <w:tc>
          <w:tcPr>
            <w:tcW w:w="680" w:type="dxa"/>
            <w:vAlign w:val="bottom"/>
            <w:tcBorders>
              <w:right w:val="single" w:sz="8" w:color="DCE2EF"/>
            </w:tcBorders>
            <w:gridSpan w:val="2"/>
            <w:shd w:val="clear" w:color="auto" w:fill="DCE2E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shd w:val="clear" w:color="auto" w:fill="DCE2EF"/>
          </w:tcPr>
          <w:p>
            <w:pPr>
              <w:spacing w:after="0"/>
              <w:rPr>
                <w:sz w:val="22"/>
                <w:szCs w:val="22"/>
                <w:color w:val="auto"/>
              </w:rPr>
            </w:pPr>
          </w:p>
        </w:tc>
        <w:tc>
          <w:tcPr>
            <w:tcW w:w="460" w:type="dxa"/>
            <w:vAlign w:val="bottom"/>
            <w:tcBorders>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(1.2)</w:t>
            </w:r>
          </w:p>
        </w:tc>
        <w:tc>
          <w:tcPr>
            <w:tcW w:w="220" w:type="dxa"/>
            <w:vAlign w:val="bottom"/>
            <w:tcBorders>
              <w:right w:val="single" w:sz="8" w:color="DCE2EF"/>
            </w:tcBorders>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w:t>
            </w:r>
          </w:p>
        </w:tc>
      </w:tr>
      <w:tr>
        <w:trPr>
          <w:trHeight w:val="257"/>
        </w:trPr>
        <w:tc>
          <w:tcPr>
            <w:tcW w:w="60" w:type="dxa"/>
            <w:vAlign w:val="bottom"/>
          </w:tcPr>
          <w:p>
            <w:pPr>
              <w:spacing w:after="0"/>
              <w:rPr>
                <w:sz w:val="22"/>
                <w:szCs w:val="22"/>
                <w:color w:val="auto"/>
              </w:rPr>
            </w:pPr>
          </w:p>
        </w:tc>
        <w:tc>
          <w:tcPr>
            <w:tcW w:w="5300" w:type="dxa"/>
            <w:vAlign w:val="bottom"/>
            <w:gridSpan w:val="2"/>
          </w:tcPr>
          <w:p>
            <w:pPr>
              <w:ind w:left="60"/>
              <w:spacing w:after="0"/>
              <w:rPr>
                <w:sz w:val="20"/>
                <w:szCs w:val="20"/>
                <w:color w:val="auto"/>
              </w:rPr>
            </w:pPr>
            <w:r>
              <w:rPr>
                <w:rFonts w:ascii="Arial" w:cs="Arial" w:eastAsia="Arial" w:hAnsi="Arial"/>
                <w:sz w:val="14"/>
                <w:szCs w:val="14"/>
                <w:color w:val="auto"/>
              </w:rPr>
              <w:t>Other</w:t>
            </w:r>
            <w:r>
              <w:rPr>
                <w:rFonts w:ascii="Arial" w:cs="Arial" w:eastAsia="Arial" w:hAnsi="Arial"/>
                <w:sz w:val="19"/>
                <w:szCs w:val="19"/>
                <w:color w:val="auto"/>
                <w:vertAlign w:val="superscript"/>
              </w:rPr>
              <w:t>(h)</w:t>
            </w:r>
          </w:p>
        </w:tc>
        <w:tc>
          <w:tcPr>
            <w:tcW w:w="8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24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22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22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r>
      <w:tr>
        <w:trPr>
          <w:trHeight w:val="216"/>
        </w:trPr>
        <w:tc>
          <w:tcPr>
            <w:tcW w:w="5360" w:type="dxa"/>
            <w:vAlign w:val="bottom"/>
            <w:tcBorders>
              <w:bottom w:val="single" w:sz="8" w:color="DCE2EF"/>
              <w:right w:val="single" w:sz="8" w:color="DCE2EF"/>
            </w:tcBorders>
            <w:gridSpan w:val="3"/>
            <w:shd w:val="clear" w:color="auto" w:fill="DCE2EF"/>
          </w:tcPr>
          <w:p>
            <w:pPr>
              <w:ind w:left="60"/>
              <w:spacing w:after="0"/>
              <w:rPr>
                <w:sz w:val="20"/>
                <w:szCs w:val="20"/>
                <w:color w:val="auto"/>
              </w:rPr>
            </w:pPr>
            <w:r>
              <w:rPr>
                <w:rFonts w:ascii="Arial" w:cs="Arial" w:eastAsia="Arial" w:hAnsi="Arial"/>
                <w:sz w:val="14"/>
                <w:szCs w:val="14"/>
                <w:color w:val="auto"/>
              </w:rPr>
              <w:t>Total items impacting comparability</w:t>
            </w:r>
          </w:p>
        </w:tc>
        <w:tc>
          <w:tcPr>
            <w:tcW w:w="880" w:type="dxa"/>
            <w:vAlign w:val="bottom"/>
            <w:tcBorders>
              <w:bottom w:val="single" w:sz="8" w:color="DCE2EF"/>
            </w:tcBorders>
            <w:shd w:val="clear" w:color="auto" w:fill="DCE2EF"/>
          </w:tcPr>
          <w:p>
            <w:pPr>
              <w:spacing w:after="0"/>
              <w:rPr>
                <w:sz w:val="18"/>
                <w:szCs w:val="18"/>
                <w:color w:val="auto"/>
              </w:rPr>
            </w:pPr>
          </w:p>
        </w:tc>
        <w:tc>
          <w:tcPr>
            <w:tcW w:w="4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27.9</w:t>
            </w:r>
          </w:p>
        </w:tc>
        <w:tc>
          <w:tcPr>
            <w:tcW w:w="240" w:type="dxa"/>
            <w:vAlign w:val="bottom"/>
            <w:tcBorders>
              <w:bottom w:val="single" w:sz="8" w:color="DCE2EF"/>
            </w:tcBorders>
            <w:shd w:val="clear" w:color="auto" w:fill="DCE2EF"/>
          </w:tcPr>
          <w:p>
            <w:pPr>
              <w:spacing w:after="0"/>
              <w:rPr>
                <w:sz w:val="18"/>
                <w:szCs w:val="18"/>
                <w:color w:val="auto"/>
              </w:rPr>
            </w:pPr>
          </w:p>
        </w:tc>
        <w:tc>
          <w:tcPr>
            <w:tcW w:w="860" w:type="dxa"/>
            <w:vAlign w:val="bottom"/>
            <w:tcBorders>
              <w:bottom w:val="single" w:sz="8" w:color="DCE2EF"/>
            </w:tcBorders>
            <w:shd w:val="clear" w:color="auto" w:fill="DCE2EF"/>
          </w:tcPr>
          <w:p>
            <w:pPr>
              <w:spacing w:after="0"/>
              <w:rPr>
                <w:sz w:val="18"/>
                <w:szCs w:val="18"/>
                <w:color w:val="auto"/>
              </w:rPr>
            </w:pPr>
          </w:p>
        </w:tc>
        <w:tc>
          <w:tcPr>
            <w:tcW w:w="460" w:type="dxa"/>
            <w:vAlign w:val="bottom"/>
            <w:tcBorders>
              <w:bottom w:val="single" w:sz="8" w:color="DCE2EF"/>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77.5</w:t>
            </w:r>
          </w:p>
        </w:tc>
        <w:tc>
          <w:tcPr>
            <w:tcW w:w="220" w:type="dxa"/>
            <w:vAlign w:val="bottom"/>
            <w:tcBorders>
              <w:bottom w:val="single" w:sz="8" w:color="DCE2EF"/>
              <w:right w:val="single" w:sz="8" w:color="DCE2EF"/>
            </w:tcBorders>
            <w:shd w:val="clear" w:color="auto" w:fill="DCE2EF"/>
          </w:tcPr>
          <w:p>
            <w:pPr>
              <w:spacing w:after="0"/>
              <w:rPr>
                <w:sz w:val="18"/>
                <w:szCs w:val="18"/>
                <w:color w:val="auto"/>
              </w:rPr>
            </w:pPr>
          </w:p>
        </w:tc>
        <w:tc>
          <w:tcPr>
            <w:tcW w:w="840" w:type="dxa"/>
            <w:vAlign w:val="bottom"/>
            <w:tcBorders>
              <w:bottom w:val="single" w:sz="8" w:color="DCE2EF"/>
            </w:tcBorders>
            <w:shd w:val="clear" w:color="auto" w:fill="DCE2EF"/>
          </w:tcPr>
          <w:p>
            <w:pPr>
              <w:spacing w:after="0"/>
              <w:rPr>
                <w:sz w:val="18"/>
                <w:szCs w:val="18"/>
                <w:color w:val="auto"/>
              </w:rPr>
            </w:pPr>
          </w:p>
        </w:tc>
        <w:tc>
          <w:tcPr>
            <w:tcW w:w="460" w:type="dxa"/>
            <w:vAlign w:val="bottom"/>
            <w:tcBorders>
              <w:bottom w:val="single" w:sz="8" w:color="DCE2EF"/>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74.7</w:t>
            </w:r>
          </w:p>
        </w:tc>
        <w:tc>
          <w:tcPr>
            <w:tcW w:w="220" w:type="dxa"/>
            <w:vAlign w:val="bottom"/>
            <w:tcBorders>
              <w:bottom w:val="single" w:sz="8" w:color="DCE2EF"/>
              <w:right w:val="single" w:sz="8" w:color="DCE2EF"/>
            </w:tcBorders>
            <w:shd w:val="clear" w:color="auto" w:fill="DCE2EF"/>
          </w:tcPr>
          <w:p>
            <w:pPr>
              <w:spacing w:after="0"/>
              <w:rPr>
                <w:sz w:val="18"/>
                <w:szCs w:val="18"/>
                <w:color w:val="auto"/>
              </w:rPr>
            </w:pPr>
          </w:p>
        </w:tc>
        <w:tc>
          <w:tcPr>
            <w:tcW w:w="840" w:type="dxa"/>
            <w:vAlign w:val="bottom"/>
            <w:tcBorders>
              <w:bottom w:val="single" w:sz="8" w:color="DCE2EF"/>
            </w:tcBorders>
            <w:shd w:val="clear" w:color="auto" w:fill="DCE2EF"/>
          </w:tcPr>
          <w:p>
            <w:pPr>
              <w:spacing w:after="0"/>
              <w:rPr>
                <w:sz w:val="18"/>
                <w:szCs w:val="18"/>
                <w:color w:val="auto"/>
              </w:rPr>
            </w:pPr>
          </w:p>
        </w:tc>
        <w:tc>
          <w:tcPr>
            <w:tcW w:w="4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152.6</w:t>
            </w:r>
          </w:p>
        </w:tc>
      </w:tr>
      <w:tr>
        <w:trPr>
          <w:trHeight w:val="257"/>
        </w:trPr>
        <w:tc>
          <w:tcPr>
            <w:tcW w:w="5360" w:type="dxa"/>
            <w:vAlign w:val="bottom"/>
            <w:gridSpan w:val="3"/>
          </w:tcPr>
          <w:p>
            <w:pPr>
              <w:ind w:left="60"/>
              <w:spacing w:after="0"/>
              <w:rPr>
                <w:sz w:val="20"/>
                <w:szCs w:val="20"/>
                <w:color w:val="auto"/>
              </w:rPr>
            </w:pPr>
            <w:r>
              <w:rPr>
                <w:rFonts w:ascii="Arial" w:cs="Arial" w:eastAsia="Arial" w:hAnsi="Arial"/>
                <w:sz w:val="14"/>
                <w:szCs w:val="14"/>
                <w:color w:val="auto"/>
              </w:rPr>
              <w:t>Income tax benefit</w:t>
            </w:r>
            <w:r>
              <w:rPr>
                <w:rFonts w:ascii="Arial" w:cs="Arial" w:eastAsia="Arial" w:hAnsi="Arial"/>
                <w:sz w:val="19"/>
                <w:szCs w:val="19"/>
                <w:color w:val="auto"/>
                <w:vertAlign w:val="superscript"/>
              </w:rPr>
              <w:t>(i) (j)</w:t>
            </w:r>
          </w:p>
        </w:tc>
        <w:tc>
          <w:tcPr>
            <w:tcW w:w="8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24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22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r>
      <w:tr>
        <w:trPr>
          <w:trHeight w:val="242"/>
        </w:trPr>
        <w:tc>
          <w:tcPr>
            <w:tcW w:w="5360" w:type="dxa"/>
            <w:vAlign w:val="bottom"/>
            <w:tcBorders>
              <w:bottom w:val="single" w:sz="8" w:color="DCE2EF"/>
              <w:right w:val="single" w:sz="8" w:color="DCE2EF"/>
            </w:tcBorders>
            <w:gridSpan w:val="3"/>
            <w:shd w:val="clear" w:color="auto" w:fill="DCE2EF"/>
          </w:tcPr>
          <w:p>
            <w:pPr>
              <w:ind w:left="60"/>
              <w:spacing w:after="0"/>
              <w:rPr>
                <w:sz w:val="20"/>
                <w:szCs w:val="20"/>
                <w:color w:val="auto"/>
              </w:rPr>
            </w:pPr>
            <w:r>
              <w:rPr>
                <w:rFonts w:ascii="Arial" w:cs="Arial" w:eastAsia="Arial" w:hAnsi="Arial"/>
                <w:sz w:val="14"/>
                <w:szCs w:val="14"/>
                <w:color w:val="auto"/>
              </w:rPr>
              <w:t>Items impacting comparability, net of taxes</w:t>
            </w:r>
          </w:p>
        </w:tc>
        <w:tc>
          <w:tcPr>
            <w:tcW w:w="880" w:type="dxa"/>
            <w:vAlign w:val="bottom"/>
            <w:tcBorders>
              <w:bottom w:val="single" w:sz="8" w:color="DCE2EF"/>
            </w:tcBorders>
            <w:shd w:val="clear" w:color="auto" w:fill="DCE2EF"/>
          </w:tcPr>
          <w:p>
            <w:pPr>
              <w:spacing w:after="0"/>
              <w:rPr>
                <w:sz w:val="20"/>
                <w:szCs w:val="20"/>
                <w:color w:val="auto"/>
              </w:rPr>
            </w:pPr>
          </w:p>
        </w:tc>
        <w:tc>
          <w:tcPr>
            <w:tcW w:w="4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19.9</w:t>
            </w:r>
          </w:p>
        </w:tc>
        <w:tc>
          <w:tcPr>
            <w:tcW w:w="240" w:type="dxa"/>
            <w:vAlign w:val="bottom"/>
            <w:tcBorders>
              <w:bottom w:val="single" w:sz="8" w:color="DCE2EF"/>
            </w:tcBorders>
            <w:shd w:val="clear" w:color="auto" w:fill="DCE2EF"/>
          </w:tcPr>
          <w:p>
            <w:pPr>
              <w:spacing w:after="0"/>
              <w:rPr>
                <w:sz w:val="20"/>
                <w:szCs w:val="20"/>
                <w:color w:val="auto"/>
              </w:rPr>
            </w:pPr>
          </w:p>
        </w:tc>
        <w:tc>
          <w:tcPr>
            <w:tcW w:w="860" w:type="dxa"/>
            <w:vAlign w:val="bottom"/>
            <w:tcBorders>
              <w:bottom w:val="single" w:sz="8" w:color="DCE2EF"/>
            </w:tcBorders>
            <w:shd w:val="clear" w:color="auto" w:fill="DCE2EF"/>
          </w:tcPr>
          <w:p>
            <w:pPr>
              <w:spacing w:after="0"/>
              <w:rPr>
                <w:sz w:val="20"/>
                <w:szCs w:val="20"/>
                <w:color w:val="auto"/>
              </w:rPr>
            </w:pPr>
          </w:p>
        </w:tc>
        <w:tc>
          <w:tcPr>
            <w:tcW w:w="460" w:type="dxa"/>
            <w:vAlign w:val="bottom"/>
            <w:tcBorders>
              <w:bottom w:val="single" w:sz="8" w:color="DCE2EF"/>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67.5</w:t>
            </w:r>
          </w:p>
        </w:tc>
        <w:tc>
          <w:tcPr>
            <w:tcW w:w="220" w:type="dxa"/>
            <w:vAlign w:val="bottom"/>
            <w:tcBorders>
              <w:bottom w:val="single" w:sz="8" w:color="DCE2EF"/>
              <w:right w:val="single" w:sz="8" w:color="DCE2EF"/>
            </w:tcBorders>
            <w:shd w:val="clear" w:color="auto" w:fill="DCE2EF"/>
          </w:tcPr>
          <w:p>
            <w:pPr>
              <w:spacing w:after="0"/>
              <w:rPr>
                <w:sz w:val="20"/>
                <w:szCs w:val="20"/>
                <w:color w:val="auto"/>
              </w:rPr>
            </w:pPr>
          </w:p>
        </w:tc>
        <w:tc>
          <w:tcPr>
            <w:tcW w:w="840" w:type="dxa"/>
            <w:vAlign w:val="bottom"/>
            <w:tcBorders>
              <w:bottom w:val="single" w:sz="8" w:color="DCE2EF"/>
            </w:tcBorders>
            <w:shd w:val="clear" w:color="auto" w:fill="DCE2EF"/>
          </w:tcPr>
          <w:p>
            <w:pPr>
              <w:spacing w:after="0"/>
              <w:rPr>
                <w:sz w:val="20"/>
                <w:szCs w:val="20"/>
                <w:color w:val="auto"/>
              </w:rPr>
            </w:pPr>
          </w:p>
        </w:tc>
        <w:tc>
          <w:tcPr>
            <w:tcW w:w="460" w:type="dxa"/>
            <w:vAlign w:val="bottom"/>
            <w:tcBorders>
              <w:bottom w:val="single" w:sz="8" w:color="DCE2EF"/>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53.4</w:t>
            </w:r>
          </w:p>
        </w:tc>
        <w:tc>
          <w:tcPr>
            <w:tcW w:w="220" w:type="dxa"/>
            <w:vAlign w:val="bottom"/>
            <w:tcBorders>
              <w:bottom w:val="single" w:sz="8" w:color="DCE2EF"/>
              <w:right w:val="single" w:sz="8" w:color="DCE2EF"/>
            </w:tcBorders>
            <w:shd w:val="clear" w:color="auto" w:fill="DCE2EF"/>
          </w:tcPr>
          <w:p>
            <w:pPr>
              <w:spacing w:after="0"/>
              <w:rPr>
                <w:sz w:val="20"/>
                <w:szCs w:val="20"/>
                <w:color w:val="auto"/>
              </w:rPr>
            </w:pPr>
          </w:p>
        </w:tc>
        <w:tc>
          <w:tcPr>
            <w:tcW w:w="840" w:type="dxa"/>
            <w:vAlign w:val="bottom"/>
            <w:tcBorders>
              <w:bottom w:val="single" w:sz="8" w:color="DCE2EF"/>
            </w:tcBorders>
            <w:shd w:val="clear" w:color="auto" w:fill="DCE2EF"/>
          </w:tcPr>
          <w:p>
            <w:pPr>
              <w:spacing w:after="0"/>
              <w:rPr>
                <w:sz w:val="20"/>
                <w:szCs w:val="20"/>
                <w:color w:val="auto"/>
              </w:rPr>
            </w:pPr>
          </w:p>
        </w:tc>
        <w:tc>
          <w:tcPr>
            <w:tcW w:w="4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131.3</w:t>
            </w:r>
          </w:p>
        </w:tc>
      </w:tr>
      <w:tr>
        <w:trPr>
          <w:trHeight w:val="215"/>
        </w:trPr>
        <w:tc>
          <w:tcPr>
            <w:tcW w:w="5360" w:type="dxa"/>
            <w:vAlign w:val="bottom"/>
            <w:tcBorders>
              <w:top w:val="single" w:sz="8" w:color="DCE2EF"/>
            </w:tcBorders>
            <w:gridSpan w:val="3"/>
          </w:tcPr>
          <w:p>
            <w:pPr>
              <w:ind w:left="60"/>
              <w:spacing w:after="0"/>
              <w:rPr>
                <w:sz w:val="20"/>
                <w:szCs w:val="20"/>
                <w:color w:val="auto"/>
              </w:rPr>
            </w:pPr>
            <w:r>
              <w:rPr>
                <w:rFonts w:ascii="Arial" w:cs="Arial" w:eastAsia="Arial" w:hAnsi="Arial"/>
                <w:sz w:val="14"/>
                <w:szCs w:val="14"/>
                <w:color w:val="auto"/>
              </w:rPr>
              <w:t>Adjusted net income</w:t>
            </w:r>
          </w:p>
        </w:tc>
        <w:tc>
          <w:tcPr>
            <w:tcW w:w="8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54.7</w:t>
            </w:r>
          </w:p>
        </w:tc>
        <w:tc>
          <w:tcPr>
            <w:tcW w:w="240" w:type="dxa"/>
            <w:vAlign w:val="bottom"/>
            <w:tcBorders>
              <w:top w:val="single" w:sz="8" w:color="DCE2EF"/>
            </w:tcBorders>
          </w:tcPr>
          <w:p>
            <w:pPr>
              <w:spacing w:after="0"/>
              <w:rPr>
                <w:sz w:val="18"/>
                <w:szCs w:val="18"/>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55.8</w:t>
            </w:r>
          </w:p>
        </w:tc>
        <w:tc>
          <w:tcPr>
            <w:tcW w:w="220" w:type="dxa"/>
            <w:vAlign w:val="bottom"/>
            <w:tcBorders>
              <w:top w:val="single" w:sz="8" w:color="DCE2EF"/>
            </w:tcBorders>
          </w:tcPr>
          <w:p>
            <w:pPr>
              <w:spacing w:after="0"/>
              <w:rPr>
                <w:sz w:val="18"/>
                <w:szCs w:val="18"/>
                <w:color w:val="auto"/>
              </w:rPr>
            </w:pPr>
          </w:p>
        </w:tc>
        <w:tc>
          <w:tcPr>
            <w:tcW w:w="840" w:type="dxa"/>
            <w:vAlign w:val="bottom"/>
            <w:tcBorders>
              <w:top w:val="single" w:sz="8" w:color="auto"/>
            </w:tcBorders>
          </w:tcPr>
          <w:p>
            <w:pPr>
              <w:jc w:val="center"/>
              <w:ind w:left="329"/>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215.8</w:t>
            </w:r>
          </w:p>
        </w:tc>
        <w:tc>
          <w:tcPr>
            <w:tcW w:w="220" w:type="dxa"/>
            <w:vAlign w:val="bottom"/>
            <w:tcBorders>
              <w:top w:val="single" w:sz="8" w:color="DCE2EF"/>
            </w:tcBorders>
          </w:tcPr>
          <w:p>
            <w:pPr>
              <w:spacing w:after="0"/>
              <w:rPr>
                <w:sz w:val="18"/>
                <w:szCs w:val="18"/>
                <w:color w:val="auto"/>
              </w:rPr>
            </w:pPr>
          </w:p>
        </w:tc>
        <w:tc>
          <w:tcPr>
            <w:tcW w:w="840" w:type="dxa"/>
            <w:vAlign w:val="bottom"/>
            <w:tcBorders>
              <w:top w:val="single" w:sz="8" w:color="auto"/>
            </w:tcBorders>
          </w:tcPr>
          <w:p>
            <w:pPr>
              <w:jc w:val="center"/>
              <w:ind w:left="3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212.6</w:t>
            </w:r>
          </w:p>
        </w:tc>
      </w:tr>
      <w:tr>
        <w:trPr>
          <w:trHeight w:val="22"/>
        </w:trPr>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0"/>
        </w:trPr>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329"/>
        </w:trPr>
        <w:tc>
          <w:tcPr>
            <w:tcW w:w="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6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3"/>
                <w:szCs w:val="13"/>
                <w:b w:val="1"/>
                <w:bCs w:val="1"/>
                <w:color w:val="auto"/>
              </w:rPr>
              <w:t>Three Months Ended October 31,</w:t>
            </w:r>
          </w:p>
        </w:tc>
        <w:tc>
          <w:tcPr>
            <w:tcW w:w="220" w:type="dxa"/>
            <w:vAlign w:val="bottom"/>
          </w:tcPr>
          <w:p>
            <w:pPr>
              <w:spacing w:after="0"/>
              <w:rPr>
                <w:sz w:val="24"/>
                <w:szCs w:val="24"/>
                <w:color w:val="auto"/>
              </w:rPr>
            </w:pPr>
          </w:p>
        </w:tc>
        <w:tc>
          <w:tcPr>
            <w:tcW w:w="236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3"/>
                <w:szCs w:val="13"/>
                <w:b w:val="1"/>
                <w:bCs w:val="1"/>
                <w:color w:val="auto"/>
              </w:rPr>
              <w:t>Years Ended October 31,</w:t>
            </w:r>
          </w:p>
        </w:tc>
        <w:tc>
          <w:tcPr>
            <w:tcW w:w="440" w:type="dxa"/>
            <w:vAlign w:val="bottom"/>
            <w:tcBorders>
              <w:bottom w:val="single" w:sz="8" w:color="auto"/>
            </w:tcBorders>
          </w:tcPr>
          <w:p>
            <w:pPr>
              <w:spacing w:after="0"/>
              <w:rPr>
                <w:sz w:val="24"/>
                <w:szCs w:val="24"/>
                <w:color w:val="auto"/>
              </w:rPr>
            </w:pPr>
          </w:p>
        </w:tc>
      </w:tr>
      <w:tr>
        <w:trPr>
          <w:trHeight w:val="232"/>
        </w:trPr>
        <w:tc>
          <w:tcPr>
            <w:tcW w:w="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80" w:type="dxa"/>
            <w:vAlign w:val="bottom"/>
          </w:tcPr>
          <w:p>
            <w:pPr>
              <w:jc w:val="center"/>
              <w:ind w:left="369"/>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20"/>
                <w:szCs w:val="20"/>
                <w:color w:val="auto"/>
              </w:rPr>
            </w:pPr>
          </w:p>
        </w:tc>
        <w:tc>
          <w:tcPr>
            <w:tcW w:w="1100" w:type="dxa"/>
            <w:vAlign w:val="bottom"/>
            <w:gridSpan w:val="2"/>
          </w:tcPr>
          <w:p>
            <w:pPr>
              <w:jc w:val="center"/>
              <w:ind w:left="628"/>
              <w:spacing w:after="0"/>
              <w:rPr>
                <w:sz w:val="20"/>
                <w:szCs w:val="20"/>
                <w:color w:val="auto"/>
              </w:rPr>
            </w:pPr>
            <w:r>
              <w:rPr>
                <w:rFonts w:ascii="Arial" w:cs="Arial" w:eastAsia="Arial" w:hAnsi="Arial"/>
                <w:sz w:val="14"/>
                <w:szCs w:val="14"/>
                <w:b w:val="1"/>
                <w:bCs w:val="1"/>
                <w:color w:val="auto"/>
              </w:rPr>
              <w:t>2024</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center"/>
              <w:ind w:left="369"/>
              <w:spacing w:after="0"/>
              <w:rPr>
                <w:sz w:val="20"/>
                <w:szCs w:val="20"/>
                <w:color w:val="auto"/>
              </w:rPr>
            </w:pPr>
            <w:r>
              <w:rPr>
                <w:rFonts w:ascii="Arial" w:cs="Arial" w:eastAsia="Arial" w:hAnsi="Arial"/>
                <w:sz w:val="14"/>
                <w:szCs w:val="14"/>
                <w:b w:val="1"/>
                <w:bCs w:val="1"/>
                <w:color w:val="auto"/>
              </w:rPr>
              <w:t>2025</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440" w:type="dxa"/>
            <w:vAlign w:val="bottom"/>
          </w:tcPr>
          <w:p>
            <w:pPr>
              <w:spacing w:after="0"/>
              <w:rPr>
                <w:sz w:val="20"/>
                <w:szCs w:val="20"/>
                <w:color w:val="auto"/>
              </w:rPr>
            </w:pPr>
          </w:p>
        </w:tc>
      </w:tr>
      <w:tr>
        <w:trPr>
          <w:trHeight w:val="243"/>
        </w:trPr>
        <w:tc>
          <w:tcPr>
            <w:tcW w:w="5360" w:type="dxa"/>
            <w:vAlign w:val="bottom"/>
            <w:tcBorders>
              <w:right w:val="single" w:sz="8" w:color="DCE2EF"/>
            </w:tcBorders>
            <w:gridSpan w:val="3"/>
            <w:shd w:val="clear" w:color="auto" w:fill="DCE2EF"/>
          </w:tcPr>
          <w:p>
            <w:pPr>
              <w:ind w:left="60"/>
              <w:spacing w:after="0"/>
              <w:rPr>
                <w:sz w:val="20"/>
                <w:szCs w:val="20"/>
                <w:color w:val="auto"/>
              </w:rPr>
            </w:pPr>
            <w:r>
              <w:rPr>
                <w:rFonts w:ascii="Arial" w:cs="Arial" w:eastAsia="Arial" w:hAnsi="Arial"/>
                <w:sz w:val="14"/>
                <w:szCs w:val="14"/>
                <w:b w:val="1"/>
                <w:bCs w:val="1"/>
                <w:color w:val="auto"/>
              </w:rPr>
              <w:t>Reconciliation of Net Income (loss) to Adjusted EBITDA</w:t>
            </w:r>
          </w:p>
        </w:tc>
        <w:tc>
          <w:tcPr>
            <w:tcW w:w="880" w:type="dxa"/>
            <w:vAlign w:val="bottom"/>
            <w:tcBorders>
              <w:top w:val="single" w:sz="8" w:color="auto"/>
            </w:tcBorders>
            <w:shd w:val="clear" w:color="auto" w:fill="DCE2EF"/>
          </w:tcPr>
          <w:p>
            <w:pPr>
              <w:spacing w:after="0"/>
              <w:rPr>
                <w:sz w:val="21"/>
                <w:szCs w:val="21"/>
                <w:color w:val="auto"/>
              </w:rPr>
            </w:pPr>
          </w:p>
        </w:tc>
        <w:tc>
          <w:tcPr>
            <w:tcW w:w="420" w:type="dxa"/>
            <w:vAlign w:val="bottom"/>
            <w:tcBorders>
              <w:top w:val="single" w:sz="8" w:color="auto"/>
            </w:tcBorders>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860" w:type="dxa"/>
            <w:vAlign w:val="bottom"/>
            <w:tcBorders>
              <w:top w:val="single" w:sz="8" w:color="auto"/>
            </w:tcBorders>
            <w:shd w:val="clear" w:color="auto" w:fill="DCE2EF"/>
          </w:tcPr>
          <w:p>
            <w:pPr>
              <w:spacing w:after="0"/>
              <w:rPr>
                <w:sz w:val="21"/>
                <w:szCs w:val="21"/>
                <w:color w:val="auto"/>
              </w:rPr>
            </w:pPr>
          </w:p>
        </w:tc>
        <w:tc>
          <w:tcPr>
            <w:tcW w:w="460" w:type="dxa"/>
            <w:vAlign w:val="bottom"/>
            <w:tcBorders>
              <w:top w:val="single" w:sz="8" w:color="auto"/>
              <w:right w:val="single" w:sz="8" w:color="DCE2EF"/>
            </w:tcBorders>
            <w:shd w:val="clear" w:color="auto" w:fill="DCE2EF"/>
          </w:tcPr>
          <w:p>
            <w:pPr>
              <w:spacing w:after="0"/>
              <w:rPr>
                <w:sz w:val="21"/>
                <w:szCs w:val="21"/>
                <w:color w:val="auto"/>
              </w:rPr>
            </w:pPr>
          </w:p>
        </w:tc>
        <w:tc>
          <w:tcPr>
            <w:tcW w:w="220" w:type="dxa"/>
            <w:vAlign w:val="bottom"/>
            <w:tcBorders>
              <w:right w:val="single" w:sz="8" w:color="DCE2EF"/>
            </w:tcBorders>
            <w:shd w:val="clear" w:color="auto" w:fill="DCE2EF"/>
          </w:tcPr>
          <w:p>
            <w:pPr>
              <w:spacing w:after="0"/>
              <w:rPr>
                <w:sz w:val="21"/>
                <w:szCs w:val="21"/>
                <w:color w:val="auto"/>
              </w:rPr>
            </w:pPr>
          </w:p>
        </w:tc>
        <w:tc>
          <w:tcPr>
            <w:tcW w:w="840" w:type="dxa"/>
            <w:vAlign w:val="bottom"/>
            <w:tcBorders>
              <w:top w:val="single" w:sz="8" w:color="auto"/>
            </w:tcBorders>
            <w:shd w:val="clear" w:color="auto" w:fill="DCE2EF"/>
          </w:tcPr>
          <w:p>
            <w:pPr>
              <w:spacing w:after="0"/>
              <w:rPr>
                <w:sz w:val="21"/>
                <w:szCs w:val="21"/>
                <w:color w:val="auto"/>
              </w:rPr>
            </w:pPr>
          </w:p>
        </w:tc>
        <w:tc>
          <w:tcPr>
            <w:tcW w:w="460" w:type="dxa"/>
            <w:vAlign w:val="bottom"/>
            <w:tcBorders>
              <w:top w:val="single" w:sz="8" w:color="auto"/>
              <w:right w:val="single" w:sz="8" w:color="DCE2EF"/>
            </w:tcBorders>
            <w:shd w:val="clear" w:color="auto" w:fill="DCE2EF"/>
          </w:tcPr>
          <w:p>
            <w:pPr>
              <w:spacing w:after="0"/>
              <w:rPr>
                <w:sz w:val="21"/>
                <w:szCs w:val="21"/>
                <w:color w:val="auto"/>
              </w:rPr>
            </w:pPr>
          </w:p>
        </w:tc>
        <w:tc>
          <w:tcPr>
            <w:tcW w:w="220" w:type="dxa"/>
            <w:vAlign w:val="bottom"/>
            <w:tcBorders>
              <w:right w:val="single" w:sz="8" w:color="DCE2EF"/>
            </w:tcBorders>
            <w:shd w:val="clear" w:color="auto" w:fill="DCE2EF"/>
          </w:tcPr>
          <w:p>
            <w:pPr>
              <w:spacing w:after="0"/>
              <w:rPr>
                <w:sz w:val="21"/>
                <w:szCs w:val="21"/>
                <w:color w:val="auto"/>
              </w:rPr>
            </w:pPr>
          </w:p>
        </w:tc>
        <w:tc>
          <w:tcPr>
            <w:tcW w:w="840" w:type="dxa"/>
            <w:vAlign w:val="bottom"/>
            <w:tcBorders>
              <w:top w:val="single" w:sz="8" w:color="auto"/>
            </w:tcBorders>
            <w:shd w:val="clear" w:color="auto" w:fill="DCE2EF"/>
          </w:tcPr>
          <w:p>
            <w:pPr>
              <w:spacing w:after="0"/>
              <w:rPr>
                <w:sz w:val="21"/>
                <w:szCs w:val="21"/>
                <w:color w:val="auto"/>
              </w:rPr>
            </w:pPr>
          </w:p>
        </w:tc>
        <w:tc>
          <w:tcPr>
            <w:tcW w:w="440" w:type="dxa"/>
            <w:vAlign w:val="bottom"/>
            <w:tcBorders>
              <w:top w:val="single" w:sz="8" w:color="auto"/>
            </w:tcBorders>
            <w:shd w:val="clear" w:color="auto" w:fill="DCE2EF"/>
          </w:tcPr>
          <w:p>
            <w:pPr>
              <w:spacing w:after="0"/>
              <w:rPr>
                <w:sz w:val="21"/>
                <w:szCs w:val="21"/>
                <w:color w:val="auto"/>
              </w:rPr>
            </w:pPr>
          </w:p>
        </w:tc>
      </w:tr>
      <w:tr>
        <w:trPr>
          <w:trHeight w:val="256"/>
        </w:trPr>
        <w:tc>
          <w:tcPr>
            <w:tcW w:w="5360" w:type="dxa"/>
            <w:vAlign w:val="bottom"/>
            <w:gridSpan w:val="3"/>
          </w:tcPr>
          <w:p>
            <w:pPr>
              <w:ind w:left="60"/>
              <w:spacing w:after="0"/>
              <w:rPr>
                <w:sz w:val="20"/>
                <w:szCs w:val="20"/>
                <w:color w:val="auto"/>
              </w:rPr>
            </w:pPr>
            <w:r>
              <w:rPr>
                <w:rFonts w:ascii="Arial" w:cs="Arial" w:eastAsia="Arial" w:hAnsi="Arial"/>
                <w:sz w:val="14"/>
                <w:szCs w:val="14"/>
                <w:b w:val="1"/>
                <w:bCs w:val="1"/>
                <w:color w:val="auto"/>
              </w:rPr>
              <w:t>Net income (loss)</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34.8</w:t>
            </w:r>
          </w:p>
        </w:tc>
        <w:tc>
          <w:tcPr>
            <w:tcW w:w="1100" w:type="dxa"/>
            <w:vAlign w:val="bottom"/>
            <w:gridSpan w:val="2"/>
          </w:tcPr>
          <w:p>
            <w:pPr>
              <w:jc w:val="center"/>
              <w:ind w:left="58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(11.7)</w:t>
            </w:r>
          </w:p>
        </w:tc>
        <w:tc>
          <w:tcPr>
            <w:tcW w:w="220" w:type="dxa"/>
            <w:vAlign w:val="bottom"/>
          </w:tcPr>
          <w:p>
            <w:pPr>
              <w:spacing w:after="0"/>
              <w:rPr>
                <w:sz w:val="22"/>
                <w:szCs w:val="22"/>
                <w:color w:val="auto"/>
              </w:rPr>
            </w:pPr>
          </w:p>
        </w:tc>
        <w:tc>
          <w:tcPr>
            <w:tcW w:w="840" w:type="dxa"/>
            <w:vAlign w:val="bottom"/>
          </w:tcPr>
          <w:p>
            <w:pPr>
              <w:jc w:val="center"/>
              <w:ind w:left="369"/>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162.4</w:t>
            </w:r>
          </w:p>
        </w:tc>
        <w:tc>
          <w:tcPr>
            <w:tcW w:w="22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81.4</w:t>
            </w:r>
          </w:p>
        </w:tc>
      </w:tr>
      <w:tr>
        <w:trPr>
          <w:trHeight w:val="257"/>
        </w:trPr>
        <w:tc>
          <w:tcPr>
            <w:tcW w:w="60" w:type="dxa"/>
            <w:vAlign w:val="bottom"/>
            <w:shd w:val="clear" w:color="auto" w:fill="DCE2EF"/>
          </w:tcPr>
          <w:p>
            <w:pPr>
              <w:spacing w:after="0"/>
              <w:rPr>
                <w:sz w:val="22"/>
                <w:szCs w:val="22"/>
                <w:color w:val="auto"/>
              </w:rPr>
            </w:pPr>
          </w:p>
        </w:tc>
        <w:tc>
          <w:tcPr>
            <w:tcW w:w="5300" w:type="dxa"/>
            <w:vAlign w:val="bottom"/>
            <w:tcBorders>
              <w:right w:val="single" w:sz="8" w:color="DCE2EF"/>
            </w:tcBorders>
            <w:gridSpan w:val="2"/>
            <w:shd w:val="clear" w:color="auto" w:fill="DCE2EF"/>
          </w:tcPr>
          <w:p>
            <w:pPr>
              <w:ind w:left="60"/>
              <w:spacing w:after="0"/>
              <w:rPr>
                <w:sz w:val="20"/>
                <w:szCs w:val="20"/>
                <w:color w:val="auto"/>
              </w:rPr>
            </w:pPr>
            <w:r>
              <w:rPr>
                <w:rFonts w:ascii="Arial" w:cs="Arial" w:eastAsia="Arial" w:hAnsi="Arial"/>
                <w:sz w:val="14"/>
                <w:szCs w:val="14"/>
                <w:color w:val="auto"/>
              </w:rPr>
              <w:t>Items impacting comparability</w:t>
            </w:r>
          </w:p>
        </w:tc>
        <w:tc>
          <w:tcPr>
            <w:tcW w:w="880" w:type="dxa"/>
            <w:vAlign w:val="bottom"/>
            <w:shd w:val="clear" w:color="auto" w:fill="DCE2EF"/>
          </w:tcPr>
          <w:p>
            <w:pPr>
              <w:spacing w:after="0"/>
              <w:rPr>
                <w:sz w:val="22"/>
                <w:szCs w:val="22"/>
                <w:color w:val="auto"/>
              </w:rPr>
            </w:pPr>
          </w:p>
        </w:tc>
        <w:tc>
          <w:tcPr>
            <w:tcW w:w="4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27.9</w:t>
            </w:r>
          </w:p>
        </w:tc>
        <w:tc>
          <w:tcPr>
            <w:tcW w:w="240" w:type="dxa"/>
            <w:vAlign w:val="bottom"/>
            <w:shd w:val="clear" w:color="auto" w:fill="DCE2EF"/>
          </w:tcPr>
          <w:p>
            <w:pPr>
              <w:spacing w:after="0"/>
              <w:rPr>
                <w:sz w:val="22"/>
                <w:szCs w:val="22"/>
                <w:color w:val="auto"/>
              </w:rPr>
            </w:pPr>
          </w:p>
        </w:tc>
        <w:tc>
          <w:tcPr>
            <w:tcW w:w="860" w:type="dxa"/>
            <w:vAlign w:val="bottom"/>
            <w:shd w:val="clear" w:color="auto" w:fill="DCE2EF"/>
          </w:tcPr>
          <w:p>
            <w:pPr>
              <w:spacing w:after="0"/>
              <w:rPr>
                <w:sz w:val="22"/>
                <w:szCs w:val="22"/>
                <w:color w:val="auto"/>
              </w:rPr>
            </w:pPr>
          </w:p>
        </w:tc>
        <w:tc>
          <w:tcPr>
            <w:tcW w:w="460" w:type="dxa"/>
            <w:vAlign w:val="bottom"/>
            <w:tcBorders>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77.5</w:t>
            </w:r>
          </w:p>
        </w:tc>
        <w:tc>
          <w:tcPr>
            <w:tcW w:w="220" w:type="dxa"/>
            <w:vAlign w:val="bottom"/>
            <w:tcBorders>
              <w:right w:val="single" w:sz="8" w:color="DCE2EF"/>
            </w:tcBorders>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60" w:type="dxa"/>
            <w:vAlign w:val="bottom"/>
            <w:tcBorders>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74.7</w:t>
            </w:r>
          </w:p>
        </w:tc>
        <w:tc>
          <w:tcPr>
            <w:tcW w:w="220" w:type="dxa"/>
            <w:vAlign w:val="bottom"/>
            <w:tcBorders>
              <w:right w:val="single" w:sz="8" w:color="DCE2EF"/>
            </w:tcBorders>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152.6</w:t>
            </w:r>
          </w:p>
        </w:tc>
      </w:tr>
      <w:tr>
        <w:trPr>
          <w:trHeight w:val="253"/>
        </w:trPr>
        <w:tc>
          <w:tcPr>
            <w:tcW w:w="60" w:type="dxa"/>
            <w:vAlign w:val="bottom"/>
          </w:tcPr>
          <w:p>
            <w:pPr>
              <w:spacing w:after="0"/>
              <w:rPr>
                <w:sz w:val="21"/>
                <w:szCs w:val="21"/>
                <w:color w:val="auto"/>
              </w:rPr>
            </w:pPr>
          </w:p>
        </w:tc>
        <w:tc>
          <w:tcPr>
            <w:tcW w:w="5300" w:type="dxa"/>
            <w:vAlign w:val="bottom"/>
            <w:gridSpan w:val="2"/>
          </w:tcPr>
          <w:p>
            <w:pPr>
              <w:ind w:left="60"/>
              <w:spacing w:after="0"/>
              <w:rPr>
                <w:sz w:val="20"/>
                <w:szCs w:val="20"/>
                <w:color w:val="auto"/>
              </w:rPr>
            </w:pPr>
            <w:r>
              <w:rPr>
                <w:rFonts w:ascii="Arial" w:cs="Arial" w:eastAsia="Arial" w:hAnsi="Arial"/>
                <w:sz w:val="14"/>
                <w:szCs w:val="14"/>
                <w:color w:val="auto"/>
              </w:rPr>
              <w:t>Income tax provision</w:t>
            </w:r>
          </w:p>
        </w:tc>
        <w:tc>
          <w:tcPr>
            <w:tcW w:w="8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10.5</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10.9</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57.6</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52.2</w:t>
            </w:r>
          </w:p>
        </w:tc>
      </w:tr>
      <w:tr>
        <w:trPr>
          <w:trHeight w:val="260"/>
        </w:trPr>
        <w:tc>
          <w:tcPr>
            <w:tcW w:w="60" w:type="dxa"/>
            <w:vAlign w:val="bottom"/>
            <w:shd w:val="clear" w:color="auto" w:fill="DCE2EF"/>
          </w:tcPr>
          <w:p>
            <w:pPr>
              <w:spacing w:after="0"/>
              <w:rPr>
                <w:sz w:val="22"/>
                <w:szCs w:val="22"/>
                <w:color w:val="auto"/>
              </w:rPr>
            </w:pPr>
          </w:p>
        </w:tc>
        <w:tc>
          <w:tcPr>
            <w:tcW w:w="5300" w:type="dxa"/>
            <w:vAlign w:val="bottom"/>
            <w:tcBorders>
              <w:right w:val="single" w:sz="8" w:color="DCE2EF"/>
            </w:tcBorders>
            <w:gridSpan w:val="2"/>
            <w:shd w:val="clear" w:color="auto" w:fill="DCE2EF"/>
          </w:tcPr>
          <w:p>
            <w:pPr>
              <w:ind w:left="60"/>
              <w:spacing w:after="0"/>
              <w:rPr>
                <w:sz w:val="20"/>
                <w:szCs w:val="20"/>
                <w:color w:val="auto"/>
              </w:rPr>
            </w:pPr>
            <w:r>
              <w:rPr>
                <w:rFonts w:ascii="Arial" w:cs="Arial" w:eastAsia="Arial" w:hAnsi="Arial"/>
                <w:sz w:val="14"/>
                <w:szCs w:val="14"/>
                <w:color w:val="auto"/>
              </w:rPr>
              <w:t>Interest expense</w:t>
            </w:r>
          </w:p>
        </w:tc>
        <w:tc>
          <w:tcPr>
            <w:tcW w:w="880" w:type="dxa"/>
            <w:vAlign w:val="bottom"/>
            <w:shd w:val="clear" w:color="auto" w:fill="DCE2EF"/>
          </w:tcPr>
          <w:p>
            <w:pPr>
              <w:spacing w:after="0"/>
              <w:rPr>
                <w:sz w:val="22"/>
                <w:szCs w:val="22"/>
                <w:color w:val="auto"/>
              </w:rPr>
            </w:pPr>
          </w:p>
        </w:tc>
        <w:tc>
          <w:tcPr>
            <w:tcW w:w="4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24.3</w:t>
            </w:r>
          </w:p>
        </w:tc>
        <w:tc>
          <w:tcPr>
            <w:tcW w:w="240" w:type="dxa"/>
            <w:vAlign w:val="bottom"/>
            <w:shd w:val="clear" w:color="auto" w:fill="DCE2EF"/>
          </w:tcPr>
          <w:p>
            <w:pPr>
              <w:spacing w:after="0"/>
              <w:rPr>
                <w:sz w:val="22"/>
                <w:szCs w:val="22"/>
                <w:color w:val="auto"/>
              </w:rPr>
            </w:pPr>
          </w:p>
        </w:tc>
        <w:tc>
          <w:tcPr>
            <w:tcW w:w="860" w:type="dxa"/>
            <w:vAlign w:val="bottom"/>
            <w:shd w:val="clear" w:color="auto" w:fill="DCE2EF"/>
          </w:tcPr>
          <w:p>
            <w:pPr>
              <w:spacing w:after="0"/>
              <w:rPr>
                <w:sz w:val="22"/>
                <w:szCs w:val="22"/>
                <w:color w:val="auto"/>
              </w:rPr>
            </w:pPr>
          </w:p>
        </w:tc>
        <w:tc>
          <w:tcPr>
            <w:tcW w:w="460" w:type="dxa"/>
            <w:vAlign w:val="bottom"/>
            <w:tcBorders>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21.8</w:t>
            </w:r>
          </w:p>
        </w:tc>
        <w:tc>
          <w:tcPr>
            <w:tcW w:w="220" w:type="dxa"/>
            <w:vAlign w:val="bottom"/>
            <w:tcBorders>
              <w:right w:val="single" w:sz="8" w:color="DCE2EF"/>
            </w:tcBorders>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60" w:type="dxa"/>
            <w:vAlign w:val="bottom"/>
            <w:tcBorders>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96.4</w:t>
            </w:r>
          </w:p>
        </w:tc>
        <w:tc>
          <w:tcPr>
            <w:tcW w:w="220" w:type="dxa"/>
            <w:vAlign w:val="bottom"/>
            <w:tcBorders>
              <w:right w:val="single" w:sz="8" w:color="DCE2EF"/>
            </w:tcBorders>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40" w:type="dxa"/>
            <w:vAlign w:val="bottom"/>
            <w:shd w:val="clear" w:color="auto" w:fill="DCE2EF"/>
          </w:tcPr>
          <w:p>
            <w:pPr>
              <w:jc w:val="right"/>
              <w:spacing w:after="0"/>
              <w:rPr>
                <w:sz w:val="20"/>
                <w:szCs w:val="20"/>
                <w:color w:val="auto"/>
              </w:rPr>
            </w:pPr>
            <w:r>
              <w:rPr>
                <w:rFonts w:ascii="Arial" w:cs="Arial" w:eastAsia="Arial" w:hAnsi="Arial"/>
                <w:sz w:val="14"/>
                <w:szCs w:val="14"/>
                <w:color w:val="auto"/>
              </w:rPr>
              <w:t>85.0</w:t>
            </w:r>
          </w:p>
        </w:tc>
      </w:tr>
      <w:tr>
        <w:trPr>
          <w:trHeight w:val="253"/>
        </w:trPr>
        <w:tc>
          <w:tcPr>
            <w:tcW w:w="60" w:type="dxa"/>
            <w:vAlign w:val="bottom"/>
          </w:tcPr>
          <w:p>
            <w:pPr>
              <w:spacing w:after="0"/>
              <w:rPr>
                <w:sz w:val="21"/>
                <w:szCs w:val="21"/>
                <w:color w:val="auto"/>
              </w:rPr>
            </w:pPr>
          </w:p>
        </w:tc>
        <w:tc>
          <w:tcPr>
            <w:tcW w:w="5300" w:type="dxa"/>
            <w:vAlign w:val="bottom"/>
            <w:gridSpan w:val="2"/>
          </w:tcPr>
          <w:p>
            <w:pPr>
              <w:ind w:left="60"/>
              <w:spacing w:after="0"/>
              <w:rPr>
                <w:sz w:val="20"/>
                <w:szCs w:val="20"/>
                <w:color w:val="auto"/>
              </w:rPr>
            </w:pPr>
            <w:r>
              <w:rPr>
                <w:rFonts w:ascii="Arial" w:cs="Arial" w:eastAsia="Arial" w:hAnsi="Arial"/>
                <w:sz w:val="14"/>
                <w:szCs w:val="14"/>
                <w:color w:val="auto"/>
              </w:rPr>
              <w:t>Depreciation and amortization</w:t>
            </w:r>
          </w:p>
        </w:tc>
        <w:tc>
          <w:tcPr>
            <w:tcW w:w="8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2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w:t>
            </w:r>
          </w:p>
        </w:tc>
        <w:tc>
          <w:tcPr>
            <w:tcW w:w="2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105.6</w:t>
            </w:r>
          </w:p>
        </w:tc>
        <w:tc>
          <w:tcPr>
            <w:tcW w:w="2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w:t>
            </w:r>
          </w:p>
        </w:tc>
      </w:tr>
      <w:tr>
        <w:trPr>
          <w:trHeight w:val="266"/>
        </w:trPr>
        <w:tc>
          <w:tcPr>
            <w:tcW w:w="60" w:type="dxa"/>
            <w:vAlign w:val="bottom"/>
            <w:tcBorders>
              <w:bottom w:val="single" w:sz="8" w:color="DCE2EF"/>
            </w:tcBorders>
            <w:shd w:val="clear" w:color="auto" w:fill="DCE2EF"/>
          </w:tcPr>
          <w:p>
            <w:pPr>
              <w:spacing w:after="0"/>
              <w:rPr>
                <w:sz w:val="22"/>
                <w:szCs w:val="22"/>
                <w:color w:val="auto"/>
              </w:rPr>
            </w:pPr>
          </w:p>
        </w:tc>
        <w:tc>
          <w:tcPr>
            <w:tcW w:w="5300" w:type="dxa"/>
            <w:vAlign w:val="bottom"/>
            <w:tcBorders>
              <w:bottom w:val="single" w:sz="8" w:color="DCE2EF"/>
              <w:right w:val="single" w:sz="8" w:color="DCE2EF"/>
            </w:tcBorders>
            <w:gridSpan w:val="2"/>
            <w:shd w:val="clear" w:color="auto" w:fill="DCE2EF"/>
          </w:tcPr>
          <w:p>
            <w:pPr>
              <w:ind w:left="60"/>
              <w:spacing w:after="0"/>
              <w:rPr>
                <w:sz w:val="20"/>
                <w:szCs w:val="20"/>
                <w:color w:val="auto"/>
              </w:rPr>
            </w:pPr>
            <w:r>
              <w:rPr>
                <w:rFonts w:ascii="Arial" w:cs="Arial" w:eastAsia="Arial" w:hAnsi="Arial"/>
                <w:sz w:val="14"/>
                <w:szCs w:val="14"/>
                <w:color w:val="auto"/>
              </w:rPr>
              <w:t>Adjusted EBITDA</w:t>
            </w:r>
          </w:p>
        </w:tc>
        <w:tc>
          <w:tcPr>
            <w:tcW w:w="880" w:type="dxa"/>
            <w:vAlign w:val="bottom"/>
            <w:tcBorders>
              <w:bottom w:val="single" w:sz="8" w:color="DCE2EF"/>
            </w:tcBorders>
            <w:shd w:val="clear" w:color="auto" w:fill="DCE2EF"/>
          </w:tcPr>
          <w:p>
            <w:pPr>
              <w:jc w:val="center"/>
              <w:ind w:left="369"/>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124.2</w:t>
            </w:r>
          </w:p>
        </w:tc>
        <w:tc>
          <w:tcPr>
            <w:tcW w:w="1100" w:type="dxa"/>
            <w:vAlign w:val="bottom"/>
            <w:tcBorders>
              <w:bottom w:val="single" w:sz="8" w:color="DCE2EF"/>
            </w:tcBorders>
            <w:gridSpan w:val="2"/>
            <w:shd w:val="clear" w:color="auto" w:fill="DCE2EF"/>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DCE2EF"/>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125.6</w:t>
            </w:r>
          </w:p>
        </w:tc>
        <w:tc>
          <w:tcPr>
            <w:tcW w:w="220" w:type="dxa"/>
            <w:vAlign w:val="bottom"/>
            <w:tcBorders>
              <w:bottom w:val="single" w:sz="8" w:color="DCE2EF"/>
              <w:right w:val="single" w:sz="8" w:color="DCE2EF"/>
            </w:tcBorders>
            <w:shd w:val="clear" w:color="auto" w:fill="DCE2EF"/>
          </w:tcPr>
          <w:p>
            <w:pPr>
              <w:spacing w:after="0"/>
              <w:rPr>
                <w:sz w:val="22"/>
                <w:szCs w:val="22"/>
                <w:color w:val="auto"/>
              </w:rPr>
            </w:pPr>
          </w:p>
        </w:tc>
        <w:tc>
          <w:tcPr>
            <w:tcW w:w="840" w:type="dxa"/>
            <w:vAlign w:val="bottom"/>
            <w:tcBorders>
              <w:bottom w:val="single" w:sz="8" w:color="DCE2EF"/>
            </w:tcBorders>
            <w:shd w:val="clear" w:color="auto" w:fill="DCE2EF"/>
          </w:tcPr>
          <w:p>
            <w:pPr>
              <w:jc w:val="center"/>
              <w:ind w:left="36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DCE2EF"/>
              <w:right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496.6</w:t>
            </w:r>
          </w:p>
        </w:tc>
        <w:tc>
          <w:tcPr>
            <w:tcW w:w="220" w:type="dxa"/>
            <w:vAlign w:val="bottom"/>
            <w:tcBorders>
              <w:bottom w:val="single" w:sz="8" w:color="DCE2EF"/>
              <w:right w:val="single" w:sz="8" w:color="DCE2EF"/>
            </w:tcBorders>
            <w:shd w:val="clear" w:color="auto" w:fill="DCE2EF"/>
          </w:tcPr>
          <w:p>
            <w:pPr>
              <w:spacing w:after="0"/>
              <w:rPr>
                <w:sz w:val="22"/>
                <w:szCs w:val="22"/>
                <w:color w:val="auto"/>
              </w:rPr>
            </w:pPr>
          </w:p>
        </w:tc>
        <w:tc>
          <w:tcPr>
            <w:tcW w:w="840" w:type="dxa"/>
            <w:vAlign w:val="bottom"/>
            <w:tcBorders>
              <w:bottom w:val="single" w:sz="8" w:color="DCE2EF"/>
            </w:tcBorders>
            <w:shd w:val="clear" w:color="auto" w:fill="DCE2EF"/>
          </w:tcPr>
          <w:p>
            <w:pPr>
              <w:jc w:val="center"/>
              <w:ind w:left="3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CE2EF"/>
            </w:tcBorders>
            <w:shd w:val="clear" w:color="auto" w:fill="DCE2EF"/>
          </w:tcPr>
          <w:p>
            <w:pPr>
              <w:jc w:val="right"/>
              <w:spacing w:after="0"/>
              <w:rPr>
                <w:sz w:val="20"/>
                <w:szCs w:val="20"/>
                <w:color w:val="auto"/>
              </w:rPr>
            </w:pPr>
            <w:r>
              <w:rPr>
                <w:rFonts w:ascii="Arial" w:cs="Arial" w:eastAsia="Arial" w:hAnsi="Arial"/>
                <w:sz w:val="14"/>
                <w:szCs w:val="14"/>
                <w:color w:val="auto"/>
              </w:rPr>
              <w:t>477.7</w:t>
            </w:r>
          </w:p>
        </w:tc>
      </w:tr>
      <w:tr>
        <w:trPr>
          <w:trHeight w:val="20"/>
        </w:trPr>
        <w:tc>
          <w:tcPr>
            <w:tcW w:w="60" w:type="dxa"/>
            <w:vAlign w:val="bottom"/>
            <w:tcBorders>
              <w:top w:val="single" w:sz="8" w:color="DCE2EF"/>
            </w:tcBorders>
            <w:shd w:val="clear" w:color="auto" w:fill="DCE2EF"/>
          </w:tcPr>
          <w:p>
            <w:pPr>
              <w:spacing w:after="0" w:line="20" w:lineRule="exact"/>
              <w:rPr>
                <w:sz w:val="1"/>
                <w:szCs w:val="1"/>
                <w:color w:val="auto"/>
              </w:rPr>
            </w:pPr>
          </w:p>
        </w:tc>
        <w:tc>
          <w:tcPr>
            <w:tcW w:w="2240" w:type="dxa"/>
            <w:vAlign w:val="bottom"/>
            <w:tcBorders>
              <w:top w:val="single" w:sz="8" w:color="DCE2EF"/>
            </w:tcBorders>
            <w:shd w:val="clear" w:color="auto" w:fill="DCE2EF"/>
          </w:tcPr>
          <w:p>
            <w:pPr>
              <w:spacing w:after="0" w:line="20" w:lineRule="exact"/>
              <w:rPr>
                <w:sz w:val="1"/>
                <w:szCs w:val="1"/>
                <w:color w:val="auto"/>
              </w:rPr>
            </w:pPr>
          </w:p>
        </w:tc>
        <w:tc>
          <w:tcPr>
            <w:tcW w:w="3060" w:type="dxa"/>
            <w:vAlign w:val="bottom"/>
            <w:tcBorders>
              <w:top w:val="single" w:sz="8" w:color="DCE2EF"/>
              <w:right w:val="single" w:sz="8" w:color="DCE2EF"/>
            </w:tcBorders>
            <w:shd w:val="clear" w:color="auto" w:fill="DCE2E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CE2EF"/>
            </w:tcBorders>
            <w:shd w:val="clear" w:color="auto" w:fill="DCE2E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DCE2EF"/>
              <w:right w:val="single" w:sz="8" w:color="DCE2EF"/>
            </w:tcBorders>
            <w:shd w:val="clear" w:color="auto" w:fill="DCE2E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DCE2EF"/>
              <w:right w:val="single" w:sz="8" w:color="DCE2EF"/>
            </w:tcBorders>
            <w:shd w:val="clear" w:color="auto" w:fill="DCE2E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-3876675</wp:posOffset>
            </wp:positionV>
            <wp:extent cx="146050" cy="11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-3876675</wp:posOffset>
            </wp:positionV>
            <wp:extent cx="137160"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-3876675</wp:posOffset>
            </wp:positionV>
            <wp:extent cx="137160" cy="11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-2239645</wp:posOffset>
            </wp:positionV>
            <wp:extent cx="146050"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-2239645</wp:posOffset>
            </wp:positionV>
            <wp:extent cx="137160" cy="11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-2239645</wp:posOffset>
            </wp:positionV>
            <wp:extent cx="137160"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-1913890</wp:posOffset>
            </wp:positionV>
            <wp:extent cx="146050"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-1913890</wp:posOffset>
            </wp:positionV>
            <wp:extent cx="137160" cy="11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-1913890</wp:posOffset>
            </wp:positionV>
            <wp:extent cx="137160" cy="11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-1750695</wp:posOffset>
            </wp:positionV>
            <wp:extent cx="146050" cy="11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-1750695</wp:posOffset>
            </wp:positionV>
            <wp:extent cx="137160" cy="11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-1750695</wp:posOffset>
            </wp:positionV>
            <wp:extent cx="137160" cy="11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-1176655</wp:posOffset>
            </wp:positionV>
            <wp:extent cx="146050" cy="11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-1176655</wp:posOffset>
            </wp:positionV>
            <wp:extent cx="137160" cy="11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-1176655</wp:posOffset>
            </wp:positionV>
            <wp:extent cx="137160" cy="11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-199390</wp:posOffset>
            </wp:positionV>
            <wp:extent cx="146050" cy="11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-199390</wp:posOffset>
            </wp:positionV>
            <wp:extent cx="137160" cy="11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-199390</wp:posOffset>
            </wp:positionV>
            <wp:extent cx="137160" cy="11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-33655</wp:posOffset>
            </wp:positionV>
            <wp:extent cx="1460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1460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-33655</wp:posOffset>
            </wp:positionV>
            <wp:extent cx="1371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-33655</wp:posOffset>
            </wp:positionV>
            <wp:extent cx="1371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ind w:left="60"/>
              <w:spacing w:after="0"/>
              <w:rPr>
                <w:sz w:val="20"/>
                <w:szCs w:val="20"/>
                <w:color w:val="auto"/>
              </w:rPr>
            </w:pPr>
            <w:r>
              <w:rPr>
                <w:rFonts w:ascii="Arial" w:cs="Arial" w:eastAsia="Arial" w:hAnsi="Arial"/>
                <w:sz w:val="15"/>
                <w:szCs w:val="15"/>
                <w:b w:val="1"/>
                <w:bCs w:val="1"/>
                <w:color w:val="auto"/>
              </w:rPr>
              <w:t>Net income (loss) margin as a % of revenues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1.5 %</w:t>
            </w: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(0.5)</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1.9 %</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1.0 %</w:t>
            </w:r>
          </w:p>
        </w:tc>
      </w:tr>
      <w:tr>
        <w:trPr>
          <w:trHeight w:val="334"/>
        </w:trPr>
        <w:tc>
          <w:tcPr>
            <w:tcW w:w="5400" w:type="dxa"/>
            <w:vAlign w:val="bottom"/>
          </w:tcPr>
          <w:p>
            <w:pPr>
              <w:spacing w:after="0"/>
              <w:rPr>
                <w:sz w:val="24"/>
                <w:szCs w:val="24"/>
                <w:color w:val="auto"/>
              </w:rPr>
            </w:pPr>
          </w:p>
        </w:tc>
        <w:tc>
          <w:tcPr>
            <w:tcW w:w="2820" w:type="dxa"/>
            <w:vAlign w:val="bottom"/>
            <w:tcBorders>
              <w:bottom w:val="single" w:sz="8" w:color="auto"/>
            </w:tcBorders>
            <w:gridSpan w:val="6"/>
          </w:tcPr>
          <w:p>
            <w:pPr>
              <w:jc w:val="right"/>
              <w:ind w:right="268"/>
              <w:spacing w:after="0"/>
              <w:rPr>
                <w:sz w:val="20"/>
                <w:szCs w:val="20"/>
                <w:color w:val="auto"/>
              </w:rPr>
            </w:pPr>
            <w:r>
              <w:rPr>
                <w:rFonts w:ascii="Arial" w:cs="Arial" w:eastAsia="Arial" w:hAnsi="Arial"/>
                <w:sz w:val="13"/>
                <w:szCs w:val="13"/>
                <w:b w:val="1"/>
                <w:bCs w:val="1"/>
                <w:color w:val="auto"/>
              </w:rPr>
              <w:t>Three Months Ended October 31,</w:t>
            </w:r>
          </w:p>
        </w:tc>
        <w:tc>
          <w:tcPr>
            <w:tcW w:w="2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Years Ended October 31,</w:t>
            </w:r>
          </w:p>
        </w:tc>
        <w:tc>
          <w:tcPr>
            <w:tcW w:w="500" w:type="dxa"/>
            <w:vAlign w:val="bottom"/>
            <w:tcBorders>
              <w:bottom w:val="single" w:sz="8" w:color="auto"/>
            </w:tcBorders>
          </w:tcPr>
          <w:p>
            <w:pPr>
              <w:spacing w:after="0"/>
              <w:rPr>
                <w:sz w:val="24"/>
                <w:szCs w:val="24"/>
                <w:color w:val="auto"/>
              </w:rPr>
            </w:pPr>
          </w:p>
        </w:tc>
      </w:tr>
      <w:tr>
        <w:trPr>
          <w:trHeight w:val="232"/>
        </w:trPr>
        <w:tc>
          <w:tcPr>
            <w:tcW w:w="5400" w:type="dxa"/>
            <w:vAlign w:val="bottom"/>
          </w:tcPr>
          <w:p>
            <w:pPr>
              <w:spacing w:after="0"/>
              <w:rPr>
                <w:sz w:val="20"/>
                <w:szCs w:val="20"/>
                <w:color w:val="auto"/>
              </w:rPr>
            </w:pPr>
          </w:p>
        </w:tc>
        <w:tc>
          <w:tcPr>
            <w:tcW w:w="800" w:type="dxa"/>
            <w:vAlign w:val="bottom"/>
          </w:tcPr>
          <w:p>
            <w:pPr>
              <w:ind w:left="500"/>
              <w:spacing w:after="0"/>
              <w:rPr>
                <w:sz w:val="20"/>
                <w:szCs w:val="20"/>
                <w:color w:val="auto"/>
              </w:rPr>
            </w:pPr>
            <w:r>
              <w:rPr>
                <w:rFonts w:ascii="Arial" w:cs="Arial" w:eastAsia="Arial" w:hAnsi="Arial"/>
                <w:sz w:val="13"/>
                <w:szCs w:val="13"/>
                <w:b w:val="1"/>
                <w:bCs w:val="1"/>
                <w:color w:val="auto"/>
                <w:w w:val="96"/>
              </w:rPr>
              <w:t>2025</w:t>
            </w:r>
          </w:p>
        </w:tc>
        <w:tc>
          <w:tcPr>
            <w:tcW w:w="500" w:type="dxa"/>
            <w:vAlign w:val="bottom"/>
          </w:tcPr>
          <w:p>
            <w:pPr>
              <w:spacing w:after="0"/>
              <w:rPr>
                <w:sz w:val="20"/>
                <w:szCs w:val="20"/>
                <w:color w:val="auto"/>
              </w:rPr>
            </w:pPr>
          </w:p>
        </w:tc>
        <w:tc>
          <w:tcPr>
            <w:tcW w:w="1040" w:type="dxa"/>
            <w:vAlign w:val="bottom"/>
            <w:gridSpan w:val="2"/>
          </w:tcPr>
          <w:p>
            <w:pPr>
              <w:ind w:left="740"/>
              <w:spacing w:after="0"/>
              <w:rPr>
                <w:sz w:val="20"/>
                <w:szCs w:val="20"/>
                <w:color w:val="auto"/>
              </w:rPr>
            </w:pPr>
            <w:r>
              <w:rPr>
                <w:rFonts w:ascii="Arial" w:cs="Arial" w:eastAsia="Arial" w:hAnsi="Arial"/>
                <w:sz w:val="13"/>
                <w:szCs w:val="13"/>
                <w:b w:val="1"/>
                <w:bCs w:val="1"/>
                <w:color w:val="auto"/>
                <w:w w:val="96"/>
              </w:rPr>
              <w:t>2024</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gridSpan w:val="3"/>
          </w:tcPr>
          <w:p>
            <w:pPr>
              <w:ind w:left="740"/>
              <w:spacing w:after="0"/>
              <w:rPr>
                <w:sz w:val="20"/>
                <w:szCs w:val="20"/>
                <w:color w:val="auto"/>
              </w:rPr>
            </w:pPr>
            <w:r>
              <w:rPr>
                <w:rFonts w:ascii="Arial" w:cs="Arial" w:eastAsia="Arial" w:hAnsi="Arial"/>
                <w:sz w:val="13"/>
                <w:szCs w:val="13"/>
                <w:b w:val="1"/>
                <w:bCs w:val="1"/>
                <w:color w:val="auto"/>
              </w:rPr>
              <w:t>2025</w:t>
            </w:r>
          </w:p>
        </w:tc>
        <w:tc>
          <w:tcPr>
            <w:tcW w:w="1000" w:type="dxa"/>
            <w:vAlign w:val="bottom"/>
            <w:gridSpan w:val="2"/>
          </w:tcPr>
          <w:p>
            <w:pPr>
              <w:ind w:left="700"/>
              <w:spacing w:after="0"/>
              <w:rPr>
                <w:sz w:val="20"/>
                <w:szCs w:val="20"/>
                <w:color w:val="auto"/>
              </w:rPr>
            </w:pPr>
            <w:r>
              <w:rPr>
                <w:rFonts w:ascii="Arial" w:cs="Arial" w:eastAsia="Arial" w:hAnsi="Arial"/>
                <w:sz w:val="13"/>
                <w:szCs w:val="13"/>
                <w:b w:val="1"/>
                <w:bCs w:val="1"/>
                <w:color w:val="auto"/>
                <w:w w:val="96"/>
              </w:rPr>
              <w:t>2024</w:t>
            </w:r>
          </w:p>
        </w:tc>
        <w:tc>
          <w:tcPr>
            <w:tcW w:w="500" w:type="dxa"/>
            <w:vAlign w:val="bottom"/>
          </w:tcPr>
          <w:p>
            <w:pPr>
              <w:spacing w:after="0"/>
              <w:rPr>
                <w:sz w:val="20"/>
                <w:szCs w:val="20"/>
                <w:color w:val="auto"/>
              </w:rPr>
            </w:pPr>
          </w:p>
        </w:tc>
      </w:tr>
      <w:tr>
        <w:trPr>
          <w:trHeight w:val="236"/>
        </w:trPr>
        <w:tc>
          <w:tcPr>
            <w:tcW w:w="5400" w:type="dxa"/>
            <w:vAlign w:val="bottom"/>
            <w:tcBorders>
              <w:bottom w:val="single" w:sz="8" w:color="DCE2EF"/>
            </w:tcBorders>
            <w:shd w:val="clear" w:color="auto" w:fill="DCE2EF"/>
          </w:tcPr>
          <w:p>
            <w:pPr>
              <w:ind w:left="60"/>
              <w:spacing w:after="0"/>
              <w:rPr>
                <w:sz w:val="20"/>
                <w:szCs w:val="20"/>
                <w:color w:val="auto"/>
              </w:rPr>
            </w:pPr>
            <w:r>
              <w:rPr>
                <w:rFonts w:ascii="Arial" w:cs="Arial" w:eastAsia="Arial" w:hAnsi="Arial"/>
                <w:sz w:val="15"/>
                <w:szCs w:val="15"/>
                <w:b w:val="1"/>
                <w:bCs w:val="1"/>
                <w:color w:val="auto"/>
              </w:rPr>
              <w:t>Revenues Excluding Management Reimbursement</w:t>
            </w:r>
          </w:p>
        </w:tc>
        <w:tc>
          <w:tcPr>
            <w:tcW w:w="800" w:type="dxa"/>
            <w:vAlign w:val="bottom"/>
            <w:tcBorders>
              <w:top w:val="single" w:sz="8" w:color="auto"/>
              <w:bottom w:val="single" w:sz="8" w:color="DCE2EF"/>
            </w:tcBorders>
            <w:shd w:val="clear" w:color="auto" w:fill="DCE2EF"/>
          </w:tcPr>
          <w:p>
            <w:pPr>
              <w:spacing w:after="0"/>
              <w:rPr>
                <w:sz w:val="20"/>
                <w:szCs w:val="20"/>
                <w:color w:val="auto"/>
              </w:rPr>
            </w:pPr>
          </w:p>
        </w:tc>
        <w:tc>
          <w:tcPr>
            <w:tcW w:w="500" w:type="dxa"/>
            <w:vAlign w:val="bottom"/>
            <w:tcBorders>
              <w:top w:val="single" w:sz="8" w:color="auto"/>
              <w:bottom w:val="single" w:sz="8" w:color="DCE2EF"/>
            </w:tcBorders>
            <w:shd w:val="clear" w:color="auto" w:fill="DCE2EF"/>
          </w:tcPr>
          <w:p>
            <w:pPr>
              <w:spacing w:after="0"/>
              <w:rPr>
                <w:sz w:val="20"/>
                <w:szCs w:val="20"/>
                <w:color w:val="auto"/>
              </w:rPr>
            </w:pPr>
          </w:p>
        </w:tc>
        <w:tc>
          <w:tcPr>
            <w:tcW w:w="240" w:type="dxa"/>
            <w:vAlign w:val="bottom"/>
            <w:tcBorders>
              <w:bottom w:val="single" w:sz="8" w:color="DCE2EF"/>
            </w:tcBorders>
            <w:shd w:val="clear" w:color="auto" w:fill="DCE2EF"/>
          </w:tcPr>
          <w:p>
            <w:pPr>
              <w:spacing w:after="0"/>
              <w:rPr>
                <w:sz w:val="20"/>
                <w:szCs w:val="20"/>
                <w:color w:val="auto"/>
              </w:rPr>
            </w:pPr>
          </w:p>
        </w:tc>
        <w:tc>
          <w:tcPr>
            <w:tcW w:w="800" w:type="dxa"/>
            <w:vAlign w:val="bottom"/>
            <w:tcBorders>
              <w:top w:val="single" w:sz="8" w:color="auto"/>
              <w:bottom w:val="single" w:sz="8" w:color="DCE2EF"/>
            </w:tcBorders>
            <w:shd w:val="clear" w:color="auto" w:fill="DCE2EF"/>
          </w:tcPr>
          <w:p>
            <w:pPr>
              <w:spacing w:after="0"/>
              <w:rPr>
                <w:sz w:val="20"/>
                <w:szCs w:val="20"/>
                <w:color w:val="auto"/>
              </w:rPr>
            </w:pPr>
          </w:p>
        </w:tc>
        <w:tc>
          <w:tcPr>
            <w:tcW w:w="60" w:type="dxa"/>
            <w:vAlign w:val="bottom"/>
            <w:tcBorders>
              <w:top w:val="single" w:sz="8" w:color="auto"/>
              <w:bottom w:val="single" w:sz="8" w:color="DCE2EF"/>
            </w:tcBorders>
            <w:shd w:val="clear" w:color="auto" w:fill="DCE2EF"/>
          </w:tcPr>
          <w:p>
            <w:pPr>
              <w:spacing w:after="0"/>
              <w:rPr>
                <w:sz w:val="20"/>
                <w:szCs w:val="20"/>
                <w:color w:val="auto"/>
              </w:rPr>
            </w:pPr>
          </w:p>
        </w:tc>
        <w:tc>
          <w:tcPr>
            <w:tcW w:w="420" w:type="dxa"/>
            <w:vAlign w:val="bottom"/>
            <w:tcBorders>
              <w:top w:val="single" w:sz="8" w:color="auto"/>
              <w:bottom w:val="single" w:sz="8" w:color="DCE2EF"/>
            </w:tcBorders>
            <w:shd w:val="clear" w:color="auto" w:fill="DCE2EF"/>
          </w:tcPr>
          <w:p>
            <w:pPr>
              <w:spacing w:after="0"/>
              <w:rPr>
                <w:sz w:val="20"/>
                <w:szCs w:val="20"/>
                <w:color w:val="auto"/>
              </w:rPr>
            </w:pPr>
          </w:p>
        </w:tc>
        <w:tc>
          <w:tcPr>
            <w:tcW w:w="240" w:type="dxa"/>
            <w:vAlign w:val="bottom"/>
            <w:tcBorders>
              <w:bottom w:val="single" w:sz="8" w:color="DCE2EF"/>
            </w:tcBorders>
            <w:shd w:val="clear" w:color="auto" w:fill="DCE2EF"/>
          </w:tcPr>
          <w:p>
            <w:pPr>
              <w:spacing w:after="0"/>
              <w:rPr>
                <w:sz w:val="20"/>
                <w:szCs w:val="20"/>
                <w:color w:val="auto"/>
              </w:rPr>
            </w:pPr>
          </w:p>
        </w:tc>
        <w:tc>
          <w:tcPr>
            <w:tcW w:w="560" w:type="dxa"/>
            <w:vAlign w:val="bottom"/>
            <w:tcBorders>
              <w:top w:val="single" w:sz="8" w:color="auto"/>
              <w:bottom w:val="single" w:sz="8" w:color="DCE2EF"/>
            </w:tcBorders>
            <w:shd w:val="clear" w:color="auto" w:fill="DCE2EF"/>
          </w:tcPr>
          <w:p>
            <w:pPr>
              <w:spacing w:after="0"/>
              <w:rPr>
                <w:sz w:val="20"/>
                <w:szCs w:val="20"/>
                <w:color w:val="auto"/>
              </w:rPr>
            </w:pPr>
          </w:p>
        </w:tc>
        <w:tc>
          <w:tcPr>
            <w:tcW w:w="720" w:type="dxa"/>
            <w:vAlign w:val="bottom"/>
            <w:tcBorders>
              <w:top w:val="single" w:sz="8" w:color="auto"/>
              <w:bottom w:val="single" w:sz="8" w:color="DCE2EF"/>
            </w:tcBorders>
            <w:shd w:val="clear" w:color="auto" w:fill="DCE2EF"/>
          </w:tcPr>
          <w:p>
            <w:pPr>
              <w:spacing w:after="0"/>
              <w:rPr>
                <w:sz w:val="20"/>
                <w:szCs w:val="20"/>
                <w:color w:val="auto"/>
              </w:rPr>
            </w:pPr>
          </w:p>
        </w:tc>
        <w:tc>
          <w:tcPr>
            <w:tcW w:w="220" w:type="dxa"/>
            <w:vAlign w:val="bottom"/>
            <w:tcBorders>
              <w:bottom w:val="single" w:sz="8" w:color="DCE2EF"/>
            </w:tcBorders>
            <w:shd w:val="clear" w:color="auto" w:fill="DCE2EF"/>
          </w:tcPr>
          <w:p>
            <w:pPr>
              <w:spacing w:after="0"/>
              <w:rPr>
                <w:sz w:val="20"/>
                <w:szCs w:val="20"/>
                <w:color w:val="auto"/>
              </w:rPr>
            </w:pPr>
          </w:p>
        </w:tc>
        <w:tc>
          <w:tcPr>
            <w:tcW w:w="780" w:type="dxa"/>
            <w:vAlign w:val="bottom"/>
            <w:tcBorders>
              <w:top w:val="single" w:sz="8" w:color="auto"/>
              <w:bottom w:val="single" w:sz="8" w:color="DCE2EF"/>
            </w:tcBorders>
            <w:shd w:val="clear" w:color="auto" w:fill="DCE2EF"/>
          </w:tcPr>
          <w:p>
            <w:pPr>
              <w:spacing w:after="0"/>
              <w:rPr>
                <w:sz w:val="20"/>
                <w:szCs w:val="20"/>
                <w:color w:val="auto"/>
              </w:rPr>
            </w:pPr>
          </w:p>
        </w:tc>
        <w:tc>
          <w:tcPr>
            <w:tcW w:w="500" w:type="dxa"/>
            <w:vAlign w:val="bottom"/>
            <w:tcBorders>
              <w:top w:val="single" w:sz="8" w:color="auto"/>
              <w:bottom w:val="single" w:sz="8" w:color="DCE2EF"/>
            </w:tcBorders>
            <w:shd w:val="clear" w:color="auto" w:fill="DCE2EF"/>
          </w:tcPr>
          <w:p>
            <w:pPr>
              <w:spacing w:after="0"/>
              <w:rPr>
                <w:sz w:val="20"/>
                <w:szCs w:val="20"/>
                <w:color w:val="auto"/>
              </w:rPr>
            </w:pPr>
          </w:p>
        </w:tc>
      </w:tr>
      <w:tr>
        <w:trPr>
          <w:trHeight w:val="254"/>
        </w:trPr>
        <w:tc>
          <w:tcPr>
            <w:tcW w:w="5400" w:type="dxa"/>
            <w:vAlign w:val="bottom"/>
          </w:tcPr>
          <w:p>
            <w:pPr>
              <w:ind w:left="60"/>
              <w:spacing w:after="0"/>
              <w:rPr>
                <w:sz w:val="20"/>
                <w:szCs w:val="20"/>
                <w:color w:val="auto"/>
              </w:rPr>
            </w:pPr>
            <w:r>
              <w:rPr>
                <w:rFonts w:ascii="Arial" w:cs="Arial" w:eastAsia="Arial" w:hAnsi="Arial"/>
                <w:sz w:val="15"/>
                <w:szCs w:val="15"/>
                <w:color w:val="auto"/>
              </w:rPr>
              <w:t>Revenues</w:t>
            </w:r>
          </w:p>
        </w:tc>
        <w:tc>
          <w:tcPr>
            <w:tcW w:w="800" w:type="dxa"/>
            <w:vAlign w:val="bottom"/>
          </w:tcPr>
          <w:p>
            <w:pPr>
              <w:ind w:left="50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2,295.3</w:t>
            </w: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w w:val="98"/>
              </w:rPr>
              <w:t>2,177.3</w:t>
            </w:r>
          </w:p>
        </w:tc>
        <w:tc>
          <w:tcPr>
            <w:tcW w:w="8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8,745.9</w:t>
            </w: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8"/>
              </w:rPr>
              <w:t>8,359.4</w:t>
            </w:r>
          </w:p>
        </w:tc>
      </w:tr>
      <w:tr>
        <w:trPr>
          <w:trHeight w:val="256"/>
        </w:trPr>
        <w:tc>
          <w:tcPr>
            <w:tcW w:w="5400" w:type="dxa"/>
            <w:vAlign w:val="bottom"/>
            <w:tcBorders>
              <w:bottom w:val="single" w:sz="8" w:color="DCE2EF"/>
            </w:tcBorders>
            <w:shd w:val="clear" w:color="auto" w:fill="DCE2EF"/>
          </w:tcPr>
          <w:p>
            <w:pPr>
              <w:ind w:left="60"/>
              <w:spacing w:after="0"/>
              <w:rPr>
                <w:sz w:val="20"/>
                <w:szCs w:val="20"/>
                <w:color w:val="auto"/>
              </w:rPr>
            </w:pPr>
            <w:r>
              <w:rPr>
                <w:rFonts w:ascii="Arial" w:cs="Arial" w:eastAsia="Arial" w:hAnsi="Arial"/>
                <w:sz w:val="15"/>
                <w:szCs w:val="15"/>
                <w:color w:val="auto"/>
              </w:rPr>
              <w:t>Management reimbursement</w:t>
            </w:r>
          </w:p>
        </w:tc>
        <w:tc>
          <w:tcPr>
            <w:tcW w:w="800" w:type="dxa"/>
            <w:vAlign w:val="bottom"/>
            <w:tcBorders>
              <w:bottom w:val="single" w:sz="8" w:color="auto"/>
            </w:tcBorders>
            <w:shd w:val="clear" w:color="auto" w:fill="DCE2EF"/>
          </w:tcPr>
          <w:p>
            <w:pPr>
              <w:spacing w:after="0"/>
              <w:rPr>
                <w:sz w:val="22"/>
                <w:szCs w:val="22"/>
                <w:color w:val="auto"/>
              </w:rPr>
            </w:pPr>
          </w:p>
        </w:tc>
        <w:tc>
          <w:tcPr>
            <w:tcW w:w="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(86.9)</w:t>
            </w:r>
          </w:p>
        </w:tc>
        <w:tc>
          <w:tcPr>
            <w:tcW w:w="240" w:type="dxa"/>
            <w:vAlign w:val="bottom"/>
            <w:tcBorders>
              <w:bottom w:val="single" w:sz="8" w:color="DCE2EF"/>
            </w:tcBorders>
            <w:shd w:val="clear" w:color="auto" w:fill="DCE2EF"/>
          </w:tcPr>
          <w:p>
            <w:pPr>
              <w:spacing w:after="0"/>
              <w:rPr>
                <w:sz w:val="22"/>
                <w:szCs w:val="22"/>
                <w:color w:val="auto"/>
              </w:rPr>
            </w:pPr>
          </w:p>
        </w:tc>
        <w:tc>
          <w:tcPr>
            <w:tcW w:w="800" w:type="dxa"/>
            <w:vAlign w:val="bottom"/>
            <w:tcBorders>
              <w:bottom w:val="single" w:sz="8" w:color="auto"/>
            </w:tcBorders>
            <w:shd w:val="clear" w:color="auto" w:fill="DCE2EF"/>
          </w:tcPr>
          <w:p>
            <w:pPr>
              <w:spacing w:after="0"/>
              <w:rPr>
                <w:sz w:val="22"/>
                <w:szCs w:val="22"/>
                <w:color w:val="auto"/>
              </w:rPr>
            </w:pPr>
          </w:p>
        </w:tc>
        <w:tc>
          <w:tcPr>
            <w:tcW w:w="60" w:type="dxa"/>
            <w:vAlign w:val="bottom"/>
            <w:tcBorders>
              <w:bottom w:val="single" w:sz="8" w:color="auto"/>
            </w:tcBorders>
            <w:shd w:val="clear" w:color="auto" w:fill="DCE2EF"/>
          </w:tcPr>
          <w:p>
            <w:pPr>
              <w:spacing w:after="0"/>
              <w:rPr>
                <w:sz w:val="22"/>
                <w:szCs w:val="22"/>
                <w:color w:val="auto"/>
              </w:rPr>
            </w:pPr>
          </w:p>
        </w:tc>
        <w:tc>
          <w:tcPr>
            <w:tcW w:w="4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(81.6)</w:t>
            </w:r>
          </w:p>
        </w:tc>
        <w:tc>
          <w:tcPr>
            <w:tcW w:w="240" w:type="dxa"/>
            <w:vAlign w:val="bottom"/>
            <w:tcBorders>
              <w:bottom w:val="single" w:sz="8" w:color="DCE2EF"/>
            </w:tcBorders>
            <w:shd w:val="clear" w:color="auto" w:fill="DCE2EF"/>
          </w:tcPr>
          <w:p>
            <w:pPr>
              <w:spacing w:after="0"/>
              <w:rPr>
                <w:sz w:val="22"/>
                <w:szCs w:val="22"/>
                <w:color w:val="auto"/>
              </w:rPr>
            </w:pPr>
          </w:p>
        </w:tc>
        <w:tc>
          <w:tcPr>
            <w:tcW w:w="560" w:type="dxa"/>
            <w:vAlign w:val="bottom"/>
            <w:tcBorders>
              <w:bottom w:val="single" w:sz="8" w:color="auto"/>
            </w:tcBorders>
            <w:shd w:val="clear" w:color="auto" w:fill="DCE2EF"/>
          </w:tcPr>
          <w:p>
            <w:pPr>
              <w:spacing w:after="0"/>
              <w:rPr>
                <w:sz w:val="22"/>
                <w:szCs w:val="22"/>
                <w:color w:val="auto"/>
              </w:rPr>
            </w:pPr>
          </w:p>
        </w:tc>
        <w:tc>
          <w:tcPr>
            <w:tcW w:w="7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(342.1)</w:t>
            </w:r>
          </w:p>
        </w:tc>
        <w:tc>
          <w:tcPr>
            <w:tcW w:w="220" w:type="dxa"/>
            <w:vAlign w:val="bottom"/>
            <w:tcBorders>
              <w:bottom w:val="single" w:sz="8" w:color="DCE2EF"/>
            </w:tcBorders>
            <w:shd w:val="clear" w:color="auto" w:fill="DCE2EF"/>
          </w:tcPr>
          <w:p>
            <w:pPr>
              <w:spacing w:after="0"/>
              <w:rPr>
                <w:sz w:val="22"/>
                <w:szCs w:val="22"/>
                <w:color w:val="auto"/>
              </w:rPr>
            </w:pPr>
          </w:p>
        </w:tc>
        <w:tc>
          <w:tcPr>
            <w:tcW w:w="780" w:type="dxa"/>
            <w:vAlign w:val="bottom"/>
            <w:tcBorders>
              <w:bottom w:val="single" w:sz="8" w:color="auto"/>
            </w:tcBorders>
            <w:shd w:val="clear" w:color="auto" w:fill="DCE2EF"/>
          </w:tcPr>
          <w:p>
            <w:pPr>
              <w:spacing w:after="0"/>
              <w:rPr>
                <w:sz w:val="22"/>
                <w:szCs w:val="22"/>
                <w:color w:val="auto"/>
              </w:rPr>
            </w:pPr>
          </w:p>
        </w:tc>
        <w:tc>
          <w:tcPr>
            <w:tcW w:w="5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(318.2)</w:t>
            </w:r>
          </w:p>
        </w:tc>
      </w:tr>
      <w:tr>
        <w:trPr>
          <w:trHeight w:val="233"/>
        </w:trPr>
        <w:tc>
          <w:tcPr>
            <w:tcW w:w="5400" w:type="dxa"/>
            <w:vAlign w:val="bottom"/>
          </w:tcPr>
          <w:p>
            <w:pPr>
              <w:ind w:left="60"/>
              <w:spacing w:after="0"/>
              <w:rPr>
                <w:sz w:val="20"/>
                <w:szCs w:val="20"/>
                <w:color w:val="auto"/>
              </w:rPr>
            </w:pPr>
            <w:r>
              <w:rPr>
                <w:rFonts w:ascii="Arial" w:cs="Arial" w:eastAsia="Arial" w:hAnsi="Arial"/>
                <w:sz w:val="15"/>
                <w:szCs w:val="15"/>
                <w:color w:val="auto"/>
              </w:rPr>
              <w:t>Revenues excluding management reimbursement</w:t>
            </w:r>
          </w:p>
        </w:tc>
        <w:tc>
          <w:tcPr>
            <w:tcW w:w="800" w:type="dxa"/>
            <w:vAlign w:val="bottom"/>
          </w:tcPr>
          <w:p>
            <w:pPr>
              <w:ind w:left="50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2,208.5</w:t>
            </w: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w w:val="98"/>
              </w:rPr>
              <w:t>2,095.8</w:t>
            </w:r>
          </w:p>
        </w:tc>
        <w:tc>
          <w:tcPr>
            <w:tcW w:w="80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8,403.8</w:t>
            </w: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8"/>
              </w:rPr>
              <w:t>8,041.2</w:t>
            </w:r>
          </w:p>
        </w:tc>
      </w:tr>
      <w:tr>
        <w:trPr>
          <w:trHeight w:val="243"/>
        </w:trPr>
        <w:tc>
          <w:tcPr>
            <w:tcW w:w="5400" w:type="dxa"/>
            <w:vAlign w:val="bottom"/>
            <w:shd w:val="clear" w:color="auto" w:fill="DCE2EF"/>
          </w:tcPr>
          <w:p>
            <w:pPr>
              <w:spacing w:after="0"/>
              <w:rPr>
                <w:sz w:val="21"/>
                <w:szCs w:val="21"/>
                <w:color w:val="auto"/>
              </w:rPr>
            </w:pPr>
          </w:p>
        </w:tc>
        <w:tc>
          <w:tcPr>
            <w:tcW w:w="800" w:type="dxa"/>
            <w:vAlign w:val="bottom"/>
            <w:tcBorders>
              <w:top w:val="single" w:sz="8" w:color="auto"/>
            </w:tcBorders>
            <w:shd w:val="clear" w:color="auto" w:fill="DCE2EF"/>
          </w:tcPr>
          <w:p>
            <w:pPr>
              <w:spacing w:after="0"/>
              <w:rPr>
                <w:sz w:val="21"/>
                <w:szCs w:val="21"/>
                <w:color w:val="auto"/>
              </w:rPr>
            </w:pPr>
          </w:p>
        </w:tc>
        <w:tc>
          <w:tcPr>
            <w:tcW w:w="500" w:type="dxa"/>
            <w:vAlign w:val="bottom"/>
            <w:tcBorders>
              <w:top w:val="single" w:sz="8" w:color="auto"/>
            </w:tcBorders>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800" w:type="dxa"/>
            <w:vAlign w:val="bottom"/>
            <w:tcBorders>
              <w:top w:val="single" w:sz="8" w:color="auto"/>
            </w:tcBorders>
            <w:shd w:val="clear" w:color="auto" w:fill="DCE2EF"/>
          </w:tcPr>
          <w:p>
            <w:pPr>
              <w:spacing w:after="0"/>
              <w:rPr>
                <w:sz w:val="21"/>
                <w:szCs w:val="21"/>
                <w:color w:val="auto"/>
              </w:rPr>
            </w:pPr>
          </w:p>
        </w:tc>
        <w:tc>
          <w:tcPr>
            <w:tcW w:w="60" w:type="dxa"/>
            <w:vAlign w:val="bottom"/>
            <w:tcBorders>
              <w:top w:val="single" w:sz="8" w:color="auto"/>
            </w:tcBorders>
            <w:shd w:val="clear" w:color="auto" w:fill="DCE2EF"/>
          </w:tcPr>
          <w:p>
            <w:pPr>
              <w:spacing w:after="0"/>
              <w:rPr>
                <w:sz w:val="21"/>
                <w:szCs w:val="21"/>
                <w:color w:val="auto"/>
              </w:rPr>
            </w:pPr>
          </w:p>
        </w:tc>
        <w:tc>
          <w:tcPr>
            <w:tcW w:w="420" w:type="dxa"/>
            <w:vAlign w:val="bottom"/>
            <w:tcBorders>
              <w:top w:val="single" w:sz="8" w:color="auto"/>
            </w:tcBorders>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560" w:type="dxa"/>
            <w:vAlign w:val="bottom"/>
            <w:tcBorders>
              <w:top w:val="single" w:sz="8" w:color="auto"/>
            </w:tcBorders>
            <w:shd w:val="clear" w:color="auto" w:fill="DCE2EF"/>
          </w:tcPr>
          <w:p>
            <w:pPr>
              <w:spacing w:after="0"/>
              <w:rPr>
                <w:sz w:val="21"/>
                <w:szCs w:val="21"/>
                <w:color w:val="auto"/>
              </w:rPr>
            </w:pPr>
          </w:p>
        </w:tc>
        <w:tc>
          <w:tcPr>
            <w:tcW w:w="720" w:type="dxa"/>
            <w:vAlign w:val="bottom"/>
            <w:tcBorders>
              <w:top w:val="single" w:sz="8" w:color="auto"/>
            </w:tcBorders>
            <w:shd w:val="clear" w:color="auto" w:fill="DCE2EF"/>
          </w:tcPr>
          <w:p>
            <w:pPr>
              <w:spacing w:after="0"/>
              <w:rPr>
                <w:sz w:val="21"/>
                <w:szCs w:val="21"/>
                <w:color w:val="auto"/>
              </w:rPr>
            </w:pPr>
          </w:p>
        </w:tc>
        <w:tc>
          <w:tcPr>
            <w:tcW w:w="220" w:type="dxa"/>
            <w:vAlign w:val="bottom"/>
            <w:shd w:val="clear" w:color="auto" w:fill="DCE2EF"/>
          </w:tcPr>
          <w:p>
            <w:pPr>
              <w:spacing w:after="0"/>
              <w:rPr>
                <w:sz w:val="21"/>
                <w:szCs w:val="21"/>
                <w:color w:val="auto"/>
              </w:rPr>
            </w:pPr>
          </w:p>
        </w:tc>
        <w:tc>
          <w:tcPr>
            <w:tcW w:w="780" w:type="dxa"/>
            <w:vAlign w:val="bottom"/>
            <w:tcBorders>
              <w:top w:val="single" w:sz="8" w:color="auto"/>
            </w:tcBorders>
            <w:shd w:val="clear" w:color="auto" w:fill="DCE2EF"/>
          </w:tcPr>
          <w:p>
            <w:pPr>
              <w:spacing w:after="0"/>
              <w:rPr>
                <w:sz w:val="21"/>
                <w:szCs w:val="21"/>
                <w:color w:val="auto"/>
              </w:rPr>
            </w:pPr>
          </w:p>
        </w:tc>
        <w:tc>
          <w:tcPr>
            <w:tcW w:w="500" w:type="dxa"/>
            <w:vAlign w:val="bottom"/>
            <w:tcBorders>
              <w:top w:val="single" w:sz="8" w:color="auto"/>
            </w:tcBorders>
            <w:shd w:val="clear" w:color="auto" w:fill="DCE2EF"/>
          </w:tcPr>
          <w:p>
            <w:pPr>
              <w:spacing w:after="0"/>
              <w:rPr>
                <w:sz w:val="21"/>
                <w:szCs w:val="21"/>
                <w:color w:val="auto"/>
              </w:rPr>
            </w:pPr>
          </w:p>
        </w:tc>
      </w:tr>
      <w:tr>
        <w:trPr>
          <w:trHeight w:val="210"/>
        </w:trPr>
        <w:tc>
          <w:tcPr>
            <w:tcW w:w="5400" w:type="dxa"/>
            <w:vAlign w:val="bottom"/>
          </w:tcPr>
          <w:p>
            <w:pPr>
              <w:ind w:left="60"/>
              <w:spacing w:after="0"/>
              <w:rPr>
                <w:sz w:val="20"/>
                <w:szCs w:val="20"/>
                <w:color w:val="auto"/>
              </w:rPr>
            </w:pPr>
            <w:r>
              <w:rPr>
                <w:rFonts w:ascii="Arial" w:cs="Arial" w:eastAsia="Arial" w:hAnsi="Arial"/>
                <w:sz w:val="15"/>
                <w:szCs w:val="15"/>
                <w:b w:val="1"/>
                <w:bCs w:val="1"/>
                <w:color w:val="auto"/>
              </w:rPr>
              <w:t>Adjusted EBITDA margin as a % of revenues excluding management</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54"/>
        </w:trPr>
        <w:tc>
          <w:tcPr>
            <w:tcW w:w="5400" w:type="dxa"/>
            <w:vAlign w:val="bottom"/>
          </w:tcPr>
          <w:p>
            <w:pPr>
              <w:ind w:left="60"/>
              <w:spacing w:after="0"/>
              <w:rPr>
                <w:sz w:val="20"/>
                <w:szCs w:val="20"/>
                <w:color w:val="auto"/>
              </w:rPr>
            </w:pPr>
            <w:r>
              <w:rPr>
                <w:rFonts w:ascii="Arial" w:cs="Arial" w:eastAsia="Arial" w:hAnsi="Arial"/>
                <w:sz w:val="15"/>
                <w:szCs w:val="15"/>
                <w:b w:val="1"/>
                <w:bCs w:val="1"/>
                <w:color w:val="auto"/>
              </w:rPr>
              <w:t>reimbursement</w:t>
            </w:r>
          </w:p>
        </w:tc>
        <w:tc>
          <w:tcPr>
            <w:tcW w:w="8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5.6 %</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6.0 %</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5.9 %</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-1120140</wp:posOffset>
            </wp:positionV>
            <wp:extent cx="146050" cy="11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-1120140</wp:posOffset>
            </wp:positionV>
            <wp:extent cx="146050" cy="11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-1120140</wp:posOffset>
            </wp:positionV>
            <wp:extent cx="137160" cy="114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-622935</wp:posOffset>
            </wp:positionV>
            <wp:extent cx="146050" cy="11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-622935</wp:posOffset>
            </wp:positionV>
            <wp:extent cx="146050" cy="11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-622935</wp:posOffset>
            </wp:positionV>
            <wp:extent cx="137160" cy="11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-459740</wp:posOffset>
            </wp:positionV>
            <wp:extent cx="146050" cy="11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-459740</wp:posOffset>
            </wp:positionV>
            <wp:extent cx="146050" cy="11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-459740</wp:posOffset>
            </wp:positionV>
            <wp:extent cx="137160" cy="11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8"/>
        </w:trPr>
        <w:tc>
          <w:tcPr>
            <w:tcW w:w="5400" w:type="dxa"/>
            <w:vAlign w:val="bottom"/>
          </w:tcPr>
          <w:p>
            <w:pPr>
              <w:spacing w:after="0"/>
              <w:rPr>
                <w:sz w:val="16"/>
                <w:szCs w:val="16"/>
                <w:color w:val="auto"/>
              </w:rPr>
            </w:pPr>
          </w:p>
        </w:tc>
        <w:tc>
          <w:tcPr>
            <w:tcW w:w="2820" w:type="dxa"/>
            <w:vAlign w:val="bottom"/>
            <w:tcBorders>
              <w:bottom w:val="single" w:sz="8" w:color="auto"/>
            </w:tcBorders>
            <w:gridSpan w:val="5"/>
          </w:tcPr>
          <w:p>
            <w:pPr>
              <w:jc w:val="right"/>
              <w:ind w:right="266"/>
              <w:spacing w:after="0"/>
              <w:rPr>
                <w:sz w:val="20"/>
                <w:szCs w:val="20"/>
                <w:color w:val="auto"/>
              </w:rPr>
            </w:pPr>
            <w:r>
              <w:rPr>
                <w:rFonts w:ascii="Arial" w:cs="Arial" w:eastAsia="Arial" w:hAnsi="Arial"/>
                <w:sz w:val="13"/>
                <w:szCs w:val="13"/>
                <w:b w:val="1"/>
                <w:bCs w:val="1"/>
                <w:color w:val="auto"/>
              </w:rPr>
              <w:t>Three Months Ended October 31,</w:t>
            </w:r>
          </w:p>
        </w:tc>
        <w:tc>
          <w:tcPr>
            <w:tcW w:w="24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b w:val="1"/>
                <w:bCs w:val="1"/>
                <w:color w:val="auto"/>
              </w:rPr>
              <w:t>Years Ended October 31,</w:t>
            </w:r>
          </w:p>
        </w:tc>
        <w:tc>
          <w:tcPr>
            <w:tcW w:w="460" w:type="dxa"/>
            <w:vAlign w:val="bottom"/>
            <w:tcBorders>
              <w:bottom w:val="single" w:sz="8" w:color="auto"/>
            </w:tcBorders>
          </w:tcPr>
          <w:p>
            <w:pPr>
              <w:spacing w:after="0"/>
              <w:rPr>
                <w:sz w:val="16"/>
                <w:szCs w:val="16"/>
                <w:color w:val="auto"/>
              </w:rPr>
            </w:pPr>
          </w:p>
        </w:tc>
      </w:tr>
      <w:tr>
        <w:trPr>
          <w:trHeight w:val="232"/>
        </w:trPr>
        <w:tc>
          <w:tcPr>
            <w:tcW w:w="5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460" w:type="dxa"/>
            <w:vAlign w:val="bottom"/>
          </w:tcPr>
          <w:p>
            <w:pPr>
              <w:spacing w:after="0"/>
              <w:rPr>
                <w:sz w:val="20"/>
                <w:szCs w:val="20"/>
                <w:color w:val="auto"/>
              </w:rPr>
            </w:pPr>
          </w:p>
        </w:tc>
        <w:tc>
          <w:tcPr>
            <w:tcW w:w="1080" w:type="dxa"/>
            <w:vAlign w:val="bottom"/>
            <w:gridSpan w:val="2"/>
          </w:tcPr>
          <w:p>
            <w:pPr>
              <w:jc w:val="center"/>
              <w:ind w:left="628"/>
              <w:spacing w:after="0"/>
              <w:rPr>
                <w:sz w:val="20"/>
                <w:szCs w:val="20"/>
                <w:color w:val="auto"/>
              </w:rPr>
            </w:pPr>
            <w:r>
              <w:rPr>
                <w:rFonts w:ascii="Arial" w:cs="Arial" w:eastAsia="Arial" w:hAnsi="Arial"/>
                <w:sz w:val="13"/>
                <w:szCs w:val="13"/>
                <w:b w:val="1"/>
                <w:bCs w:val="1"/>
                <w:color w:val="auto"/>
              </w:rPr>
              <w:t>2024</w:t>
            </w:r>
          </w:p>
        </w:tc>
        <w:tc>
          <w:tcPr>
            <w:tcW w:w="4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2025</w:t>
            </w:r>
          </w:p>
        </w:tc>
        <w:tc>
          <w:tcPr>
            <w:tcW w:w="4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2024</w:t>
            </w:r>
          </w:p>
        </w:tc>
        <w:tc>
          <w:tcPr>
            <w:tcW w:w="460" w:type="dxa"/>
            <w:vAlign w:val="bottom"/>
          </w:tcPr>
          <w:p>
            <w:pPr>
              <w:spacing w:after="0"/>
              <w:rPr>
                <w:sz w:val="20"/>
                <w:szCs w:val="20"/>
                <w:color w:val="auto"/>
              </w:rPr>
            </w:pPr>
          </w:p>
        </w:tc>
      </w:tr>
      <w:tr>
        <w:trPr>
          <w:trHeight w:val="193"/>
        </w:trPr>
        <w:tc>
          <w:tcPr>
            <w:tcW w:w="5400" w:type="dxa"/>
            <w:vAlign w:val="bottom"/>
            <w:shd w:val="clear" w:color="auto" w:fill="DCE2EF"/>
          </w:tcPr>
          <w:p>
            <w:pPr>
              <w:ind w:left="60"/>
              <w:spacing w:after="0"/>
              <w:rPr>
                <w:sz w:val="20"/>
                <w:szCs w:val="20"/>
                <w:color w:val="auto"/>
              </w:rPr>
            </w:pPr>
            <w:r>
              <w:rPr>
                <w:rFonts w:ascii="Arial" w:cs="Arial" w:eastAsia="Arial" w:hAnsi="Arial"/>
                <w:sz w:val="14"/>
                <w:szCs w:val="14"/>
                <w:b w:val="1"/>
                <w:bCs w:val="1"/>
                <w:color w:val="auto"/>
              </w:rPr>
              <w:t>Reconciliation of Net Income (loss) per Diluted Share to Adjusted Net</w:t>
            </w:r>
          </w:p>
        </w:tc>
        <w:tc>
          <w:tcPr>
            <w:tcW w:w="840" w:type="dxa"/>
            <w:vAlign w:val="bottom"/>
            <w:tcBorders>
              <w:top w:val="single" w:sz="8" w:color="auto"/>
            </w:tcBorders>
            <w:shd w:val="clear" w:color="auto" w:fill="DCE2EF"/>
          </w:tcPr>
          <w:p>
            <w:pPr>
              <w:spacing w:after="0"/>
              <w:rPr>
                <w:sz w:val="16"/>
                <w:szCs w:val="16"/>
                <w:color w:val="auto"/>
              </w:rPr>
            </w:pPr>
          </w:p>
        </w:tc>
        <w:tc>
          <w:tcPr>
            <w:tcW w:w="460" w:type="dxa"/>
            <w:vAlign w:val="bottom"/>
            <w:tcBorders>
              <w:top w:val="single" w:sz="8" w:color="auto"/>
            </w:tcBorders>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840" w:type="dxa"/>
            <w:vAlign w:val="bottom"/>
            <w:tcBorders>
              <w:top w:val="single" w:sz="8" w:color="auto"/>
            </w:tcBorders>
            <w:shd w:val="clear" w:color="auto" w:fill="DCE2EF"/>
          </w:tcPr>
          <w:p>
            <w:pPr>
              <w:spacing w:after="0"/>
              <w:rPr>
                <w:sz w:val="16"/>
                <w:szCs w:val="16"/>
                <w:color w:val="auto"/>
              </w:rPr>
            </w:pPr>
          </w:p>
        </w:tc>
        <w:tc>
          <w:tcPr>
            <w:tcW w:w="440" w:type="dxa"/>
            <w:vAlign w:val="bottom"/>
            <w:tcBorders>
              <w:top w:val="single" w:sz="8" w:color="auto"/>
            </w:tcBorders>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820" w:type="dxa"/>
            <w:vAlign w:val="bottom"/>
            <w:tcBorders>
              <w:top w:val="single" w:sz="8" w:color="auto"/>
            </w:tcBorders>
            <w:shd w:val="clear" w:color="auto" w:fill="DCE2EF"/>
          </w:tcPr>
          <w:p>
            <w:pPr>
              <w:spacing w:after="0"/>
              <w:rPr>
                <w:sz w:val="16"/>
                <w:szCs w:val="16"/>
                <w:color w:val="auto"/>
              </w:rPr>
            </w:pPr>
          </w:p>
        </w:tc>
        <w:tc>
          <w:tcPr>
            <w:tcW w:w="460" w:type="dxa"/>
            <w:vAlign w:val="bottom"/>
            <w:tcBorders>
              <w:top w:val="single" w:sz="8" w:color="auto"/>
            </w:tcBorders>
            <w:shd w:val="clear" w:color="auto" w:fill="DCE2EF"/>
          </w:tcPr>
          <w:p>
            <w:pPr>
              <w:spacing w:after="0"/>
              <w:rPr>
                <w:sz w:val="16"/>
                <w:szCs w:val="16"/>
                <w:color w:val="auto"/>
              </w:rPr>
            </w:pPr>
          </w:p>
        </w:tc>
        <w:tc>
          <w:tcPr>
            <w:tcW w:w="220" w:type="dxa"/>
            <w:vAlign w:val="bottom"/>
            <w:shd w:val="clear" w:color="auto" w:fill="DCE2EF"/>
          </w:tcPr>
          <w:p>
            <w:pPr>
              <w:spacing w:after="0"/>
              <w:rPr>
                <w:sz w:val="16"/>
                <w:szCs w:val="16"/>
                <w:color w:val="auto"/>
              </w:rPr>
            </w:pPr>
          </w:p>
        </w:tc>
        <w:tc>
          <w:tcPr>
            <w:tcW w:w="820" w:type="dxa"/>
            <w:vAlign w:val="bottom"/>
            <w:tcBorders>
              <w:top w:val="single" w:sz="8" w:color="auto"/>
            </w:tcBorders>
            <w:shd w:val="clear" w:color="auto" w:fill="DCE2EF"/>
          </w:tcPr>
          <w:p>
            <w:pPr>
              <w:spacing w:after="0"/>
              <w:rPr>
                <w:sz w:val="16"/>
                <w:szCs w:val="16"/>
                <w:color w:val="auto"/>
              </w:rPr>
            </w:pPr>
          </w:p>
        </w:tc>
        <w:tc>
          <w:tcPr>
            <w:tcW w:w="460" w:type="dxa"/>
            <w:vAlign w:val="bottom"/>
            <w:tcBorders>
              <w:top w:val="single" w:sz="8" w:color="auto"/>
            </w:tcBorders>
            <w:shd w:val="clear" w:color="auto" w:fill="DCE2EF"/>
          </w:tcPr>
          <w:p>
            <w:pPr>
              <w:spacing w:after="0"/>
              <w:rPr>
                <w:sz w:val="16"/>
                <w:szCs w:val="16"/>
                <w:color w:val="auto"/>
              </w:rPr>
            </w:pPr>
          </w:p>
        </w:tc>
      </w:tr>
      <w:tr>
        <w:trPr>
          <w:trHeight w:val="196"/>
        </w:trPr>
        <w:tc>
          <w:tcPr>
            <w:tcW w:w="5400" w:type="dxa"/>
            <w:vAlign w:val="bottom"/>
            <w:shd w:val="clear" w:color="auto" w:fill="DCE2EF"/>
          </w:tcPr>
          <w:p>
            <w:pPr>
              <w:ind w:left="60"/>
              <w:spacing w:after="0"/>
              <w:rPr>
                <w:sz w:val="20"/>
                <w:szCs w:val="20"/>
                <w:color w:val="auto"/>
              </w:rPr>
            </w:pPr>
            <w:r>
              <w:rPr>
                <w:rFonts w:ascii="Arial" w:cs="Arial" w:eastAsia="Arial" w:hAnsi="Arial"/>
                <w:sz w:val="14"/>
                <w:szCs w:val="14"/>
                <w:b w:val="1"/>
                <w:bCs w:val="1"/>
                <w:color w:val="auto"/>
              </w:rPr>
              <w:t>Income per Diluted Share</w:t>
            </w:r>
          </w:p>
        </w:tc>
        <w:tc>
          <w:tcPr>
            <w:tcW w:w="840" w:type="dxa"/>
            <w:vAlign w:val="bottom"/>
            <w:shd w:val="clear" w:color="auto" w:fill="DCE2EF"/>
          </w:tcPr>
          <w:p>
            <w:pPr>
              <w:spacing w:after="0"/>
              <w:rPr>
                <w:sz w:val="17"/>
                <w:szCs w:val="17"/>
                <w:color w:val="auto"/>
              </w:rPr>
            </w:pPr>
          </w:p>
        </w:tc>
        <w:tc>
          <w:tcPr>
            <w:tcW w:w="46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840" w:type="dxa"/>
            <w:vAlign w:val="bottom"/>
            <w:shd w:val="clear" w:color="auto" w:fill="DCE2EF"/>
          </w:tcPr>
          <w:p>
            <w:pPr>
              <w:spacing w:after="0"/>
              <w:rPr>
                <w:sz w:val="17"/>
                <w:szCs w:val="17"/>
                <w:color w:val="auto"/>
              </w:rPr>
            </w:pPr>
          </w:p>
        </w:tc>
        <w:tc>
          <w:tcPr>
            <w:tcW w:w="440" w:type="dxa"/>
            <w:vAlign w:val="bottom"/>
            <w:shd w:val="clear" w:color="auto" w:fill="DCE2EF"/>
          </w:tcPr>
          <w:p>
            <w:pPr>
              <w:spacing w:after="0"/>
              <w:rPr>
                <w:sz w:val="17"/>
                <w:szCs w:val="17"/>
                <w:color w:val="auto"/>
              </w:rPr>
            </w:pPr>
          </w:p>
        </w:tc>
        <w:tc>
          <w:tcPr>
            <w:tcW w:w="240" w:type="dxa"/>
            <w:vAlign w:val="bottom"/>
            <w:shd w:val="clear" w:color="auto" w:fill="DCE2EF"/>
          </w:tcPr>
          <w:p>
            <w:pPr>
              <w:spacing w:after="0"/>
              <w:rPr>
                <w:sz w:val="17"/>
                <w:szCs w:val="17"/>
                <w:color w:val="auto"/>
              </w:rPr>
            </w:pPr>
          </w:p>
        </w:tc>
        <w:tc>
          <w:tcPr>
            <w:tcW w:w="820" w:type="dxa"/>
            <w:vAlign w:val="bottom"/>
            <w:shd w:val="clear" w:color="auto" w:fill="DCE2EF"/>
          </w:tcPr>
          <w:p>
            <w:pPr>
              <w:spacing w:after="0"/>
              <w:rPr>
                <w:sz w:val="17"/>
                <w:szCs w:val="17"/>
                <w:color w:val="auto"/>
              </w:rPr>
            </w:pPr>
          </w:p>
        </w:tc>
        <w:tc>
          <w:tcPr>
            <w:tcW w:w="460" w:type="dxa"/>
            <w:vAlign w:val="bottom"/>
            <w:shd w:val="clear" w:color="auto" w:fill="DCE2EF"/>
          </w:tcPr>
          <w:p>
            <w:pPr>
              <w:spacing w:after="0"/>
              <w:rPr>
                <w:sz w:val="17"/>
                <w:szCs w:val="17"/>
                <w:color w:val="auto"/>
              </w:rPr>
            </w:pPr>
          </w:p>
        </w:tc>
        <w:tc>
          <w:tcPr>
            <w:tcW w:w="220" w:type="dxa"/>
            <w:vAlign w:val="bottom"/>
            <w:shd w:val="clear" w:color="auto" w:fill="DCE2EF"/>
          </w:tcPr>
          <w:p>
            <w:pPr>
              <w:spacing w:after="0"/>
              <w:rPr>
                <w:sz w:val="17"/>
                <w:szCs w:val="17"/>
                <w:color w:val="auto"/>
              </w:rPr>
            </w:pPr>
          </w:p>
        </w:tc>
        <w:tc>
          <w:tcPr>
            <w:tcW w:w="820" w:type="dxa"/>
            <w:vAlign w:val="bottom"/>
            <w:shd w:val="clear" w:color="auto" w:fill="DCE2EF"/>
          </w:tcPr>
          <w:p>
            <w:pPr>
              <w:spacing w:after="0"/>
              <w:rPr>
                <w:sz w:val="17"/>
                <w:szCs w:val="17"/>
                <w:color w:val="auto"/>
              </w:rPr>
            </w:pPr>
          </w:p>
        </w:tc>
        <w:tc>
          <w:tcPr>
            <w:tcW w:w="460" w:type="dxa"/>
            <w:vAlign w:val="bottom"/>
            <w:shd w:val="clear" w:color="auto" w:fill="DCE2EF"/>
          </w:tcPr>
          <w:p>
            <w:pPr>
              <w:spacing w:after="0"/>
              <w:rPr>
                <w:sz w:val="17"/>
                <w:szCs w:val="17"/>
                <w:color w:val="auto"/>
              </w:rPr>
            </w:pPr>
          </w:p>
        </w:tc>
      </w:tr>
      <w:tr>
        <w:trPr>
          <w:trHeight w:val="259"/>
        </w:trPr>
        <w:tc>
          <w:tcPr>
            <w:tcW w:w="5400" w:type="dxa"/>
            <w:vAlign w:val="bottom"/>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60" w:type="dxa"/>
            <w:vAlign w:val="bottom"/>
            <w:shd w:val="clear" w:color="auto" w:fill="DCE2EF"/>
          </w:tcPr>
          <w:p>
            <w:pPr>
              <w:spacing w:after="0"/>
              <w:rPr>
                <w:sz w:val="22"/>
                <w:szCs w:val="22"/>
                <w:color w:val="auto"/>
              </w:rPr>
            </w:pPr>
          </w:p>
        </w:tc>
        <w:tc>
          <w:tcPr>
            <w:tcW w:w="240" w:type="dxa"/>
            <w:vAlign w:val="bottom"/>
            <w:shd w:val="clear" w:color="auto" w:fill="DCE2EF"/>
          </w:tcPr>
          <w:p>
            <w:pPr>
              <w:spacing w:after="0"/>
              <w:rPr>
                <w:sz w:val="22"/>
                <w:szCs w:val="22"/>
                <w:color w:val="auto"/>
              </w:rPr>
            </w:pPr>
          </w:p>
        </w:tc>
        <w:tc>
          <w:tcPr>
            <w:tcW w:w="840" w:type="dxa"/>
            <w:vAlign w:val="bottom"/>
            <w:shd w:val="clear" w:color="auto" w:fill="DCE2EF"/>
          </w:tcPr>
          <w:p>
            <w:pPr>
              <w:spacing w:after="0"/>
              <w:rPr>
                <w:sz w:val="22"/>
                <w:szCs w:val="22"/>
                <w:color w:val="auto"/>
              </w:rPr>
            </w:pPr>
          </w:p>
        </w:tc>
        <w:tc>
          <w:tcPr>
            <w:tcW w:w="440" w:type="dxa"/>
            <w:vAlign w:val="bottom"/>
            <w:shd w:val="clear" w:color="auto" w:fill="DCE2EF"/>
          </w:tcPr>
          <w:p>
            <w:pPr>
              <w:spacing w:after="0"/>
              <w:rPr>
                <w:sz w:val="22"/>
                <w:szCs w:val="22"/>
                <w:color w:val="auto"/>
              </w:rPr>
            </w:pPr>
          </w:p>
        </w:tc>
        <w:tc>
          <w:tcPr>
            <w:tcW w:w="240" w:type="dxa"/>
            <w:vAlign w:val="bottom"/>
            <w:shd w:val="clear" w:color="auto" w:fill="DCE2EF"/>
          </w:tcPr>
          <w:p>
            <w:pPr>
              <w:spacing w:after="0"/>
              <w:rPr>
                <w:sz w:val="22"/>
                <w:szCs w:val="22"/>
                <w:color w:val="auto"/>
              </w:rPr>
            </w:pPr>
          </w:p>
        </w:tc>
        <w:tc>
          <w:tcPr>
            <w:tcW w:w="820" w:type="dxa"/>
            <w:vAlign w:val="bottom"/>
            <w:shd w:val="clear" w:color="auto" w:fill="DCE2EF"/>
          </w:tcPr>
          <w:p>
            <w:pPr>
              <w:spacing w:after="0"/>
              <w:rPr>
                <w:sz w:val="22"/>
                <w:szCs w:val="22"/>
                <w:color w:val="auto"/>
              </w:rPr>
            </w:pPr>
          </w:p>
        </w:tc>
        <w:tc>
          <w:tcPr>
            <w:tcW w:w="46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820" w:type="dxa"/>
            <w:vAlign w:val="bottom"/>
            <w:shd w:val="clear" w:color="auto" w:fill="DCE2EF"/>
          </w:tcPr>
          <w:p>
            <w:pPr>
              <w:spacing w:after="0"/>
              <w:rPr>
                <w:sz w:val="22"/>
                <w:szCs w:val="22"/>
                <w:color w:val="auto"/>
              </w:rPr>
            </w:pPr>
          </w:p>
        </w:tc>
        <w:tc>
          <w:tcPr>
            <w:tcW w:w="460" w:type="dxa"/>
            <w:vAlign w:val="bottom"/>
            <w:shd w:val="clear" w:color="auto" w:fill="DCE2EF"/>
          </w:tcPr>
          <w:p>
            <w:pPr>
              <w:spacing w:after="0"/>
              <w:rPr>
                <w:sz w:val="22"/>
                <w:szCs w:val="22"/>
                <w:color w:val="auto"/>
              </w:rPr>
            </w:pPr>
          </w:p>
        </w:tc>
      </w:tr>
      <w:tr>
        <w:trPr>
          <w:trHeight w:val="253"/>
        </w:trPr>
        <w:tc>
          <w:tcPr>
            <w:tcW w:w="5400" w:type="dxa"/>
            <w:vAlign w:val="bottom"/>
          </w:tcPr>
          <w:p>
            <w:pPr>
              <w:ind w:left="60"/>
              <w:spacing w:after="0"/>
              <w:rPr>
                <w:sz w:val="20"/>
                <w:szCs w:val="20"/>
                <w:color w:val="auto"/>
              </w:rPr>
            </w:pPr>
            <w:r>
              <w:rPr>
                <w:rFonts w:ascii="Arial" w:cs="Arial" w:eastAsia="Arial" w:hAnsi="Arial"/>
                <w:sz w:val="14"/>
                <w:szCs w:val="14"/>
                <w:color w:val="auto"/>
              </w:rPr>
              <w:t>Net income (loss) per diluted share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0.56</w:t>
            </w:r>
          </w:p>
        </w:tc>
        <w:tc>
          <w:tcPr>
            <w:tcW w:w="1080" w:type="dxa"/>
            <w:vAlign w:val="bottom"/>
            <w:gridSpan w:val="2"/>
          </w:tcPr>
          <w:p>
            <w:pPr>
              <w:jc w:val="center"/>
              <w:ind w:left="56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(0.19)</w:t>
            </w:r>
          </w:p>
        </w:tc>
        <w:tc>
          <w:tcPr>
            <w:tcW w:w="1060" w:type="dxa"/>
            <w:vAlign w:val="bottom"/>
            <w:gridSpan w:val="2"/>
          </w:tcPr>
          <w:p>
            <w:pPr>
              <w:jc w:val="right"/>
              <w:ind w:right="13"/>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2.59</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1.28</w:t>
            </w:r>
          </w:p>
        </w:tc>
      </w:tr>
      <w:tr>
        <w:trPr>
          <w:trHeight w:val="253"/>
        </w:trPr>
        <w:tc>
          <w:tcPr>
            <w:tcW w:w="5400" w:type="dxa"/>
            <w:vAlign w:val="bottom"/>
            <w:shd w:val="clear" w:color="auto" w:fill="DCE2EF"/>
          </w:tcPr>
          <w:p>
            <w:pPr>
              <w:ind w:left="120"/>
              <w:spacing w:after="0"/>
              <w:rPr>
                <w:sz w:val="20"/>
                <w:szCs w:val="20"/>
                <w:color w:val="auto"/>
              </w:rPr>
            </w:pPr>
            <w:r>
              <w:rPr>
                <w:rFonts w:ascii="Arial" w:cs="Arial" w:eastAsia="Arial" w:hAnsi="Arial"/>
                <w:sz w:val="14"/>
                <w:szCs w:val="14"/>
                <w:color w:val="auto"/>
              </w:rPr>
              <w:t>Items impacting comparability, net of taxes</w:t>
            </w:r>
          </w:p>
        </w:tc>
        <w:tc>
          <w:tcPr>
            <w:tcW w:w="840" w:type="dxa"/>
            <w:vAlign w:val="bottom"/>
            <w:shd w:val="clear" w:color="auto" w:fill="DCE2EF"/>
          </w:tcPr>
          <w:p>
            <w:pPr>
              <w:spacing w:after="0"/>
              <w:rPr>
                <w:sz w:val="21"/>
                <w:szCs w:val="21"/>
                <w:color w:val="auto"/>
              </w:rPr>
            </w:pPr>
          </w:p>
        </w:tc>
        <w:tc>
          <w:tcPr>
            <w:tcW w:w="460" w:type="dxa"/>
            <w:vAlign w:val="bottom"/>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840" w:type="dxa"/>
            <w:vAlign w:val="bottom"/>
            <w:shd w:val="clear" w:color="auto" w:fill="DCE2EF"/>
          </w:tcPr>
          <w:p>
            <w:pPr>
              <w:spacing w:after="0"/>
              <w:rPr>
                <w:sz w:val="21"/>
                <w:szCs w:val="21"/>
                <w:color w:val="auto"/>
              </w:rPr>
            </w:pPr>
          </w:p>
        </w:tc>
        <w:tc>
          <w:tcPr>
            <w:tcW w:w="440" w:type="dxa"/>
            <w:vAlign w:val="bottom"/>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820" w:type="dxa"/>
            <w:vAlign w:val="bottom"/>
            <w:shd w:val="clear" w:color="auto" w:fill="DCE2EF"/>
          </w:tcPr>
          <w:p>
            <w:pPr>
              <w:spacing w:after="0"/>
              <w:rPr>
                <w:sz w:val="21"/>
                <w:szCs w:val="21"/>
                <w:color w:val="auto"/>
              </w:rPr>
            </w:pPr>
          </w:p>
        </w:tc>
        <w:tc>
          <w:tcPr>
            <w:tcW w:w="460" w:type="dxa"/>
            <w:vAlign w:val="bottom"/>
            <w:shd w:val="clear" w:color="auto" w:fill="DCE2EF"/>
          </w:tcPr>
          <w:p>
            <w:pPr>
              <w:spacing w:after="0"/>
              <w:rPr>
                <w:sz w:val="21"/>
                <w:szCs w:val="21"/>
                <w:color w:val="auto"/>
              </w:rPr>
            </w:pPr>
          </w:p>
        </w:tc>
        <w:tc>
          <w:tcPr>
            <w:tcW w:w="220" w:type="dxa"/>
            <w:vAlign w:val="bottom"/>
            <w:shd w:val="clear" w:color="auto" w:fill="DCE2EF"/>
          </w:tcPr>
          <w:p>
            <w:pPr>
              <w:spacing w:after="0"/>
              <w:rPr>
                <w:sz w:val="21"/>
                <w:szCs w:val="21"/>
                <w:color w:val="auto"/>
              </w:rPr>
            </w:pPr>
          </w:p>
        </w:tc>
        <w:tc>
          <w:tcPr>
            <w:tcW w:w="820" w:type="dxa"/>
            <w:vAlign w:val="bottom"/>
            <w:shd w:val="clear" w:color="auto" w:fill="DCE2EF"/>
          </w:tcPr>
          <w:p>
            <w:pPr>
              <w:spacing w:after="0"/>
              <w:rPr>
                <w:sz w:val="21"/>
                <w:szCs w:val="21"/>
                <w:color w:val="auto"/>
              </w:rPr>
            </w:pPr>
          </w:p>
        </w:tc>
        <w:tc>
          <w:tcPr>
            <w:tcW w:w="460" w:type="dxa"/>
            <w:vAlign w:val="bottom"/>
            <w:shd w:val="clear" w:color="auto" w:fill="DCE2EF"/>
          </w:tcPr>
          <w:p>
            <w:pPr>
              <w:spacing w:after="0"/>
              <w:rPr>
                <w:sz w:val="21"/>
                <w:szCs w:val="21"/>
                <w:color w:val="auto"/>
              </w:rPr>
            </w:pPr>
          </w:p>
        </w:tc>
      </w:tr>
      <w:tr>
        <w:trPr>
          <w:trHeight w:val="233"/>
        </w:trPr>
        <w:tc>
          <w:tcPr>
            <w:tcW w:w="5400" w:type="dxa"/>
            <w:vAlign w:val="bottom"/>
            <w:tcBorders>
              <w:bottom w:val="single" w:sz="8" w:color="DCE2EF"/>
            </w:tcBorders>
            <w:shd w:val="clear" w:color="auto" w:fill="DCE2EF"/>
          </w:tcPr>
          <w:p>
            <w:pPr>
              <w:spacing w:after="0"/>
              <w:rPr>
                <w:sz w:val="20"/>
                <w:szCs w:val="20"/>
                <w:color w:val="auto"/>
              </w:rPr>
            </w:pPr>
          </w:p>
        </w:tc>
        <w:tc>
          <w:tcPr>
            <w:tcW w:w="840" w:type="dxa"/>
            <w:vAlign w:val="bottom"/>
            <w:tcBorders>
              <w:bottom w:val="single" w:sz="8" w:color="auto"/>
            </w:tcBorders>
            <w:shd w:val="clear" w:color="auto" w:fill="DCE2EF"/>
          </w:tcPr>
          <w:p>
            <w:pPr>
              <w:spacing w:after="0"/>
              <w:rPr>
                <w:sz w:val="20"/>
                <w:szCs w:val="20"/>
                <w:color w:val="auto"/>
              </w:rPr>
            </w:pPr>
          </w:p>
        </w:tc>
        <w:tc>
          <w:tcPr>
            <w:tcW w:w="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0.32</w:t>
            </w:r>
          </w:p>
        </w:tc>
        <w:tc>
          <w:tcPr>
            <w:tcW w:w="240" w:type="dxa"/>
            <w:vAlign w:val="bottom"/>
            <w:tcBorders>
              <w:bottom w:val="single" w:sz="8" w:color="DCE2EF"/>
            </w:tcBorders>
            <w:shd w:val="clear" w:color="auto" w:fill="DCE2EF"/>
          </w:tcPr>
          <w:p>
            <w:pPr>
              <w:spacing w:after="0"/>
              <w:rPr>
                <w:sz w:val="20"/>
                <w:szCs w:val="20"/>
                <w:color w:val="auto"/>
              </w:rPr>
            </w:pPr>
          </w:p>
        </w:tc>
        <w:tc>
          <w:tcPr>
            <w:tcW w:w="840" w:type="dxa"/>
            <w:vAlign w:val="bottom"/>
            <w:tcBorders>
              <w:bottom w:val="single" w:sz="8" w:color="auto"/>
            </w:tcBorders>
            <w:shd w:val="clear" w:color="auto" w:fill="DCE2EF"/>
          </w:tcPr>
          <w:p>
            <w:pPr>
              <w:spacing w:after="0"/>
              <w:rPr>
                <w:sz w:val="20"/>
                <w:szCs w:val="20"/>
                <w:color w:val="auto"/>
              </w:rPr>
            </w:pPr>
          </w:p>
        </w:tc>
        <w:tc>
          <w:tcPr>
            <w:tcW w:w="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1.07</w:t>
            </w:r>
          </w:p>
        </w:tc>
        <w:tc>
          <w:tcPr>
            <w:tcW w:w="24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auto"/>
            </w:tcBorders>
            <w:shd w:val="clear" w:color="auto" w:fill="DCE2EF"/>
          </w:tcPr>
          <w:p>
            <w:pPr>
              <w:spacing w:after="0"/>
              <w:rPr>
                <w:sz w:val="20"/>
                <w:szCs w:val="20"/>
                <w:color w:val="auto"/>
              </w:rPr>
            </w:pPr>
          </w:p>
        </w:tc>
        <w:tc>
          <w:tcPr>
            <w:tcW w:w="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0.85</w:t>
            </w:r>
          </w:p>
        </w:tc>
        <w:tc>
          <w:tcPr>
            <w:tcW w:w="220" w:type="dxa"/>
            <w:vAlign w:val="bottom"/>
            <w:tcBorders>
              <w:bottom w:val="single" w:sz="8" w:color="DCE2EF"/>
            </w:tcBorders>
            <w:shd w:val="clear" w:color="auto" w:fill="DCE2EF"/>
          </w:tcPr>
          <w:p>
            <w:pPr>
              <w:spacing w:after="0"/>
              <w:rPr>
                <w:sz w:val="20"/>
                <w:szCs w:val="20"/>
                <w:color w:val="auto"/>
              </w:rPr>
            </w:pPr>
          </w:p>
        </w:tc>
        <w:tc>
          <w:tcPr>
            <w:tcW w:w="820" w:type="dxa"/>
            <w:vAlign w:val="bottom"/>
            <w:tcBorders>
              <w:bottom w:val="single" w:sz="8" w:color="auto"/>
            </w:tcBorders>
            <w:shd w:val="clear" w:color="auto" w:fill="DCE2EF"/>
          </w:tcPr>
          <w:p>
            <w:pPr>
              <w:spacing w:after="0"/>
              <w:rPr>
                <w:sz w:val="20"/>
                <w:szCs w:val="20"/>
                <w:color w:val="auto"/>
              </w:rPr>
            </w:pPr>
          </w:p>
        </w:tc>
        <w:tc>
          <w:tcPr>
            <w:tcW w:w="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2.06</w:t>
            </w:r>
          </w:p>
        </w:tc>
      </w:tr>
      <w:tr>
        <w:trPr>
          <w:trHeight w:val="219"/>
        </w:trPr>
        <w:tc>
          <w:tcPr>
            <w:tcW w:w="5400" w:type="dxa"/>
            <w:vAlign w:val="bottom"/>
          </w:tcPr>
          <w:p>
            <w:pPr>
              <w:ind w:left="60"/>
              <w:spacing w:after="0"/>
              <w:rPr>
                <w:sz w:val="20"/>
                <w:szCs w:val="20"/>
                <w:color w:val="auto"/>
              </w:rPr>
            </w:pPr>
            <w:r>
              <w:rPr>
                <w:rFonts w:ascii="Arial" w:cs="Arial" w:eastAsia="Arial" w:hAnsi="Arial"/>
                <w:sz w:val="14"/>
                <w:szCs w:val="14"/>
                <w:color w:val="auto"/>
              </w:rPr>
              <w:t>Adjusted Net Income per diluted share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0.88</w:t>
            </w: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0.88</w:t>
            </w:r>
          </w:p>
        </w:tc>
        <w:tc>
          <w:tcPr>
            <w:tcW w:w="1060" w:type="dxa"/>
            <w:vAlign w:val="bottom"/>
            <w:gridSpan w:val="2"/>
          </w:tcPr>
          <w:p>
            <w:pPr>
              <w:jc w:val="right"/>
              <w:ind w:right="13"/>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3.44</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3.34</w:t>
            </w:r>
          </w:p>
        </w:tc>
      </w:tr>
      <w:tr>
        <w:trPr>
          <w:trHeight w:val="22"/>
        </w:trPr>
        <w:tc>
          <w:tcPr>
            <w:tcW w:w="54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450"/>
        </w:trPr>
        <w:tc>
          <w:tcPr>
            <w:tcW w:w="5400" w:type="dxa"/>
            <w:vAlign w:val="bottom"/>
          </w:tcPr>
          <w:p>
            <w:pPr>
              <w:spacing w:after="0"/>
              <w:rPr>
                <w:sz w:val="24"/>
                <w:szCs w:val="24"/>
                <w:color w:val="auto"/>
              </w:rPr>
            </w:pPr>
          </w:p>
        </w:tc>
        <w:tc>
          <w:tcPr>
            <w:tcW w:w="2820" w:type="dxa"/>
            <w:vAlign w:val="bottom"/>
            <w:tcBorders>
              <w:bottom w:val="single" w:sz="8" w:color="auto"/>
            </w:tcBorders>
            <w:gridSpan w:val="5"/>
          </w:tcPr>
          <w:p>
            <w:pPr>
              <w:jc w:val="right"/>
              <w:ind w:right="266"/>
              <w:spacing w:after="0"/>
              <w:rPr>
                <w:sz w:val="20"/>
                <w:szCs w:val="20"/>
                <w:color w:val="auto"/>
              </w:rPr>
            </w:pPr>
            <w:r>
              <w:rPr>
                <w:rFonts w:ascii="Arial" w:cs="Arial" w:eastAsia="Arial" w:hAnsi="Arial"/>
                <w:sz w:val="13"/>
                <w:szCs w:val="13"/>
                <w:b w:val="1"/>
                <w:bCs w:val="1"/>
                <w:color w:val="auto"/>
              </w:rPr>
              <w:t>Three Months Ended October 31,</w:t>
            </w:r>
          </w:p>
        </w:tc>
        <w:tc>
          <w:tcPr>
            <w:tcW w:w="240" w:type="dxa"/>
            <w:vAlign w:val="bottom"/>
          </w:tcPr>
          <w:p>
            <w:pPr>
              <w:spacing w:after="0"/>
              <w:rPr>
                <w:sz w:val="24"/>
                <w:szCs w:val="24"/>
                <w:color w:val="auto"/>
              </w:rPr>
            </w:pPr>
          </w:p>
        </w:tc>
        <w:tc>
          <w:tcPr>
            <w:tcW w:w="23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b w:val="1"/>
                <w:bCs w:val="1"/>
                <w:color w:val="auto"/>
              </w:rPr>
              <w:t>Years Ended October 31,</w:t>
            </w:r>
          </w:p>
        </w:tc>
        <w:tc>
          <w:tcPr>
            <w:tcW w:w="460" w:type="dxa"/>
            <w:vAlign w:val="bottom"/>
            <w:tcBorders>
              <w:bottom w:val="single" w:sz="8" w:color="auto"/>
            </w:tcBorders>
          </w:tcPr>
          <w:p>
            <w:pPr>
              <w:spacing w:after="0"/>
              <w:rPr>
                <w:sz w:val="24"/>
                <w:szCs w:val="24"/>
                <w:color w:val="auto"/>
              </w:rPr>
            </w:pPr>
          </w:p>
        </w:tc>
      </w:tr>
      <w:tr>
        <w:trPr>
          <w:trHeight w:val="232"/>
        </w:trPr>
        <w:tc>
          <w:tcPr>
            <w:tcW w:w="5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460" w:type="dxa"/>
            <w:vAlign w:val="bottom"/>
          </w:tcPr>
          <w:p>
            <w:pPr>
              <w:spacing w:after="0"/>
              <w:rPr>
                <w:sz w:val="20"/>
                <w:szCs w:val="20"/>
                <w:color w:val="auto"/>
              </w:rPr>
            </w:pPr>
          </w:p>
        </w:tc>
        <w:tc>
          <w:tcPr>
            <w:tcW w:w="1080" w:type="dxa"/>
            <w:vAlign w:val="bottom"/>
            <w:gridSpan w:val="2"/>
          </w:tcPr>
          <w:p>
            <w:pPr>
              <w:jc w:val="center"/>
              <w:ind w:left="628"/>
              <w:spacing w:after="0"/>
              <w:rPr>
                <w:sz w:val="20"/>
                <w:szCs w:val="20"/>
                <w:color w:val="auto"/>
              </w:rPr>
            </w:pPr>
            <w:r>
              <w:rPr>
                <w:rFonts w:ascii="Arial" w:cs="Arial" w:eastAsia="Arial" w:hAnsi="Arial"/>
                <w:sz w:val="13"/>
                <w:szCs w:val="13"/>
                <w:b w:val="1"/>
                <w:bCs w:val="1"/>
                <w:color w:val="auto"/>
              </w:rPr>
              <w:t>2024</w:t>
            </w:r>
          </w:p>
        </w:tc>
        <w:tc>
          <w:tcPr>
            <w:tcW w:w="4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2025</w:t>
            </w:r>
          </w:p>
        </w:tc>
        <w:tc>
          <w:tcPr>
            <w:tcW w:w="4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2024</w:t>
            </w:r>
          </w:p>
        </w:tc>
        <w:tc>
          <w:tcPr>
            <w:tcW w:w="460" w:type="dxa"/>
            <w:vAlign w:val="bottom"/>
          </w:tcPr>
          <w:p>
            <w:pPr>
              <w:spacing w:after="0"/>
              <w:rPr>
                <w:sz w:val="20"/>
                <w:szCs w:val="20"/>
                <w:color w:val="auto"/>
              </w:rPr>
            </w:pPr>
          </w:p>
        </w:tc>
      </w:tr>
      <w:tr>
        <w:trPr>
          <w:trHeight w:val="183"/>
        </w:trPr>
        <w:tc>
          <w:tcPr>
            <w:tcW w:w="540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Reconciliation of Net Cash Provided by Operating Activities to Free</w:t>
            </w:r>
          </w:p>
        </w:tc>
        <w:tc>
          <w:tcPr>
            <w:tcW w:w="840" w:type="dxa"/>
            <w:vAlign w:val="bottom"/>
            <w:tcBorders>
              <w:top w:val="single" w:sz="8" w:color="auto"/>
            </w:tcBorders>
            <w:shd w:val="clear" w:color="auto" w:fill="DCE2EF"/>
          </w:tcPr>
          <w:p>
            <w:pPr>
              <w:spacing w:after="0"/>
              <w:rPr>
                <w:sz w:val="15"/>
                <w:szCs w:val="15"/>
                <w:color w:val="auto"/>
              </w:rPr>
            </w:pPr>
          </w:p>
        </w:tc>
        <w:tc>
          <w:tcPr>
            <w:tcW w:w="460" w:type="dxa"/>
            <w:vAlign w:val="bottom"/>
            <w:tcBorders>
              <w:top w:val="single" w:sz="8" w:color="auto"/>
            </w:tcBorders>
            <w:shd w:val="clear" w:color="auto" w:fill="DCE2EF"/>
          </w:tcPr>
          <w:p>
            <w:pPr>
              <w:spacing w:after="0"/>
              <w:rPr>
                <w:sz w:val="15"/>
                <w:szCs w:val="15"/>
                <w:color w:val="auto"/>
              </w:rPr>
            </w:pPr>
          </w:p>
        </w:tc>
        <w:tc>
          <w:tcPr>
            <w:tcW w:w="240" w:type="dxa"/>
            <w:vAlign w:val="bottom"/>
            <w:shd w:val="clear" w:color="auto" w:fill="DCE2EF"/>
          </w:tcPr>
          <w:p>
            <w:pPr>
              <w:spacing w:after="0"/>
              <w:rPr>
                <w:sz w:val="15"/>
                <w:szCs w:val="15"/>
                <w:color w:val="auto"/>
              </w:rPr>
            </w:pPr>
          </w:p>
        </w:tc>
        <w:tc>
          <w:tcPr>
            <w:tcW w:w="840" w:type="dxa"/>
            <w:vAlign w:val="bottom"/>
            <w:tcBorders>
              <w:top w:val="single" w:sz="8" w:color="auto"/>
            </w:tcBorders>
            <w:shd w:val="clear" w:color="auto" w:fill="DCE2EF"/>
          </w:tcPr>
          <w:p>
            <w:pPr>
              <w:spacing w:after="0"/>
              <w:rPr>
                <w:sz w:val="15"/>
                <w:szCs w:val="15"/>
                <w:color w:val="auto"/>
              </w:rPr>
            </w:pPr>
          </w:p>
        </w:tc>
        <w:tc>
          <w:tcPr>
            <w:tcW w:w="440" w:type="dxa"/>
            <w:vAlign w:val="bottom"/>
            <w:tcBorders>
              <w:top w:val="single" w:sz="8" w:color="auto"/>
            </w:tcBorders>
            <w:shd w:val="clear" w:color="auto" w:fill="DCE2EF"/>
          </w:tcPr>
          <w:p>
            <w:pPr>
              <w:spacing w:after="0"/>
              <w:rPr>
                <w:sz w:val="15"/>
                <w:szCs w:val="15"/>
                <w:color w:val="auto"/>
              </w:rPr>
            </w:pPr>
          </w:p>
        </w:tc>
        <w:tc>
          <w:tcPr>
            <w:tcW w:w="240" w:type="dxa"/>
            <w:vAlign w:val="bottom"/>
            <w:shd w:val="clear" w:color="auto" w:fill="DCE2EF"/>
          </w:tcPr>
          <w:p>
            <w:pPr>
              <w:spacing w:after="0"/>
              <w:rPr>
                <w:sz w:val="15"/>
                <w:szCs w:val="15"/>
                <w:color w:val="auto"/>
              </w:rPr>
            </w:pPr>
          </w:p>
        </w:tc>
        <w:tc>
          <w:tcPr>
            <w:tcW w:w="820" w:type="dxa"/>
            <w:vAlign w:val="bottom"/>
            <w:tcBorders>
              <w:top w:val="single" w:sz="8" w:color="auto"/>
            </w:tcBorders>
            <w:shd w:val="clear" w:color="auto" w:fill="DCE2EF"/>
          </w:tcPr>
          <w:p>
            <w:pPr>
              <w:spacing w:after="0"/>
              <w:rPr>
                <w:sz w:val="15"/>
                <w:szCs w:val="15"/>
                <w:color w:val="auto"/>
              </w:rPr>
            </w:pPr>
          </w:p>
        </w:tc>
        <w:tc>
          <w:tcPr>
            <w:tcW w:w="460" w:type="dxa"/>
            <w:vAlign w:val="bottom"/>
            <w:tcBorders>
              <w:top w:val="single" w:sz="8" w:color="auto"/>
            </w:tcBorders>
            <w:shd w:val="clear" w:color="auto" w:fill="DCE2EF"/>
          </w:tcPr>
          <w:p>
            <w:pPr>
              <w:spacing w:after="0"/>
              <w:rPr>
                <w:sz w:val="15"/>
                <w:szCs w:val="15"/>
                <w:color w:val="auto"/>
              </w:rPr>
            </w:pPr>
          </w:p>
        </w:tc>
        <w:tc>
          <w:tcPr>
            <w:tcW w:w="220" w:type="dxa"/>
            <w:vAlign w:val="bottom"/>
            <w:shd w:val="clear" w:color="auto" w:fill="DCE2EF"/>
          </w:tcPr>
          <w:p>
            <w:pPr>
              <w:spacing w:after="0"/>
              <w:rPr>
                <w:sz w:val="15"/>
                <w:szCs w:val="15"/>
                <w:color w:val="auto"/>
              </w:rPr>
            </w:pPr>
          </w:p>
        </w:tc>
        <w:tc>
          <w:tcPr>
            <w:tcW w:w="820" w:type="dxa"/>
            <w:vAlign w:val="bottom"/>
            <w:tcBorders>
              <w:top w:val="single" w:sz="8" w:color="auto"/>
            </w:tcBorders>
            <w:shd w:val="clear" w:color="auto" w:fill="DCE2EF"/>
          </w:tcPr>
          <w:p>
            <w:pPr>
              <w:spacing w:after="0"/>
              <w:rPr>
                <w:sz w:val="15"/>
                <w:szCs w:val="15"/>
                <w:color w:val="auto"/>
              </w:rPr>
            </w:pPr>
          </w:p>
        </w:tc>
        <w:tc>
          <w:tcPr>
            <w:tcW w:w="460" w:type="dxa"/>
            <w:vAlign w:val="bottom"/>
            <w:tcBorders>
              <w:top w:val="single" w:sz="8" w:color="auto"/>
            </w:tcBorders>
            <w:shd w:val="clear" w:color="auto" w:fill="DCE2EF"/>
          </w:tcPr>
          <w:p>
            <w:pPr>
              <w:spacing w:after="0"/>
              <w:rPr>
                <w:sz w:val="15"/>
                <w:szCs w:val="15"/>
                <w:color w:val="auto"/>
              </w:rPr>
            </w:pPr>
          </w:p>
        </w:tc>
      </w:tr>
      <w:tr>
        <w:trPr>
          <w:trHeight w:val="222"/>
        </w:trPr>
        <w:tc>
          <w:tcPr>
            <w:tcW w:w="5400" w:type="dxa"/>
            <w:vAlign w:val="bottom"/>
            <w:shd w:val="clear" w:color="auto" w:fill="DCE2EF"/>
          </w:tcPr>
          <w:p>
            <w:pPr>
              <w:ind w:left="60"/>
              <w:spacing w:after="0"/>
              <w:rPr>
                <w:sz w:val="20"/>
                <w:szCs w:val="20"/>
                <w:color w:val="auto"/>
              </w:rPr>
            </w:pPr>
            <w:r>
              <w:rPr>
                <w:rFonts w:ascii="Arial" w:cs="Arial" w:eastAsia="Arial" w:hAnsi="Arial"/>
                <w:sz w:val="15"/>
                <w:szCs w:val="15"/>
                <w:b w:val="1"/>
                <w:bCs w:val="1"/>
                <w:color w:val="auto"/>
              </w:rPr>
              <w:t>Cash Flow</w:t>
            </w:r>
          </w:p>
        </w:tc>
        <w:tc>
          <w:tcPr>
            <w:tcW w:w="84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840" w:type="dxa"/>
            <w:vAlign w:val="bottom"/>
            <w:shd w:val="clear" w:color="auto" w:fill="DCE2EF"/>
          </w:tcPr>
          <w:p>
            <w:pPr>
              <w:spacing w:after="0"/>
              <w:rPr>
                <w:sz w:val="19"/>
                <w:szCs w:val="19"/>
                <w:color w:val="auto"/>
              </w:rPr>
            </w:pPr>
          </w:p>
        </w:tc>
        <w:tc>
          <w:tcPr>
            <w:tcW w:w="440" w:type="dxa"/>
            <w:vAlign w:val="bottom"/>
            <w:shd w:val="clear" w:color="auto" w:fill="DCE2EF"/>
          </w:tcPr>
          <w:p>
            <w:pPr>
              <w:spacing w:after="0"/>
              <w:rPr>
                <w:sz w:val="19"/>
                <w:szCs w:val="19"/>
                <w:color w:val="auto"/>
              </w:rPr>
            </w:pPr>
          </w:p>
        </w:tc>
        <w:tc>
          <w:tcPr>
            <w:tcW w:w="24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c>
          <w:tcPr>
            <w:tcW w:w="220" w:type="dxa"/>
            <w:vAlign w:val="bottom"/>
            <w:shd w:val="clear" w:color="auto" w:fill="DCE2EF"/>
          </w:tcPr>
          <w:p>
            <w:pPr>
              <w:spacing w:after="0"/>
              <w:rPr>
                <w:sz w:val="19"/>
                <w:szCs w:val="19"/>
                <w:color w:val="auto"/>
              </w:rPr>
            </w:pPr>
          </w:p>
        </w:tc>
        <w:tc>
          <w:tcPr>
            <w:tcW w:w="820" w:type="dxa"/>
            <w:vAlign w:val="bottom"/>
            <w:shd w:val="clear" w:color="auto" w:fill="DCE2EF"/>
          </w:tcPr>
          <w:p>
            <w:pPr>
              <w:spacing w:after="0"/>
              <w:rPr>
                <w:sz w:val="19"/>
                <w:szCs w:val="19"/>
                <w:color w:val="auto"/>
              </w:rPr>
            </w:pPr>
          </w:p>
        </w:tc>
        <w:tc>
          <w:tcPr>
            <w:tcW w:w="460" w:type="dxa"/>
            <w:vAlign w:val="bottom"/>
            <w:shd w:val="clear" w:color="auto" w:fill="DCE2EF"/>
          </w:tcPr>
          <w:p>
            <w:pPr>
              <w:spacing w:after="0"/>
              <w:rPr>
                <w:sz w:val="19"/>
                <w:szCs w:val="19"/>
                <w:color w:val="auto"/>
              </w:rPr>
            </w:pPr>
          </w:p>
        </w:tc>
      </w:tr>
      <w:tr>
        <w:trPr>
          <w:trHeight w:val="253"/>
        </w:trPr>
        <w:tc>
          <w:tcPr>
            <w:tcW w:w="5400" w:type="dxa"/>
            <w:vAlign w:val="bottom"/>
          </w:tcPr>
          <w:p>
            <w:pPr>
              <w:ind w:left="60"/>
              <w:spacing w:after="0"/>
              <w:rPr>
                <w:sz w:val="20"/>
                <w:szCs w:val="20"/>
                <w:color w:val="auto"/>
              </w:rPr>
            </w:pPr>
            <w:r>
              <w:rPr>
                <w:rFonts w:ascii="Arial" w:cs="Arial" w:eastAsia="Arial" w:hAnsi="Arial"/>
                <w:sz w:val="15"/>
                <w:szCs w:val="15"/>
                <w:color w:val="auto"/>
              </w:rPr>
              <w:t>Net cash provided by operating activities</w:t>
            </w:r>
          </w:p>
        </w:tc>
        <w:tc>
          <w:tcPr>
            <w:tcW w:w="840" w:type="dxa"/>
            <w:vAlign w:val="bottom"/>
          </w:tcPr>
          <w:p>
            <w:pPr>
              <w:jc w:val="right"/>
              <w:ind w:right="109"/>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133.4</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30.3</w:t>
            </w:r>
          </w:p>
        </w:tc>
        <w:tc>
          <w:tcPr>
            <w:tcW w:w="1060" w:type="dxa"/>
            <w:vAlign w:val="bottom"/>
            <w:gridSpan w:val="2"/>
          </w:tcPr>
          <w:p>
            <w:pPr>
              <w:jc w:val="right"/>
              <w:ind w:right="113"/>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234.4</w:t>
            </w: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226.7</w:t>
            </w:r>
          </w:p>
        </w:tc>
      </w:tr>
      <w:tr>
        <w:trPr>
          <w:trHeight w:val="259"/>
        </w:trPr>
        <w:tc>
          <w:tcPr>
            <w:tcW w:w="5400" w:type="dxa"/>
            <w:vAlign w:val="bottom"/>
            <w:tcBorders>
              <w:bottom w:val="single" w:sz="8" w:color="DCE2EF"/>
            </w:tcBorders>
            <w:shd w:val="clear" w:color="auto" w:fill="DCE2EF"/>
          </w:tcPr>
          <w:p>
            <w:pPr>
              <w:ind w:left="120"/>
              <w:spacing w:after="0"/>
              <w:rPr>
                <w:sz w:val="20"/>
                <w:szCs w:val="20"/>
                <w:color w:val="auto"/>
              </w:rPr>
            </w:pPr>
            <w:r>
              <w:rPr>
                <w:rFonts w:ascii="Arial" w:cs="Arial" w:eastAsia="Arial" w:hAnsi="Arial"/>
                <w:sz w:val="15"/>
                <w:szCs w:val="15"/>
                <w:color w:val="auto"/>
              </w:rPr>
              <w:t>Additions to property, plant and equipment</w:t>
            </w:r>
          </w:p>
        </w:tc>
        <w:tc>
          <w:tcPr>
            <w:tcW w:w="840" w:type="dxa"/>
            <w:vAlign w:val="bottom"/>
            <w:tcBorders>
              <w:bottom w:val="single" w:sz="8" w:color="auto"/>
            </w:tcBorders>
            <w:shd w:val="clear" w:color="auto" w:fill="DCE2EF"/>
          </w:tcPr>
          <w:p>
            <w:pPr>
              <w:spacing w:after="0"/>
              <w:rPr>
                <w:sz w:val="22"/>
                <w:szCs w:val="22"/>
                <w:color w:val="auto"/>
              </w:rPr>
            </w:pPr>
          </w:p>
        </w:tc>
        <w:tc>
          <w:tcPr>
            <w:tcW w:w="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(20.7)</w:t>
            </w:r>
          </w:p>
        </w:tc>
        <w:tc>
          <w:tcPr>
            <w:tcW w:w="240" w:type="dxa"/>
            <w:vAlign w:val="bottom"/>
            <w:tcBorders>
              <w:bottom w:val="single" w:sz="8" w:color="DCE2EF"/>
            </w:tcBorders>
            <w:shd w:val="clear" w:color="auto" w:fill="DCE2EF"/>
          </w:tcPr>
          <w:p>
            <w:pPr>
              <w:spacing w:after="0"/>
              <w:rPr>
                <w:sz w:val="22"/>
                <w:szCs w:val="22"/>
                <w:color w:val="auto"/>
              </w:rPr>
            </w:pPr>
          </w:p>
        </w:tc>
        <w:tc>
          <w:tcPr>
            <w:tcW w:w="840" w:type="dxa"/>
            <w:vAlign w:val="bottom"/>
            <w:tcBorders>
              <w:bottom w:val="single" w:sz="8" w:color="auto"/>
            </w:tcBorders>
            <w:shd w:val="clear" w:color="auto" w:fill="DCE2EF"/>
          </w:tcPr>
          <w:p>
            <w:pPr>
              <w:spacing w:after="0"/>
              <w:rPr>
                <w:sz w:val="22"/>
                <w:szCs w:val="22"/>
                <w:color w:val="auto"/>
              </w:rPr>
            </w:pPr>
          </w:p>
        </w:tc>
        <w:tc>
          <w:tcPr>
            <w:tcW w:w="4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(14.8)</w:t>
            </w:r>
          </w:p>
        </w:tc>
        <w:tc>
          <w:tcPr>
            <w:tcW w:w="240" w:type="dxa"/>
            <w:vAlign w:val="bottom"/>
            <w:tcBorders>
              <w:bottom w:val="single" w:sz="8" w:color="DCE2EF"/>
            </w:tcBorders>
            <w:shd w:val="clear" w:color="auto" w:fill="DCE2EF"/>
          </w:tcPr>
          <w:p>
            <w:pPr>
              <w:spacing w:after="0"/>
              <w:rPr>
                <w:sz w:val="22"/>
                <w:szCs w:val="22"/>
                <w:color w:val="auto"/>
              </w:rPr>
            </w:pPr>
          </w:p>
        </w:tc>
        <w:tc>
          <w:tcPr>
            <w:tcW w:w="820" w:type="dxa"/>
            <w:vAlign w:val="bottom"/>
            <w:tcBorders>
              <w:bottom w:val="single" w:sz="8" w:color="auto"/>
            </w:tcBorders>
            <w:shd w:val="clear" w:color="auto" w:fill="DCE2EF"/>
          </w:tcPr>
          <w:p>
            <w:pPr>
              <w:spacing w:after="0"/>
              <w:rPr>
                <w:sz w:val="22"/>
                <w:szCs w:val="22"/>
                <w:color w:val="auto"/>
              </w:rPr>
            </w:pPr>
          </w:p>
        </w:tc>
        <w:tc>
          <w:tcPr>
            <w:tcW w:w="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(79.3)</w:t>
            </w:r>
          </w:p>
        </w:tc>
        <w:tc>
          <w:tcPr>
            <w:tcW w:w="220" w:type="dxa"/>
            <w:vAlign w:val="bottom"/>
            <w:tcBorders>
              <w:bottom w:val="single" w:sz="8" w:color="DCE2EF"/>
            </w:tcBorders>
            <w:shd w:val="clear" w:color="auto" w:fill="DCE2EF"/>
          </w:tcPr>
          <w:p>
            <w:pPr>
              <w:spacing w:after="0"/>
              <w:rPr>
                <w:sz w:val="22"/>
                <w:szCs w:val="22"/>
                <w:color w:val="auto"/>
              </w:rPr>
            </w:pPr>
          </w:p>
        </w:tc>
        <w:tc>
          <w:tcPr>
            <w:tcW w:w="820" w:type="dxa"/>
            <w:vAlign w:val="bottom"/>
            <w:tcBorders>
              <w:bottom w:val="single" w:sz="8" w:color="auto"/>
            </w:tcBorders>
            <w:shd w:val="clear" w:color="auto" w:fill="DCE2EF"/>
          </w:tcPr>
          <w:p>
            <w:pPr>
              <w:spacing w:after="0"/>
              <w:rPr>
                <w:sz w:val="22"/>
                <w:szCs w:val="22"/>
                <w:color w:val="auto"/>
              </w:rPr>
            </w:pPr>
          </w:p>
        </w:tc>
        <w:tc>
          <w:tcPr>
            <w:tcW w:w="46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5"/>
                <w:szCs w:val="15"/>
                <w:color w:val="auto"/>
              </w:rPr>
              <w:t>(59.4)</w:t>
            </w:r>
          </w:p>
        </w:tc>
      </w:tr>
      <w:tr>
        <w:trPr>
          <w:trHeight w:val="230"/>
        </w:trPr>
        <w:tc>
          <w:tcPr>
            <w:tcW w:w="5400" w:type="dxa"/>
            <w:vAlign w:val="bottom"/>
          </w:tcPr>
          <w:p>
            <w:pPr>
              <w:ind w:left="60"/>
              <w:spacing w:after="0"/>
              <w:rPr>
                <w:sz w:val="20"/>
                <w:szCs w:val="20"/>
                <w:color w:val="auto"/>
              </w:rPr>
            </w:pPr>
            <w:r>
              <w:rPr>
                <w:rFonts w:ascii="Arial" w:cs="Arial" w:eastAsia="Arial" w:hAnsi="Arial"/>
                <w:sz w:val="15"/>
                <w:szCs w:val="15"/>
                <w:color w:val="auto"/>
              </w:rPr>
              <w:t>Free Cash Flow</w:t>
            </w:r>
          </w:p>
        </w:tc>
        <w:tc>
          <w:tcPr>
            <w:tcW w:w="840" w:type="dxa"/>
            <w:vAlign w:val="bottom"/>
          </w:tcPr>
          <w:p>
            <w:pPr>
              <w:jc w:val="right"/>
              <w:ind w:right="109"/>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112.7</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15.5</w:t>
            </w:r>
          </w:p>
        </w:tc>
        <w:tc>
          <w:tcPr>
            <w:tcW w:w="1060" w:type="dxa"/>
            <w:vAlign w:val="bottom"/>
            <w:gridSpan w:val="2"/>
          </w:tcPr>
          <w:p>
            <w:pPr>
              <w:jc w:val="right"/>
              <w:ind w:right="113"/>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155.1</w:t>
            </w: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167.3</w:t>
            </w:r>
          </w:p>
        </w:tc>
      </w:tr>
      <w:tr>
        <w:trPr>
          <w:trHeight w:val="27"/>
        </w:trPr>
        <w:tc>
          <w:tcPr>
            <w:tcW w:w="540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-2308225</wp:posOffset>
            </wp:positionV>
            <wp:extent cx="146050" cy="11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-2308225</wp:posOffset>
            </wp:positionV>
            <wp:extent cx="146050" cy="11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-2308225</wp:posOffset>
            </wp:positionV>
            <wp:extent cx="137160" cy="11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-1416685</wp:posOffset>
            </wp:positionV>
            <wp:extent cx="146050" cy="11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-1416685</wp:posOffset>
            </wp:positionV>
            <wp:extent cx="146050" cy="11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-1416685</wp:posOffset>
            </wp:positionV>
            <wp:extent cx="137160" cy="114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-790575</wp:posOffset>
            </wp:positionV>
            <wp:extent cx="146050" cy="114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-790575</wp:posOffset>
            </wp:positionV>
            <wp:extent cx="146050" cy="114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-790575</wp:posOffset>
            </wp:positionV>
            <wp:extent cx="137160" cy="11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-199390</wp:posOffset>
            </wp:positionV>
            <wp:extent cx="146050" cy="11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-199390</wp:posOffset>
            </wp:positionV>
            <wp:extent cx="146050" cy="114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-199390</wp:posOffset>
            </wp:positionV>
            <wp:extent cx="137160" cy="114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215" w:lineRule="exact"/>
        <w:rPr>
          <w:sz w:val="20"/>
          <w:szCs w:val="20"/>
          <w:color w:val="auto"/>
        </w:rPr>
      </w:pPr>
    </w:p>
    <w:p>
      <w:pPr>
        <w:ind w:firstLine="8"/>
        <w:spacing w:after="0"/>
        <w:tabs>
          <w:tab w:leader="none" w:pos="131" w:val="left"/>
        </w:tabs>
        <w:numPr>
          <w:ilvl w:val="0"/>
          <w:numId w:val="21"/>
        </w:numPr>
        <w:rPr>
          <w:rFonts w:ascii="Arial" w:cs="Arial" w:eastAsia="Arial" w:hAnsi="Arial"/>
          <w:sz w:val="15"/>
          <w:szCs w:val="15"/>
          <w:color w:val="auto"/>
          <w:vertAlign w:val="superscript"/>
        </w:rPr>
      </w:pPr>
      <w:r>
        <w:rPr>
          <w:rFonts w:ascii="Arial" w:cs="Arial" w:eastAsia="Arial" w:hAnsi="Arial"/>
          <w:sz w:val="11"/>
          <w:szCs w:val="11"/>
          <w:color w:val="auto"/>
        </w:rPr>
        <w:t>The Company adjusts net income to exclude the impact of certain items that are unusual, non-recurring, or otherwise do not reflect management's views of the underlying operational results and trends of the Company.</w:t>
      </w:r>
    </w:p>
    <w:p>
      <w:pPr>
        <w:spacing w:after="0" w:line="259" w:lineRule="exact"/>
        <w:rPr>
          <w:rFonts w:ascii="Arial" w:cs="Arial" w:eastAsia="Arial" w:hAnsi="Arial"/>
          <w:sz w:val="15"/>
          <w:szCs w:val="15"/>
          <w:color w:val="auto"/>
          <w:vertAlign w:val="superscript"/>
        </w:rPr>
      </w:pPr>
    </w:p>
    <w:p>
      <w:pPr>
        <w:jc w:val="both"/>
        <w:ind w:firstLine="8"/>
        <w:spacing w:after="0" w:line="274" w:lineRule="auto"/>
        <w:tabs>
          <w:tab w:leader="none" w:pos="117" w:val="left"/>
        </w:tabs>
        <w:numPr>
          <w:ilvl w:val="0"/>
          <w:numId w:val="21"/>
        </w:numPr>
        <w:rPr>
          <w:rFonts w:ascii="Arial" w:cs="Arial" w:eastAsia="Arial" w:hAnsi="Arial"/>
          <w:sz w:val="13"/>
          <w:szCs w:val="13"/>
          <w:color w:val="auto"/>
          <w:vertAlign w:val="superscript"/>
        </w:rPr>
      </w:pPr>
      <w:r>
        <w:rPr>
          <w:rFonts w:ascii="Arial" w:cs="Arial" w:eastAsia="Arial" w:hAnsi="Arial"/>
          <w:sz w:val="10"/>
          <w:szCs w:val="10"/>
          <w:color w:val="auto"/>
        </w:rPr>
        <w:t>After communications with the staff of the Securities and Exchange Commission, we have revised the definition of our non-GAAP financial measures—including adjusted net income, adjusted earnings per share, adjusted EBITDA, and adjusted EBITDA margin—to no longer exclude the positive or negative impact of “prior year self-insurance adjustments”. Prior year self-insurance adjustments reflect the net changes to our self-insurance reserves for our general liability, workers’ compensation, automobile, and health insurance programs, related to claims from incidents that occurred in previous years. This definitional change has been applied to our fourth quarter 2025 results and retroactively to all presented periods to ensure comparability.</w:t>
      </w:r>
    </w:p>
    <w:p>
      <w:pPr>
        <w:spacing w:after="0" w:line="268" w:lineRule="exact"/>
        <w:rPr>
          <w:rFonts w:ascii="Arial" w:cs="Arial" w:eastAsia="Arial" w:hAnsi="Arial"/>
          <w:sz w:val="13"/>
          <w:szCs w:val="13"/>
          <w:color w:val="auto"/>
          <w:vertAlign w:val="superscript"/>
        </w:rPr>
      </w:pPr>
    </w:p>
    <w:p>
      <w:pPr>
        <w:ind w:left="120" w:hanging="112"/>
        <w:spacing w:after="0"/>
        <w:tabs>
          <w:tab w:leader="none" w:pos="120" w:val="left"/>
        </w:tabs>
        <w:numPr>
          <w:ilvl w:val="0"/>
          <w:numId w:val="21"/>
        </w:numPr>
        <w:rPr>
          <w:rFonts w:ascii="Arial" w:cs="Arial" w:eastAsia="Arial" w:hAnsi="Arial"/>
          <w:sz w:val="13"/>
          <w:szCs w:val="13"/>
          <w:color w:val="auto"/>
          <w:vertAlign w:val="superscript"/>
        </w:rPr>
      </w:pPr>
      <w:r>
        <w:rPr>
          <w:rFonts w:ascii="Arial" w:cs="Arial" w:eastAsia="Arial" w:hAnsi="Arial"/>
          <w:sz w:val="10"/>
          <w:szCs w:val="10"/>
          <w:color w:val="auto"/>
        </w:rPr>
        <w:t>Represents costs associated with restructuring program to further streamline our operations and improve the efficiency of our support functions.</w:t>
      </w:r>
    </w:p>
    <w:p>
      <w:pPr>
        <w:spacing w:after="0" w:line="147" w:lineRule="exact"/>
        <w:rPr>
          <w:rFonts w:ascii="Arial" w:cs="Arial" w:eastAsia="Arial" w:hAnsi="Arial"/>
          <w:sz w:val="13"/>
          <w:szCs w:val="13"/>
          <w:color w:val="auto"/>
          <w:vertAlign w:val="superscript"/>
        </w:rPr>
      </w:pPr>
    </w:p>
    <w:p>
      <w:pPr>
        <w:ind w:left="120" w:hanging="112"/>
        <w:spacing w:after="0"/>
        <w:tabs>
          <w:tab w:leader="none" w:pos="120" w:val="left"/>
        </w:tabs>
        <w:numPr>
          <w:ilvl w:val="0"/>
          <w:numId w:val="21"/>
        </w:numPr>
        <w:rPr>
          <w:rFonts w:ascii="Arial" w:cs="Arial" w:eastAsia="Arial" w:hAnsi="Arial"/>
          <w:sz w:val="13"/>
          <w:szCs w:val="13"/>
          <w:color w:val="auto"/>
          <w:vertAlign w:val="superscript"/>
        </w:rPr>
      </w:pPr>
      <w:r>
        <w:rPr>
          <w:rFonts w:ascii="Arial" w:cs="Arial" w:eastAsia="Arial" w:hAnsi="Arial"/>
          <w:sz w:val="10"/>
          <w:szCs w:val="10"/>
          <w:color w:val="auto"/>
        </w:rPr>
        <w:t>Represents acquisition and integration related costs primarily associated with recent acquisitions.</w:t>
      </w:r>
    </w:p>
    <w:p>
      <w:pPr>
        <w:spacing w:after="0" w:line="120" w:lineRule="exact"/>
        <w:rPr>
          <w:rFonts w:ascii="Arial" w:cs="Arial" w:eastAsia="Arial" w:hAnsi="Arial"/>
          <w:sz w:val="13"/>
          <w:szCs w:val="13"/>
          <w:color w:val="auto"/>
          <w:vertAlign w:val="superscript"/>
        </w:rPr>
      </w:pPr>
    </w:p>
    <w:p>
      <w:pPr>
        <w:jc w:val="both"/>
        <w:ind w:firstLine="8"/>
        <w:spacing w:after="0" w:line="464" w:lineRule="auto"/>
        <w:tabs>
          <w:tab w:leader="none" w:pos="117" w:val="left"/>
        </w:tabs>
        <w:numPr>
          <w:ilvl w:val="0"/>
          <w:numId w:val="21"/>
        </w:numPr>
        <w:rPr>
          <w:rFonts w:ascii="Arial" w:cs="Arial" w:eastAsia="Arial" w:hAnsi="Arial"/>
          <w:sz w:val="13"/>
          <w:szCs w:val="13"/>
          <w:color w:val="auto"/>
          <w:vertAlign w:val="superscript"/>
        </w:rPr>
      </w:pPr>
      <w:r>
        <w:rPr>
          <w:rFonts w:ascii="Arial" w:cs="Arial" w:eastAsia="Arial" w:hAnsi="Arial"/>
          <w:sz w:val="10"/>
          <w:szCs w:val="10"/>
          <w:color w:val="auto"/>
        </w:rPr>
        <w:t>Represents discrete transformational costs that primarily consists of general and administrative costs for developing technological needs and alternatives, project management, testing, training and data conversion, consulting and professional fees for i) new enterprise resource planning system, ii) client facing technology, iii) workforce management tools and iv) data analytics. These costs are not expected to recur beyond the deployment of these initiatives.</w:t>
      </w:r>
    </w:p>
    <w:p>
      <w:pPr>
        <w:spacing w:after="0" w:line="28" w:lineRule="exact"/>
        <w:rPr>
          <w:rFonts w:ascii="Arial" w:cs="Arial" w:eastAsia="Arial" w:hAnsi="Arial"/>
          <w:sz w:val="13"/>
          <w:szCs w:val="13"/>
          <w:color w:val="auto"/>
          <w:vertAlign w:val="superscript"/>
        </w:rPr>
      </w:pPr>
    </w:p>
    <w:p>
      <w:pPr>
        <w:ind w:left="100" w:hanging="92"/>
        <w:spacing w:after="0"/>
        <w:tabs>
          <w:tab w:leader="none" w:pos="100" w:val="left"/>
        </w:tabs>
        <w:numPr>
          <w:ilvl w:val="0"/>
          <w:numId w:val="21"/>
        </w:numPr>
        <w:rPr>
          <w:rFonts w:ascii="Arial" w:cs="Arial" w:eastAsia="Arial" w:hAnsi="Arial"/>
          <w:sz w:val="13"/>
          <w:szCs w:val="13"/>
          <w:color w:val="auto"/>
          <w:vertAlign w:val="superscript"/>
        </w:rPr>
      </w:pPr>
      <w:r>
        <w:rPr>
          <w:rFonts w:ascii="Arial" w:cs="Arial" w:eastAsia="Arial" w:hAnsi="Arial"/>
          <w:sz w:val="10"/>
          <w:szCs w:val="10"/>
          <w:color w:val="auto"/>
        </w:rPr>
        <w:t>Represents an adjustment to the estimate of the fair value of the contingent consideration associated with the RavenVolt acquisition.</w:t>
      </w:r>
    </w:p>
    <w:p>
      <w:pPr>
        <w:spacing w:after="0" w:line="120" w:lineRule="exact"/>
        <w:rPr>
          <w:rFonts w:ascii="Arial" w:cs="Arial" w:eastAsia="Arial" w:hAnsi="Arial"/>
          <w:sz w:val="13"/>
          <w:szCs w:val="13"/>
          <w:color w:val="auto"/>
          <w:vertAlign w:val="superscript"/>
        </w:rPr>
      </w:pPr>
    </w:p>
    <w:p>
      <w:pPr>
        <w:ind w:left="120" w:hanging="112"/>
        <w:spacing w:after="0"/>
        <w:tabs>
          <w:tab w:leader="none" w:pos="120" w:val="left"/>
        </w:tabs>
        <w:numPr>
          <w:ilvl w:val="0"/>
          <w:numId w:val="21"/>
        </w:numPr>
        <w:rPr>
          <w:rFonts w:ascii="Arial" w:cs="Arial" w:eastAsia="Arial" w:hAnsi="Arial"/>
          <w:sz w:val="13"/>
          <w:szCs w:val="13"/>
          <w:color w:val="auto"/>
          <w:vertAlign w:val="superscript"/>
        </w:rPr>
      </w:pPr>
      <w:r>
        <w:rPr>
          <w:rFonts w:ascii="Arial" w:cs="Arial" w:eastAsia="Arial" w:hAnsi="Arial"/>
          <w:sz w:val="10"/>
          <w:szCs w:val="10"/>
          <w:color w:val="auto"/>
        </w:rPr>
        <w:t>Represents Employee Retention Credit (ERC) refunds received from the Internal Revenue Service.</w:t>
      </w:r>
    </w:p>
    <w:p>
      <w:pPr>
        <w:spacing w:after="0" w:line="120" w:lineRule="exact"/>
        <w:rPr>
          <w:rFonts w:ascii="Arial" w:cs="Arial" w:eastAsia="Arial" w:hAnsi="Arial"/>
          <w:sz w:val="13"/>
          <w:szCs w:val="13"/>
          <w:color w:val="auto"/>
          <w:vertAlign w:val="superscript"/>
        </w:rPr>
      </w:pPr>
    </w:p>
    <w:p>
      <w:pPr>
        <w:ind w:firstLine="8"/>
        <w:spacing w:after="0" w:line="286" w:lineRule="auto"/>
        <w:tabs>
          <w:tab w:leader="none" w:pos="117" w:val="left"/>
        </w:tabs>
        <w:numPr>
          <w:ilvl w:val="0"/>
          <w:numId w:val="21"/>
        </w:numPr>
        <w:rPr>
          <w:rFonts w:ascii="Arial" w:cs="Arial" w:eastAsia="Arial" w:hAnsi="Arial"/>
          <w:sz w:val="13"/>
          <w:szCs w:val="13"/>
          <w:color w:val="auto"/>
          <w:vertAlign w:val="superscript"/>
        </w:rPr>
      </w:pPr>
      <w:r>
        <w:rPr>
          <w:rFonts w:ascii="Arial" w:cs="Arial" w:eastAsia="Arial" w:hAnsi="Arial"/>
          <w:sz w:val="10"/>
          <w:szCs w:val="10"/>
          <w:color w:val="auto"/>
        </w:rPr>
        <w:t>The year ended October 31, 2025 includes a parking tax audit settlement related to prior years. The year ended October 31, 2024 includes severance costs related to the permanent elimination of the role of Executive Vice President, Chief Strategy &amp; Transformation Officer.</w:t>
      </w:r>
    </w:p>
    <w:p>
      <w:pPr>
        <w:spacing w:after="0" w:line="116" w:lineRule="exact"/>
        <w:rPr>
          <w:rFonts w:ascii="Arial" w:cs="Arial" w:eastAsia="Arial" w:hAnsi="Arial"/>
          <w:sz w:val="13"/>
          <w:szCs w:val="13"/>
          <w:color w:val="auto"/>
          <w:vertAlign w:val="superscript"/>
        </w:rPr>
      </w:pPr>
    </w:p>
    <w:p>
      <w:pPr>
        <w:ind w:right="480" w:firstLine="8"/>
        <w:spacing w:after="0" w:line="254" w:lineRule="auto"/>
        <w:tabs>
          <w:tab w:leader="none" w:pos="91" w:val="left"/>
        </w:tabs>
        <w:numPr>
          <w:ilvl w:val="0"/>
          <w:numId w:val="21"/>
        </w:numPr>
        <w:rPr>
          <w:rFonts w:ascii="Arial" w:cs="Arial" w:eastAsia="Arial" w:hAnsi="Arial"/>
          <w:sz w:val="13"/>
          <w:szCs w:val="13"/>
          <w:color w:val="auto"/>
          <w:vertAlign w:val="superscript"/>
        </w:rPr>
      </w:pPr>
      <w:r>
        <w:rPr>
          <w:rFonts w:ascii="Arial" w:cs="Arial" w:eastAsia="Arial" w:hAnsi="Arial"/>
          <w:sz w:val="10"/>
          <w:szCs w:val="10"/>
          <w:color w:val="auto"/>
        </w:rPr>
        <w:t>The Company's tax impact is calculated using the federal and state statutory rate of 27.72% for FY2025 and 28.11% for FY 2024. For purposes of calculating the tax impact, the change in the fair value of the contingent consideration related to RavenVolt acquisition is deemed to be a non-taxable item.</w:t>
      </w:r>
    </w:p>
    <w:p>
      <w:pPr>
        <w:spacing w:after="0"/>
        <w:rPr>
          <w:rFonts w:ascii="Arial" w:cs="Arial" w:eastAsia="Arial" w:hAnsi="Arial"/>
          <w:sz w:val="13"/>
          <w:szCs w:val="13"/>
          <w:color w:val="auto"/>
          <w:vertAlign w:val="superscript"/>
        </w:rPr>
      </w:pPr>
      <w:r>
        <w:rPr>
          <w:rFonts w:ascii="Arial" w:cs="Arial" w:eastAsia="Arial" w:hAnsi="Arial"/>
          <w:sz w:val="12"/>
          <w:szCs w:val="12"/>
          <w:color w:val="auto"/>
        </w:rPr>
        <w:t>We calculate tax from the underlying whole-dollar amounts, as a result, certain amounts may not recalculate based on reported numbers due to rounding.</w:t>
      </w:r>
    </w:p>
    <w:p>
      <w:pPr>
        <w:spacing w:after="0" w:line="121" w:lineRule="exact"/>
        <w:rPr>
          <w:rFonts w:ascii="Arial" w:cs="Arial" w:eastAsia="Arial" w:hAnsi="Arial"/>
          <w:sz w:val="13"/>
          <w:szCs w:val="13"/>
          <w:color w:val="auto"/>
          <w:vertAlign w:val="superscript"/>
        </w:rPr>
      </w:pPr>
    </w:p>
    <w:p>
      <w:pPr>
        <w:ind w:left="100" w:hanging="92"/>
        <w:spacing w:after="0"/>
        <w:tabs>
          <w:tab w:leader="none" w:pos="100" w:val="left"/>
        </w:tabs>
        <w:numPr>
          <w:ilvl w:val="0"/>
          <w:numId w:val="21"/>
        </w:numPr>
        <w:rPr>
          <w:rFonts w:ascii="Arial" w:cs="Arial" w:eastAsia="Arial" w:hAnsi="Arial"/>
          <w:sz w:val="15"/>
          <w:szCs w:val="15"/>
          <w:color w:val="auto"/>
          <w:vertAlign w:val="superscript"/>
        </w:rPr>
      </w:pPr>
      <w:r>
        <w:rPr>
          <w:rFonts w:ascii="Arial" w:cs="Arial" w:eastAsia="Arial" w:hAnsi="Arial"/>
          <w:sz w:val="11"/>
          <w:szCs w:val="11"/>
          <w:color w:val="auto"/>
        </w:rPr>
        <w:t>The Company’s tax impact also includes the following discrete items:</w:t>
      </w:r>
    </w:p>
    <w:p>
      <w:pPr>
        <w:ind w:left="760" w:hanging="378"/>
        <w:spacing w:after="0" w:line="233" w:lineRule="auto"/>
        <w:tabs>
          <w:tab w:leader="none" w:pos="760" w:val="left"/>
        </w:tabs>
        <w:numPr>
          <w:ilvl w:val="1"/>
          <w:numId w:val="21"/>
        </w:numPr>
        <w:rPr>
          <w:rFonts w:ascii="Times New Roman" w:cs="Times New Roman" w:eastAsia="Times New Roman" w:hAnsi="Times New Roman"/>
          <w:sz w:val="12"/>
          <w:szCs w:val="12"/>
          <w:color w:val="auto"/>
        </w:rPr>
      </w:pPr>
      <w:r>
        <w:rPr>
          <w:rFonts w:ascii="Arial" w:cs="Arial" w:eastAsia="Arial" w:hAnsi="Arial"/>
          <w:sz w:val="12"/>
          <w:szCs w:val="12"/>
          <w:color w:val="auto"/>
        </w:rPr>
        <w:t>For the three months ended October 31, 2024</w:t>
      </w:r>
    </w:p>
    <w:p>
      <w:pPr>
        <w:ind w:left="1500" w:hanging="369"/>
        <w:spacing w:after="0" w:line="233" w:lineRule="auto"/>
        <w:tabs>
          <w:tab w:leader="none" w:pos="1500" w:val="left"/>
        </w:tabs>
        <w:numPr>
          <w:ilvl w:val="2"/>
          <w:numId w:val="21"/>
        </w:numPr>
        <w:rPr>
          <w:rFonts w:ascii="Times New Roman" w:cs="Times New Roman" w:eastAsia="Times New Roman" w:hAnsi="Times New Roman"/>
          <w:sz w:val="12"/>
          <w:szCs w:val="12"/>
          <w:color w:val="auto"/>
        </w:rPr>
      </w:pPr>
      <w:r>
        <w:rPr>
          <w:rFonts w:ascii="Arial" w:cs="Arial" w:eastAsia="Arial" w:hAnsi="Arial"/>
          <w:sz w:val="12"/>
          <w:szCs w:val="12"/>
          <w:color w:val="auto"/>
        </w:rPr>
        <w:t>$4.9 million prior year tax benefit related to our Puerto Rico operations</w:t>
      </w:r>
    </w:p>
    <w:p>
      <w:pPr>
        <w:ind w:left="760" w:hanging="378"/>
        <w:spacing w:after="0" w:line="233" w:lineRule="auto"/>
        <w:tabs>
          <w:tab w:leader="none" w:pos="760" w:val="left"/>
        </w:tabs>
        <w:numPr>
          <w:ilvl w:val="1"/>
          <w:numId w:val="21"/>
        </w:numPr>
        <w:rPr>
          <w:rFonts w:ascii="Times New Roman" w:cs="Times New Roman" w:eastAsia="Times New Roman" w:hAnsi="Times New Roman"/>
          <w:sz w:val="12"/>
          <w:szCs w:val="12"/>
          <w:color w:val="auto"/>
        </w:rPr>
      </w:pPr>
      <w:r>
        <w:rPr>
          <w:rFonts w:ascii="Arial" w:cs="Arial" w:eastAsia="Arial" w:hAnsi="Arial"/>
          <w:sz w:val="12"/>
          <w:szCs w:val="12"/>
          <w:color w:val="auto"/>
        </w:rPr>
        <w:t>For the year ended October 31, 2024</w:t>
      </w:r>
    </w:p>
    <w:p>
      <w:pPr>
        <w:ind w:left="1500" w:hanging="369"/>
        <w:spacing w:after="0" w:line="233" w:lineRule="auto"/>
        <w:tabs>
          <w:tab w:leader="none" w:pos="1500" w:val="left"/>
        </w:tabs>
        <w:numPr>
          <w:ilvl w:val="2"/>
          <w:numId w:val="21"/>
        </w:numPr>
        <w:rPr>
          <w:rFonts w:ascii="Times New Roman" w:cs="Times New Roman" w:eastAsia="Times New Roman" w:hAnsi="Times New Roman"/>
          <w:sz w:val="12"/>
          <w:szCs w:val="12"/>
          <w:color w:val="auto"/>
        </w:rPr>
      </w:pPr>
      <w:r>
        <w:rPr>
          <w:rFonts w:ascii="Arial" w:cs="Arial" w:eastAsia="Arial" w:hAnsi="Arial"/>
          <w:sz w:val="12"/>
          <w:szCs w:val="12"/>
          <w:color w:val="auto"/>
        </w:rPr>
        <w:t>$4.9 million prior year tax benefit related to our Puerto Rico operations</w:t>
      </w:r>
    </w:p>
    <w:p>
      <w:pPr>
        <w:ind w:left="1500" w:hanging="369"/>
        <w:spacing w:after="0"/>
        <w:tabs>
          <w:tab w:leader="none" w:pos="1500" w:val="left"/>
        </w:tabs>
        <w:numPr>
          <w:ilvl w:val="2"/>
          <w:numId w:val="21"/>
        </w:numPr>
        <w:rPr>
          <w:rFonts w:ascii="Times New Roman" w:cs="Times New Roman" w:eastAsia="Times New Roman" w:hAnsi="Times New Roman"/>
          <w:sz w:val="12"/>
          <w:szCs w:val="12"/>
          <w:color w:val="auto"/>
        </w:rPr>
      </w:pPr>
      <w:r>
        <w:rPr>
          <w:rFonts w:ascii="Arial" w:cs="Arial" w:eastAsia="Arial" w:hAnsi="Arial"/>
          <w:sz w:val="12"/>
          <w:szCs w:val="12"/>
          <w:color w:val="auto"/>
        </w:rPr>
        <w:t>$0.4 million benefit for uncertain tax positions with expiring statues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706120</wp:posOffset>
            </wp:positionV>
            <wp:extent cx="1242695" cy="4546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124269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0"/>
        <w:spacing w:after="0" w:line="272" w:lineRule="auto"/>
        <w:rPr>
          <w:sz w:val="20"/>
          <w:szCs w:val="20"/>
          <w:color w:val="auto"/>
        </w:rPr>
      </w:pPr>
      <w:r>
        <w:rPr>
          <w:rFonts w:ascii="Arial" w:cs="Arial" w:eastAsia="Arial" w:hAnsi="Arial"/>
          <w:sz w:val="22"/>
          <w:szCs w:val="22"/>
          <w:b w:val="1"/>
          <w:bCs w:val="1"/>
          <w:color w:val="0070C0"/>
        </w:rPr>
        <w:t>ABM EXPANDS SEMICONDUCTOR AND TECHNICAL SERVICES PLATFORM WITH AGREEMENT TO ACQUIRE WGNSTAR</w:t>
      </w:r>
    </w:p>
    <w:p>
      <w:pPr>
        <w:spacing w:after="0" w:line="160" w:lineRule="exact"/>
        <w:rPr>
          <w:sz w:val="20"/>
          <w:szCs w:val="20"/>
          <w:color w:val="auto"/>
        </w:rPr>
      </w:pPr>
    </w:p>
    <w:p>
      <w:pPr>
        <w:jc w:val="center"/>
        <w:ind w:right="40"/>
        <w:spacing w:after="0" w:line="270" w:lineRule="auto"/>
        <w:rPr>
          <w:sz w:val="20"/>
          <w:szCs w:val="20"/>
          <w:color w:val="auto"/>
        </w:rPr>
      </w:pPr>
      <w:r>
        <w:rPr>
          <w:rFonts w:ascii="Arial" w:cs="Arial" w:eastAsia="Arial" w:hAnsi="Arial"/>
          <w:sz w:val="20"/>
          <w:szCs w:val="20"/>
          <w:b w:val="1"/>
          <w:bCs w:val="1"/>
          <w:color w:val="auto"/>
        </w:rPr>
        <w:t>Strategic acquisition will strengthen ABM’s position in fast-growing semiconductor and technology manufacturing markets</w:t>
      </w:r>
    </w:p>
    <w:p>
      <w:pPr>
        <w:spacing w:after="0" w:line="34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 xml:space="preserve">NEW YORK, NY – December 17, 2025 </w:t>
      </w:r>
      <w:r>
        <w:rPr>
          <w:rFonts w:ascii="Arial" w:cs="Arial" w:eastAsia="Arial" w:hAnsi="Arial"/>
          <w:sz w:val="20"/>
          <w:szCs w:val="20"/>
          <w:color w:val="auto"/>
        </w:rPr>
        <w:t>– ABM (NYSE: ABM), a major provider of integrated facility, infrastructure, and technical</w:t>
      </w:r>
      <w:r>
        <w:rPr>
          <w:rFonts w:ascii="Arial" w:cs="Arial" w:eastAsia="Arial" w:hAnsi="Arial"/>
          <w:sz w:val="20"/>
          <w:szCs w:val="20"/>
          <w:b w:val="1"/>
          <w:bCs w:val="1"/>
          <w:color w:val="auto"/>
        </w:rPr>
        <w:t xml:space="preserve"> </w:t>
      </w:r>
      <w:r>
        <w:rPr>
          <w:rFonts w:ascii="Arial" w:cs="Arial" w:eastAsia="Arial" w:hAnsi="Arial"/>
          <w:sz w:val="20"/>
          <w:szCs w:val="20"/>
          <w:color w:val="auto"/>
        </w:rPr>
        <w:t>solutions, today announced a definitive agreement to acquire WGNSTAR, a leading provider of managed workforce solutions and equipment support services for the semiconductor and high-technology industries, in a cash transaction valued at approximately $275 million.</w:t>
      </w:r>
    </w:p>
    <w:p>
      <w:pPr>
        <w:spacing w:after="0" w:line="17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WGNSTAR operates across the U.S. and in Ireland, delivering technical and operational solutions through a highly skilled workforce of more than 1,300 employees and long-standing client partnerships, many exceeding two decades. WGNSTAR generates over half of its revenue from integrated workforce programs, delivering highly trained technical teams to ensure operational efficiency in chip fabrication facilities. WGNSTAR also collaborates with leading OEMs to offer equipment support services that encompass installation, maintenance, and production tool management, further enhancing productivity within fabrication environments.</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growth potential in WGNSTAR’s core services is anticipated to be significant, with a multi-billion-dollar addressable market in which only a small share is currently outsourced. This creates a meaningful opportunity for ABM to expand its presence within the rapidly growing semiconductor sector. Following the acquisition, ABM’s semiconductor solutions portfolio will be approximately $325 million in revenue on an annualized basis, establishing the Company among the largest integrated service providers in North America. This strategic positioning allows ABM to pursue growth driven by U.S. semiconductor onshoring initiatives, supported by CHIPS Act incentives and record levels of private investment.</w:t>
      </w:r>
    </w:p>
    <w:p>
      <w:pPr>
        <w:spacing w:after="0" w:line="17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Scott Salmirs, President &amp; Chief Executive Officer of ABM, commented, “WGNSTAR’s expertise in semiconductor operations and equipment services will align seamlessly with ABM’s strengths in engineering, energy resiliency, and mission-critical solutions. As demand escalates for domestic semiconductor production, we anticipate this transaction will uniquely position ABM to meet our clients’ evolving needs, from cleanroom and critical facility management to specialized technical services supporting chip fabrication and equipment operations. We’re excited to welcome the talented WGNSTAR team to ABM and, together, provide integrated solutions in a dynamic and rapidly growing market.”</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Nigel Wenden, CEO of WGNSTAR, said, “I am incredibly proud of the business our team has built over the past 22 years since its founding in Ireland. Joining forces with ABM will enable us to better serve our clients in this exciting technology market with integrated and innovative solutions. Both companies share a commitment to innovation, excellence, and partnership, positioning us to meet the needs of our customers as the semiconductor industry continues to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0070C0"/>
        </w:rPr>
        <w:t>Transaction Overview</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Under the terms of the agreement, ABM will acquire WGNSTAR for approximately $ 275 million, subject to adjustments in accordance with the agreement. WGNSTAR is expected to generate annual revenue of approximately $135 million in calendar 2025, with adjusted EBITDA margins in excess of ABM’s Manufacturing &amp; Distribution (“M&amp;D”) segment, along with an anticipated annual growth rate of about 10%.</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acquisition is expected to be modestly dilutive to adjusted EPS in fiscal 2026, primarily due to amortization of acquired intangibles and related interest expense. However, the acquisition is anticipated to be $ 0.05 to $0.07 accretive in fiscal 2027 and accelerate thereafter, driven by growth and synergy realization. WGNSTAR’s results will be reported as part of ABM’s M&amp;D segment.</w:t>
      </w:r>
    </w:p>
    <w:p>
      <w:pPr>
        <w:spacing w:after="0" w:line="17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transaction will be funded through a combination of cash on hand and existing credit facilities. The transaction is expected to close during ABM’s second fiscal quarter of 2026, following required regulatory review in the U.S. and Ireland and satisfaction of other customary conditions.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Fiscal Fourth Quarter and Full Year 2025 Results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 a separate press release issued today, ABM announced its fiscal fourth quarter and full-year 2025 financial results and provided its outlook for fiscal 2026, inclusive of the WGNSTAR transaction.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Conference Call and Webcast</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ABM will host its quarterly conference call for all interested parties on Wednesday, December 17, 2025, at 8:30 AM (ET) to discuss its fourth quarter and full-year 2025 financial results and the WGNSTAR acquisition. The live conference call can be accessed via audio webcast at the “Investors” section of the Company's website, located at www.abm.com, or by dialing (877) 451-6152 (domestic) or (201) 389-0879 (international) approximately 15 minutes prior to the scheduled time.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About ABM</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ABM (NYSE: ABM) is one of the world’s largest providers of integrated facility, engineering, and infrastructure solutions. Every day, our over 100,000 team members deliver essential services that make spaces cleaner, safer, and more efficient, enhancing the overall occupant experience.</w:t>
      </w:r>
    </w:p>
    <w:p>
      <w:pPr>
        <w:spacing w:after="0" w:line="17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ABM serves a wide range of market sectors including commercial real estate, aviation, mission critical, and manufacturing and distribution. With over $8 billion in annual revenue and a blue-chip client base, ABM delivers innovative technologies and sustainable solutions that enhance facilities and empower clients to achieve their goals. Committed to creating smarter, more connected spaces, ABM is investing in the future to meet evolving challenges and build a healthier, thriving world. ABM: Driving possibility, together.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visit www.abm.com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0046AC"/>
        </w:rPr>
        <w:t>Cautionary Statement under the Private Securities Litigation Reform Act of 1995</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This press release contains both historical and forward-looking statements, including, but not limited to, statements addressing the acquisition of WGNSTAR by ABM including expectations regarding integration activities, anticipated synergies, cross−selling opportunities, operational efficiencies, market expansion, and the long−term strategic impact of the transaction. In this context, we make forward-looking statements related to future expectations, estimates and projections that are uncertain, and often contain words such as “anticipate,” “believe,” “could,” “estimate,” “expect,”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523240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1" w:name="page22"/>
    <w:bookmarkEnd w:id="21"/>
    <w:p>
      <w:pPr>
        <w:jc w:val="both"/>
        <w:spacing w:after="0" w:line="241" w:lineRule="auto"/>
        <w:rPr>
          <w:sz w:val="20"/>
          <w:szCs w:val="20"/>
          <w:color w:val="auto"/>
        </w:rPr>
      </w:pPr>
      <w:r>
        <w:rPr>
          <w:rFonts w:ascii="Arial" w:cs="Arial" w:eastAsia="Arial" w:hAnsi="Arial"/>
          <w:sz w:val="19"/>
          <w:szCs w:val="19"/>
          <w:color w:val="auto"/>
        </w:rPr>
        <w:t>“forecast,” “intend,” “likely,” “may,” “outlook,” “plan,” “opportunity,” “pursue,” “predict,” “position,” “should,” “target” or other similar words or phrases. These statements are not guarantees of future performance and are subject to known and unknown risks, uncertainties and assumptions that are difficult to predict. Factors that could cause actual results to differ include, but are not limited to, the following: (i) the acquisition of WNGSTAR may not provide the benefits that we anticipate receiving due to any number of factors, including inability to retain WGNSTAR’s existing customers and the inability of WGNSTAR to continue to grow its sales to new and existing customers; (ii) we may not be able to successfully cross-sell business between our existing customers and WGNSTAR’s existing services, or expand services to new customers; and (iii) we may encounter unanticipated costs related to the acquisition. For additional information on these and other risks and uncertainties we face, see ABM’s risk factors, as they may be amended from time to time, set forth in our filings with the Securities and Exchange Commission, including our most recent Annual Report on Form 10-K and subsequent filings. 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46AC"/>
        </w:rPr>
        <w:t>Use of Non-GAAP Financial Information</w:t>
      </w:r>
    </w:p>
    <w:p>
      <w:pPr>
        <w:spacing w:after="0" w:line="20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In this press release, the Company has presented forward-looking information with respect to earnings before interest, taxes, depreciation and amortization, and excluding items impacting comparability (adjusted EBITDA). Adjusted EBITDA is among the indicators management uses as a basis for planning and forecasting future periods. Adjusted EBITDA margin is defined as adjusted EBITDA divided by revenue excluding management reimbursement. The Company has also presented forward-looking information with respect to adjusted EPS. The Company cannot provide a reconciliation of forward-looking non-GAAP adjusted EBITDA margin measures or adjusted EPS to GAAP due to the inherent difficulty in forecasting and quantifying certain amounts that are necessary for such reconciliation. The presentation of these non-GAAP financial measures is not meant to be considered in isolation or as a substitute for financial statements prepared in accordance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Contacts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231" w:lineRule="auto"/>
        <w:rPr>
          <w:sz w:val="20"/>
          <w:szCs w:val="20"/>
          <w:color w:val="auto"/>
        </w:rPr>
      </w:pPr>
      <w:r>
        <w:rPr>
          <w:rFonts w:ascii="Arial" w:cs="Arial" w:eastAsia="Arial" w:hAnsi="Arial"/>
          <w:sz w:val="20"/>
          <w:szCs w:val="20"/>
          <w:color w:val="auto"/>
        </w:rPr>
        <w:t>Paul Goldberg</w:t>
      </w:r>
    </w:p>
    <w:p>
      <w:pPr>
        <w:spacing w:after="0" w:line="226" w:lineRule="auto"/>
        <w:rPr>
          <w:sz w:val="20"/>
          <w:szCs w:val="20"/>
          <w:color w:val="auto"/>
        </w:rPr>
      </w:pPr>
      <w:r>
        <w:rPr>
          <w:rFonts w:ascii="Arial" w:cs="Arial" w:eastAsia="Arial" w:hAnsi="Arial"/>
          <w:sz w:val="20"/>
          <w:szCs w:val="20"/>
          <w:color w:val="auto"/>
        </w:rPr>
        <w:t>212-297-9721</w:t>
      </w:r>
    </w:p>
    <w:p>
      <w:pPr>
        <w:spacing w:after="0"/>
        <w:rPr>
          <w:sz w:val="20"/>
          <w:szCs w:val="20"/>
          <w:color w:val="auto"/>
        </w:rPr>
      </w:pPr>
      <w:r>
        <w:rPr>
          <w:rFonts w:ascii="Arial" w:cs="Arial" w:eastAsia="Arial" w:hAnsi="Arial"/>
          <w:sz w:val="20"/>
          <w:szCs w:val="20"/>
          <w:color w:val="auto"/>
        </w:rPr>
        <w:t>ir@abm.com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231" w:lineRule="auto"/>
        <w:rPr>
          <w:sz w:val="20"/>
          <w:szCs w:val="20"/>
          <w:color w:val="auto"/>
        </w:rPr>
      </w:pPr>
      <w:r>
        <w:rPr>
          <w:rFonts w:ascii="Arial" w:cs="Arial" w:eastAsia="Arial" w:hAnsi="Arial"/>
          <w:sz w:val="20"/>
          <w:szCs w:val="20"/>
          <w:color w:val="auto"/>
        </w:rPr>
        <w:t>Michael Valentino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media@abm.com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877"/>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212"/>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2025-12-17T06:16:58Z</dcterms:created>
  <dcterms:modified xsi:type="dcterms:W3CDTF">2025-12-17T06:16:58Z</dcterms:modified>
</cp:coreProperties>
</file>