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1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2217"/>
        <w:spacing w:after="0"/>
        <w:tabs>
          <w:tab w:leader="none" w:pos="180" w:val="left"/>
        </w:tabs>
        <w:rPr>
          <w:sz w:val="20"/>
          <w:szCs w:val="20"/>
          <w:color w:val="auto"/>
        </w:rPr>
      </w:pPr>
      <w:r>
        <w:rPr>
          <w:rFonts w:ascii="Courier New" w:cs="Courier New" w:eastAsia="Courier New" w:hAnsi="Courier New"/>
          <w:sz w:val="16"/>
          <w:szCs w:val="16"/>
          <w:color w:val="auto"/>
        </w:rPr>
        <w:t>WASHINGTON, D. C.</w:t>
      </w:r>
      <w:r>
        <w:rPr>
          <w:sz w:val="20"/>
          <w:szCs w:val="20"/>
          <w:color w:val="auto"/>
        </w:rPr>
        <w:tab/>
      </w:r>
      <w:r>
        <w:rPr>
          <w:rFonts w:ascii="Courier New" w:cs="Courier New" w:eastAsia="Courier New" w:hAnsi="Courier New"/>
          <w:sz w:val="15"/>
          <w:szCs w:val="15"/>
          <w:color w:val="auto"/>
        </w:rPr>
        <w:t>20549</w:t>
      </w:r>
    </w:p>
    <w:p>
      <w:pPr>
        <w:spacing w:after="0" w:line="186" w:lineRule="exact"/>
        <w:rPr>
          <w:sz w:val="24"/>
          <w:szCs w:val="24"/>
          <w:color w:val="auto"/>
        </w:rPr>
      </w:pPr>
    </w:p>
    <w:p>
      <w:pPr>
        <w:ind w:left="3522"/>
        <w:spacing w:after="0"/>
        <w:rPr>
          <w:sz w:val="20"/>
          <w:szCs w:val="20"/>
          <w:color w:val="auto"/>
        </w:rPr>
      </w:pPr>
      <w:r>
        <w:rPr>
          <w:rFonts w:ascii="Courier New" w:cs="Courier New" w:eastAsia="Courier New" w:hAnsi="Courier New"/>
          <w:sz w:val="16"/>
          <w:szCs w:val="16"/>
          <w:color w:val="auto"/>
        </w:rPr>
        <w:t>FORM 10 Q</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(Mark One)</w:t>
      </w:r>
    </w:p>
    <w:p>
      <w:pPr>
        <w:ind w:left="482" w:hanging="387"/>
        <w:spacing w:after="0" w:line="105" w:lineRule="auto"/>
        <w:tabs>
          <w:tab w:leader="none" w:pos="482" w:val="left"/>
        </w:tabs>
        <w:numPr>
          <w:ilvl w:val="0"/>
          <w:numId w:val="1"/>
        </w:numPr>
        <w:rPr>
          <w:rFonts w:ascii="Courier New" w:cs="Courier New" w:eastAsia="Courier New" w:hAnsi="Courier New"/>
          <w:sz w:val="1"/>
          <w:szCs w:val="1"/>
          <w:color w:val="auto"/>
        </w:rPr>
      </w:pPr>
      <w:r>
        <w:rPr>
          <w:rFonts w:ascii="Courier New" w:cs="Courier New" w:eastAsia="Courier New" w:hAnsi="Courier New"/>
          <w:sz w:val="1"/>
          <w:szCs w:val="1"/>
          <w:color w:val="auto"/>
        </w:rPr>
        <w:t>QUARTERLY REPORT PURSUANT TO SECTION 13 or 15(d) OF THE SECURITIES</w:t>
      </w:r>
    </w:p>
    <w:p>
      <w:pPr>
        <w:spacing w:after="0" w:line="181" w:lineRule="exact"/>
        <w:rPr>
          <w:sz w:val="24"/>
          <w:szCs w:val="24"/>
          <w:color w:val="auto"/>
        </w:rPr>
      </w:pPr>
    </w:p>
    <w:p>
      <w:pPr>
        <w:ind w:left="2"/>
        <w:spacing w:after="0"/>
        <w:tabs>
          <w:tab w:leader="none" w:pos="3222"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EXCHANGE ACT OF 1934</w:t>
      </w:r>
    </w:p>
    <w:p>
      <w:pPr>
        <w:sectPr>
          <w:pgSz w:w="11900" w:h="16838" w:orient="portrait"/>
          <w:cols w:equalWidth="0" w:num="1">
            <w:col w:w="10221"/>
          </w:cols>
          <w:pgMar w:left="238" w:top="970" w:right="1440" w:bottom="1440" w:gutter="0" w:footer="0" w:header="0"/>
        </w:sectPr>
      </w:pPr>
    </w:p>
    <w:p>
      <w:pPr>
        <w:spacing w:after="0" w:line="188" w:lineRule="exact"/>
        <w:rPr>
          <w:sz w:val="24"/>
          <w:szCs w:val="24"/>
          <w:color w:val="auto"/>
        </w:rPr>
      </w:pPr>
    </w:p>
    <w:p>
      <w:pPr>
        <w:ind w:left="1242"/>
        <w:spacing w:after="0"/>
        <w:rPr>
          <w:sz w:val="20"/>
          <w:szCs w:val="20"/>
          <w:color w:val="auto"/>
        </w:rPr>
      </w:pPr>
      <w:r>
        <w:rPr>
          <w:rFonts w:ascii="Courier New" w:cs="Courier New" w:eastAsia="Courier New" w:hAnsi="Courier New"/>
          <w:sz w:val="15"/>
          <w:szCs w:val="15"/>
          <w:color w:val="auto"/>
        </w:rPr>
        <w:t>For the quarterly period ended</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APRIL 30, 1998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sectPr>
          <w:pgSz w:w="11900" w:h="16838" w:orient="portrait"/>
          <w:cols w:equalWidth="0" w:num="2">
            <w:col w:w="4102" w:space="100"/>
            <w:col w:w="6019"/>
          </w:cols>
          <w:pgMar w:left="238" w:top="970" w:right="1440" w:bottom="1440" w:gutter="0" w:footer="0" w:header="0"/>
          <w:type w:val="continuous"/>
        </w:sectPr>
      </w:pPr>
    </w:p>
    <w:p>
      <w:pPr>
        <w:ind w:left="3902"/>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21"/>
          </w:cols>
          <w:pgMar w:left="238" w:top="970" w:right="1440" w:bottom="1440" w:gutter="0" w:footer="0" w:header="0"/>
          <w:type w:val="continuous"/>
        </w:sectPr>
      </w:pPr>
    </w:p>
    <w:p>
      <w:pPr>
        <w:spacing w:after="0" w:line="372"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ind w:right="3359" w:hanging="2765"/>
        <w:spacing w:after="0" w:line="239" w:lineRule="auto"/>
        <w:rPr>
          <w:sz w:val="20"/>
          <w:szCs w:val="20"/>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186" w:lineRule="exact"/>
        <w:rPr>
          <w:sz w:val="24"/>
          <w:szCs w:val="24"/>
          <w:color w:val="auto"/>
        </w:rPr>
      </w:pPr>
    </w:p>
    <w:p>
      <w:pPr>
        <w:sectPr>
          <w:pgSz w:w="11900" w:h="16838" w:orient="portrait"/>
          <w:cols w:equalWidth="0" w:num="2">
            <w:col w:w="2522" w:space="720"/>
            <w:col w:w="6979"/>
          </w:cols>
          <w:pgMar w:left="238" w:top="970" w:right="1440" w:bottom="1440" w:gutter="0" w:footer="0" w:header="0"/>
          <w:type w:val="continuous"/>
        </w:sectPr>
      </w:pPr>
    </w:p>
    <w:p>
      <w:pPr>
        <w:spacing w:after="0" w:line="3"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to</w:t>
      </w:r>
    </w:p>
    <w:p>
      <w:pPr>
        <w:spacing w:after="0" w:line="2" w:lineRule="exact"/>
        <w:rPr>
          <w:sz w:val="24"/>
          <w:szCs w:val="24"/>
          <w:color w:val="auto"/>
        </w:rPr>
      </w:pPr>
    </w:p>
    <w:p>
      <w:pPr>
        <w:sectPr>
          <w:pgSz w:w="11900" w:h="16838" w:orient="portrait"/>
          <w:cols w:equalWidth="0" w:num="2">
            <w:col w:w="3282" w:space="720"/>
            <w:col w:w="6219"/>
          </w:cols>
          <w:pgMar w:left="238" w:top="970" w:right="1440" w:bottom="1440" w:gutter="0" w:footer="0" w:header="0"/>
          <w:type w:val="continuous"/>
        </w:sectPr>
      </w:pPr>
    </w:p>
    <w:p>
      <w:pPr>
        <w:spacing w:after="0" w:line="3" w:lineRule="exact"/>
        <w:rPr>
          <w:sz w:val="24"/>
          <w:szCs w:val="24"/>
          <w:color w:val="auto"/>
        </w:rPr>
      </w:pPr>
    </w:p>
    <w:p>
      <w:pPr>
        <w:ind w:left="2962"/>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sectPr>
          <w:pgSz w:w="11900" w:h="16838" w:orient="portrait"/>
          <w:cols w:equalWidth="0" w:num="2">
            <w:col w:w="3902" w:space="380"/>
            <w:col w:w="5939"/>
          </w:cols>
          <w:pgMar w:left="238" w:top="970" w:right="1440" w:bottom="1440" w:gutter="0" w:footer="0" w:header="0"/>
          <w:type w:val="continuous"/>
        </w:sectPr>
      </w:pPr>
    </w:p>
    <w:p>
      <w:pPr>
        <w:spacing w:after="0" w:line="2" w:lineRule="exact"/>
        <w:rPr>
          <w:sz w:val="24"/>
          <w:szCs w:val="24"/>
          <w:color w:val="auto"/>
        </w:rPr>
      </w:pPr>
    </w:p>
    <w:p>
      <w:pPr>
        <w:ind w:left="2482"/>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jc w:val="center"/>
        <w:ind w:right="4599"/>
        <w:spacing w:after="0"/>
        <w:rPr>
          <w:sz w:val="20"/>
          <w:szCs w:val="20"/>
          <w:color w:val="auto"/>
        </w:rPr>
      </w:pPr>
      <w:r>
        <w:rPr>
          <w:rFonts w:ascii="Courier New" w:cs="Courier New" w:eastAsia="Courier New" w:hAnsi="Courier New"/>
          <w:sz w:val="16"/>
          <w:szCs w:val="16"/>
          <w:color w:val="auto"/>
        </w:rPr>
        <w:t>1-8929</w:t>
      </w:r>
    </w:p>
    <w:p>
      <w:pPr>
        <w:spacing w:after="0" w:line="5" w:lineRule="exact"/>
        <w:rPr>
          <w:sz w:val="24"/>
          <w:szCs w:val="24"/>
          <w:color w:val="auto"/>
        </w:rPr>
      </w:pPr>
    </w:p>
    <w:p>
      <w:pPr>
        <w:jc w:val="center"/>
        <w:ind w:right="4599"/>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sectPr>
          <w:pgSz w:w="11900" w:h="16838" w:orient="portrait"/>
          <w:cols w:equalWidth="0" w:num="2">
            <w:col w:w="4582" w:space="100"/>
            <w:col w:w="5539"/>
          </w:cols>
          <w:pgMar w:left="238" w:top="970" w:right="1440" w:bottom="1440" w:gutter="0" w:footer="0" w:header="0"/>
          <w:type w:val="continuous"/>
        </w:sectPr>
      </w:pPr>
    </w:p>
    <w:p>
      <w:pPr>
        <w:ind w:left="2662"/>
        <w:spacing w:after="0"/>
        <w:rPr>
          <w:sz w:val="20"/>
          <w:szCs w:val="20"/>
          <w:color w:val="auto"/>
        </w:rPr>
      </w:pPr>
      <w:r>
        <w:rPr>
          <w:rFonts w:ascii="Courier New" w:cs="Courier New" w:eastAsia="Courier New" w:hAnsi="Courier New"/>
          <w:sz w:val="16"/>
          <w:szCs w:val="16"/>
          <w:color w:val="auto"/>
        </w:rPr>
        <w:t>ABM INDUSTRIES INCORPORATED</w:t>
      </w:r>
    </w:p>
    <w:p>
      <w:pPr>
        <w:spacing w:after="0" w:line="5"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42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(Exact name of registrant as specified in its charter)</w:t>
      </w:r>
    </w:p>
    <w:p>
      <w:pPr>
        <w:spacing w:after="0" w:line="186" w:lineRule="exact"/>
        <w:rPr>
          <w:sz w:val="24"/>
          <w:szCs w:val="24"/>
          <w:color w:val="auto"/>
        </w:rPr>
      </w:pPr>
    </w:p>
    <w:tbl>
      <w:tblPr>
        <w:tblLayout w:type="fixed"/>
        <w:tblInd w:w="1342" w:type="dxa"/>
        <w:tblCellMar>
          <w:top w:w="0" w:type="dxa"/>
          <w:left w:w="0" w:type="dxa"/>
          <w:bottom w:w="0" w:type="dxa"/>
          <w:right w:w="0" w:type="dxa"/>
        </w:tblCellMar>
      </w:tblPr>
      <w:tr>
        <w:trPr>
          <w:trHeight w:val="181"/>
        </w:trPr>
        <w:tc>
          <w:tcPr>
            <w:tcW w:w="228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rPr>
              <w:t>94-1369354</w:t>
            </w:r>
          </w:p>
        </w:tc>
      </w:tr>
    </w:tbl>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53" w:lineRule="exact"/>
        <w:rPr>
          <w:sz w:val="24"/>
          <w:szCs w:val="24"/>
          <w:color w:val="auto"/>
        </w:rPr>
      </w:pPr>
    </w:p>
    <w:p>
      <w:pPr>
        <w:ind w:left="282" w:right="3739"/>
        <w:spacing w:after="0" w:line="239" w:lineRule="auto"/>
        <w:rPr>
          <w:sz w:val="20"/>
          <w:szCs w:val="20"/>
          <w:color w:val="auto"/>
        </w:rPr>
      </w:pPr>
      <w:r>
        <w:rPr>
          <w:rFonts w:ascii="Courier New" w:cs="Courier New" w:eastAsia="Courier New" w:hAnsi="Courier New"/>
          <w:sz w:val="16"/>
          <w:szCs w:val="16"/>
          <w:color w:val="auto"/>
        </w:rPr>
        <w:t>(State or other jurisdiction of (IRS Employer incorporation or organization) Identification No.)</w:t>
      </w:r>
    </w:p>
    <w:p>
      <w:pPr>
        <w:spacing w:after="0" w:line="370"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160 PACIFIC AVENUE SUITE 222, SAN FRANCISCO, CALIFORNIA 94111</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720" w:type="dxa"/>
            <w:vAlign w:val="bottom"/>
          </w:tcPr>
          <w:p>
            <w:pPr>
              <w:spacing w:after="0"/>
              <w:rPr>
                <w:sz w:val="15"/>
                <w:szCs w:val="15"/>
                <w:color w:val="auto"/>
              </w:rPr>
            </w:pPr>
          </w:p>
        </w:tc>
        <w:tc>
          <w:tcPr>
            <w:tcW w:w="42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(Address of principal executive offices)</w:t>
            </w:r>
          </w:p>
        </w:tc>
        <w:tc>
          <w:tcPr>
            <w:tcW w:w="2620" w:type="dxa"/>
            <w:vAlign w:val="bottom"/>
          </w:tcPr>
          <w:p>
            <w:pPr>
              <w:ind w:left="1100"/>
              <w:spacing w:after="0"/>
              <w:rPr>
                <w:sz w:val="20"/>
                <w:szCs w:val="20"/>
                <w:color w:val="auto"/>
              </w:rPr>
            </w:pPr>
            <w:r>
              <w:rPr>
                <w:rFonts w:ascii="Courier New" w:cs="Courier New" w:eastAsia="Courier New" w:hAnsi="Courier New"/>
                <w:sz w:val="16"/>
                <w:szCs w:val="16"/>
                <w:color w:val="auto"/>
              </w:rPr>
              <w:t>(Zip Code)</w:t>
            </w:r>
          </w:p>
        </w:tc>
      </w:tr>
      <w:tr>
        <w:trPr>
          <w:trHeight w:val="367"/>
        </w:trPr>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Registrant's telephone</w:t>
            </w:r>
          </w:p>
        </w:tc>
        <w:tc>
          <w:tcPr>
            <w:tcW w:w="28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number, including area code:</w:t>
            </w:r>
          </w:p>
        </w:tc>
        <w:tc>
          <w:tcPr>
            <w:tcW w:w="26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(415) 733-4000</w:t>
            </w:r>
          </w:p>
        </w:tc>
      </w:tr>
      <w:tr>
        <w:trPr>
          <w:trHeight w:val="183"/>
        </w:trPr>
        <w:tc>
          <w:tcPr>
            <w:tcW w:w="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6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r>
      <w:tr>
        <w:trPr>
          <w:trHeight w:val="367"/>
        </w:trPr>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Indicate by check mark</w:t>
            </w:r>
          </w:p>
        </w:tc>
        <w:tc>
          <w:tcPr>
            <w:tcW w:w="54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whether the registrant (1)has filed all reports required</w:t>
            </w:r>
          </w:p>
        </w:tc>
      </w:tr>
      <w:tr>
        <w:trPr>
          <w:trHeight w:val="183"/>
        </w:trPr>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to be filed by Section</w:t>
            </w:r>
          </w:p>
        </w:tc>
        <w:tc>
          <w:tcPr>
            <w:tcW w:w="548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8"/>
              </w:rPr>
              <w:t>13 or 15(d) of the Securities Exchange Act of 1934 during</w:t>
            </w:r>
          </w:p>
        </w:tc>
      </w:tr>
      <w:tr>
        <w:trPr>
          <w:trHeight w:val="183"/>
        </w:trPr>
        <w:tc>
          <w:tcPr>
            <w:tcW w:w="2620" w:type="dxa"/>
            <w:vAlign w:val="bottom"/>
            <w:gridSpan w:val="3"/>
          </w:tcPr>
          <w:p>
            <w:pPr>
              <w:spacing w:after="0"/>
              <w:rPr>
                <w:sz w:val="20"/>
                <w:szCs w:val="20"/>
                <w:color w:val="auto"/>
              </w:rPr>
            </w:pPr>
            <w:r>
              <w:rPr>
                <w:rFonts w:ascii="Courier New" w:cs="Courier New" w:eastAsia="Courier New" w:hAnsi="Courier New"/>
                <w:sz w:val="16"/>
                <w:szCs w:val="16"/>
                <w:color w:val="auto"/>
              </w:rPr>
              <w:t>the preceding 12 months (or</w:t>
            </w:r>
          </w:p>
        </w:tc>
        <w:tc>
          <w:tcPr>
            <w:tcW w:w="50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such shorter period that the registrant was required</w:t>
            </w:r>
          </w:p>
        </w:tc>
      </w:tr>
      <w:tr>
        <w:trPr>
          <w:trHeight w:val="183"/>
        </w:trPr>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to file such reports),</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and</w:t>
            </w:r>
          </w:p>
        </w:tc>
        <w:tc>
          <w:tcPr>
            <w:tcW w:w="50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(2)has been subject to such filing requirements for</w:t>
            </w:r>
          </w:p>
        </w:tc>
      </w:tr>
      <w:tr>
        <w:trPr>
          <w:trHeight w:val="183"/>
        </w:trPr>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the past 90 days.</w:t>
            </w:r>
          </w:p>
        </w:tc>
        <w:tc>
          <w:tcPr>
            <w:tcW w:w="4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3"/>
        </w:trPr>
        <w:tc>
          <w:tcPr>
            <w:tcW w:w="720" w:type="dxa"/>
            <w:vAlign w:val="bottom"/>
          </w:tcPr>
          <w:p>
            <w:pPr>
              <w:spacing w:after="0"/>
              <w:rPr>
                <w:sz w:val="20"/>
                <w:szCs w:val="20"/>
                <w:color w:val="auto"/>
              </w:rPr>
            </w:pPr>
            <w:r>
              <w:rPr>
                <w:rFonts w:ascii="Courier New" w:cs="Courier New" w:eastAsia="Courier New" w:hAnsi="Courier New"/>
                <w:sz w:val="16"/>
                <w:szCs w:val="16"/>
                <w:color w:val="auto"/>
              </w:rPr>
              <w:t>Yes  X</w:t>
            </w:r>
          </w:p>
        </w:tc>
        <w:tc>
          <w:tcPr>
            <w:tcW w:w="1420" w:type="dxa"/>
            <w:vAlign w:val="bottom"/>
          </w:tcPr>
          <w:p>
            <w:pPr>
              <w:jc w:val="right"/>
              <w:ind w:right="1101"/>
              <w:spacing w:after="0"/>
              <w:rPr>
                <w:sz w:val="20"/>
                <w:szCs w:val="20"/>
                <w:color w:val="auto"/>
              </w:rPr>
            </w:pPr>
            <w:r>
              <w:rPr>
                <w:rFonts w:ascii="Courier New" w:cs="Courier New" w:eastAsia="Courier New" w:hAnsi="Courier New"/>
                <w:sz w:val="16"/>
                <w:szCs w:val="16"/>
                <w:color w:val="auto"/>
              </w:rPr>
              <w:t>No</w:t>
            </w:r>
          </w:p>
        </w:tc>
        <w:tc>
          <w:tcPr>
            <w:tcW w:w="4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3"/>
        </w:trPr>
        <w:tc>
          <w:tcPr>
            <w:tcW w:w="7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620" w:type="dxa"/>
            <w:vAlign w:val="bottom"/>
          </w:tcPr>
          <w:p>
            <w:pPr>
              <w:spacing w:after="0"/>
              <w:rPr>
                <w:sz w:val="15"/>
                <w:szCs w:val="15"/>
                <w:color w:val="auto"/>
              </w:rPr>
            </w:pPr>
          </w:p>
        </w:tc>
      </w:tr>
    </w:tbl>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Number of shares of Common Stock outstanding as of</w:t>
      </w:r>
    </w:p>
    <w:p>
      <w:pPr>
        <w:spacing w:after="0" w:line="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April 30, 1998: 21,167,530</w:t>
      </w:r>
    </w:p>
    <w:p>
      <w:pPr>
        <w:sectPr>
          <w:pgSz w:w="11900" w:h="16838" w:orient="portrait"/>
          <w:cols w:equalWidth="0" w:num="1">
            <w:col w:w="10221"/>
          </w:cols>
          <w:pgMar w:left="238" w:top="970" w:right="1440" w:bottom="1440" w:gutter="0" w:footer="0" w:header="0"/>
          <w:type w:val="continuous"/>
        </w:sectPr>
      </w:pPr>
    </w:p>
    <w:bookmarkStart w:id="1" w:name="page2"/>
    <w:bookmarkEnd w:id="1"/>
    <w:p>
      <w:pPr>
        <w:jc w:val="center"/>
        <w:ind w:right="2299"/>
        <w:spacing w:after="0"/>
        <w:rPr>
          <w:sz w:val="20"/>
          <w:szCs w:val="20"/>
          <w:color w:val="auto"/>
        </w:rPr>
      </w:pPr>
      <w:r>
        <w:rPr>
          <w:rFonts w:ascii="Courier New" w:cs="Courier New" w:eastAsia="Courier New" w:hAnsi="Courier New"/>
          <w:sz w:val="16"/>
          <w:szCs w:val="16"/>
          <w:color w:val="auto"/>
        </w:rPr>
        <w:t>ABM INDUSTRIES INCORPORATED</w:t>
      </w:r>
    </w:p>
    <w:p>
      <w:pPr>
        <w:spacing w:after="0" w:line="2"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6"/>
          <w:szCs w:val="16"/>
          <w:color w:val="auto"/>
        </w:rPr>
        <w:t>FOR THE THREE MONTHS AND SIX MONTHS ENDED APRIL 30, 1998</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6340" w:type="dxa"/>
            <w:vAlign w:val="bottom"/>
          </w:tcPr>
          <w:p>
            <w:pPr>
              <w:jc w:val="right"/>
              <w:ind w:right="2401"/>
              <w:spacing w:after="0"/>
              <w:rPr>
                <w:sz w:val="20"/>
                <w:szCs w:val="20"/>
                <w:color w:val="auto"/>
              </w:rPr>
            </w:pPr>
            <w:r>
              <w:rPr>
                <w:rFonts w:ascii="Courier New" w:cs="Courier New" w:eastAsia="Courier New" w:hAnsi="Courier New"/>
                <w:sz w:val="16"/>
                <w:szCs w:val="16"/>
                <w:color w:val="auto"/>
              </w:rPr>
              <w:t>TABLE OF CONTENTS</w:t>
            </w:r>
          </w:p>
        </w:tc>
        <w:tc>
          <w:tcPr>
            <w:tcW w:w="580" w:type="dxa"/>
            <w:vAlign w:val="bottom"/>
          </w:tcPr>
          <w:p>
            <w:pPr>
              <w:spacing w:after="0"/>
              <w:rPr>
                <w:sz w:val="15"/>
                <w:szCs w:val="15"/>
                <w:color w:val="auto"/>
              </w:rPr>
            </w:pPr>
          </w:p>
        </w:tc>
      </w:tr>
      <w:tr>
        <w:trPr>
          <w:trHeight w:val="734"/>
        </w:trPr>
        <w:tc>
          <w:tcPr>
            <w:tcW w:w="90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6340" w:type="dxa"/>
            <w:vAlign w:val="bottom"/>
          </w:tcPr>
          <w:p>
            <w:pPr>
              <w:spacing w:after="0"/>
              <w:rPr>
                <w:sz w:val="24"/>
                <w:szCs w:val="24"/>
                <w:color w:val="auto"/>
              </w:rPr>
            </w:pP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PAGE</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0"/>
        </w:trPr>
        <w:tc>
          <w:tcPr>
            <w:tcW w:w="90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w w:val="99"/>
              </w:rPr>
              <w:t>Consolidated Financial Statements.................................</w:t>
            </w:r>
          </w:p>
        </w:tc>
        <w:tc>
          <w:tcPr>
            <w:tcW w:w="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w:t>
            </w:r>
          </w:p>
        </w:tc>
      </w:tr>
      <w:tr>
        <w:trPr>
          <w:trHeight w:val="183"/>
        </w:trPr>
        <w:tc>
          <w:tcPr>
            <w:tcW w:w="900" w:type="dxa"/>
            <w:vAlign w:val="bottom"/>
          </w:tcPr>
          <w:p>
            <w:pPr>
              <w:spacing w:after="0"/>
              <w:rPr>
                <w:sz w:val="15"/>
                <w:szCs w:val="15"/>
                <w:color w:val="auto"/>
              </w:rPr>
            </w:pPr>
          </w:p>
        </w:tc>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Notes to the Consolidated Financial Statements..................</w:t>
            </w:r>
          </w:p>
        </w:tc>
        <w:tc>
          <w:tcPr>
            <w:tcW w:w="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6340" w:type="dxa"/>
            <w:vAlign w:val="bottom"/>
          </w:tcPr>
          <w:p>
            <w:pPr>
              <w:jc w:val="right"/>
              <w:ind w:right="1541"/>
              <w:spacing w:after="0"/>
              <w:rPr>
                <w:sz w:val="20"/>
                <w:szCs w:val="20"/>
                <w:color w:val="auto"/>
              </w:rPr>
            </w:pPr>
            <w:r>
              <w:rPr>
                <w:rFonts w:ascii="Courier New" w:cs="Courier New" w:eastAsia="Courier New" w:hAnsi="Courier New"/>
                <w:sz w:val="16"/>
                <w:szCs w:val="16"/>
                <w:color w:val="auto"/>
                <w:w w:val="99"/>
              </w:rPr>
              <w:t>Management's Discussion and Analysis of Financial</w:t>
            </w:r>
          </w:p>
        </w:tc>
        <w:tc>
          <w:tcPr>
            <w:tcW w:w="58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rPr>
              <w:t>Condition and Results of Operations.............................</w:t>
            </w:r>
          </w:p>
        </w:tc>
        <w:tc>
          <w:tcPr>
            <w:tcW w:w="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w:t>
            </w:r>
          </w:p>
        </w:tc>
      </w:tr>
      <w:tr>
        <w:trPr>
          <w:trHeight w:val="550"/>
        </w:trPr>
        <w:tc>
          <w:tcPr>
            <w:tcW w:w="90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6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3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550"/>
        </w:trPr>
        <w:tc>
          <w:tcPr>
            <w:tcW w:w="90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6340" w:type="dxa"/>
            <w:vAlign w:val="bottom"/>
          </w:tcPr>
          <w:p>
            <w:pPr>
              <w:jc w:val="right"/>
              <w:spacing w:after="0"/>
              <w:rPr>
                <w:sz w:val="20"/>
                <w:szCs w:val="20"/>
                <w:color w:val="auto"/>
              </w:rPr>
            </w:pPr>
            <w:r>
              <w:rPr>
                <w:rFonts w:ascii="Courier New" w:cs="Courier New" w:eastAsia="Courier New" w:hAnsi="Courier New"/>
                <w:sz w:val="16"/>
                <w:szCs w:val="16"/>
                <w:color w:val="auto"/>
                <w:w w:val="99"/>
              </w:rPr>
              <w:t>Exhibits and Reports on Form 8-K..................................</w:t>
            </w:r>
          </w:p>
        </w:tc>
        <w:tc>
          <w:tcPr>
            <w:tcW w:w="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65" w:right="1440" w:bottom="1440" w:gutter="0" w:footer="0" w:header="0"/>
        </w:sectPr>
      </w:pPr>
    </w:p>
    <w:bookmarkStart w:id="2" w:name="page3"/>
    <w:bookmarkEnd w:id="2"/>
    <w:p>
      <w:pPr>
        <w:ind w:left="2"/>
        <w:spacing w:after="0"/>
        <w:tabs>
          <w:tab w:leader="none" w:pos="842" w:val="left"/>
        </w:tabs>
        <w:rPr>
          <w:sz w:val="20"/>
          <w:szCs w:val="20"/>
          <w:color w:val="auto"/>
        </w:rPr>
      </w:pPr>
      <w:r>
        <w:rPr>
          <w:rFonts w:ascii="Courier New" w:cs="Courier New" w:eastAsia="Courier New" w:hAnsi="Courier New"/>
          <w:sz w:val="16"/>
          <w:szCs w:val="16"/>
          <w:color w:val="auto"/>
        </w:rPr>
        <w:t>PART 1.</w:t>
      </w:r>
      <w:r>
        <w:rPr>
          <w:sz w:val="20"/>
          <w:szCs w:val="20"/>
          <w:color w:val="auto"/>
        </w:rPr>
        <w:tab/>
      </w:r>
      <w:r>
        <w:rPr>
          <w:rFonts w:ascii="Courier New" w:cs="Courier New" w:eastAsia="Courier New" w:hAnsi="Courier New"/>
          <w:sz w:val="15"/>
          <w:szCs w:val="15"/>
          <w:color w:val="auto"/>
        </w:rPr>
        <w:t>FINANCIAL INFORMATION</w:t>
      </w:r>
    </w:p>
    <w:p>
      <w:pPr>
        <w:spacing w:after="0" w:line="186"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Consolidated Financial Statements</w:t>
      </w:r>
    </w:p>
    <w:p>
      <w:pPr>
        <w:spacing w:after="0" w:line="186" w:lineRule="exact"/>
        <w:rPr>
          <w:sz w:val="20"/>
          <w:szCs w:val="20"/>
          <w:color w:val="auto"/>
        </w:rPr>
      </w:pPr>
    </w:p>
    <w:p>
      <w:pPr>
        <w:jc w:val="center"/>
        <w:ind w:right="2217"/>
        <w:spacing w:after="0"/>
        <w:rPr>
          <w:sz w:val="20"/>
          <w:szCs w:val="20"/>
          <w:color w:val="auto"/>
        </w:rPr>
      </w:pPr>
      <w:r>
        <w:rPr>
          <w:rFonts w:ascii="Courier New" w:cs="Courier New" w:eastAsia="Courier New" w:hAnsi="Courier New"/>
          <w:sz w:val="16"/>
          <w:szCs w:val="16"/>
          <w:color w:val="auto"/>
        </w:rPr>
        <w:t>ABM INDUSTRIES INCORPORATED AND SUBSIDIARIES</w:t>
      </w:r>
    </w:p>
    <w:p>
      <w:pPr>
        <w:spacing w:after="0" w:line="2" w:lineRule="exact"/>
        <w:rPr>
          <w:sz w:val="20"/>
          <w:szCs w:val="20"/>
          <w:color w:val="auto"/>
        </w:rPr>
      </w:pPr>
    </w:p>
    <w:p>
      <w:pPr>
        <w:jc w:val="center"/>
        <w:ind w:right="2317"/>
        <w:spacing w:after="0"/>
        <w:rPr>
          <w:sz w:val="20"/>
          <w:szCs w:val="20"/>
          <w:color w:val="auto"/>
        </w:rPr>
      </w:pPr>
      <w:r>
        <w:rPr>
          <w:rFonts w:ascii="Courier New" w:cs="Courier New" w:eastAsia="Courier New" w:hAnsi="Courier New"/>
          <w:sz w:val="16"/>
          <w:szCs w:val="16"/>
          <w:color w:val="auto"/>
        </w:rPr>
        <w:t>CONSOLIDATED BALANCE SHEETS</w:t>
      </w:r>
    </w:p>
    <w:p>
      <w:pPr>
        <w:spacing w:after="0" w:line="2" w:lineRule="exact"/>
        <w:rPr>
          <w:sz w:val="20"/>
          <w:szCs w:val="20"/>
          <w:color w:val="auto"/>
        </w:rPr>
      </w:pPr>
    </w:p>
    <w:p>
      <w:pPr>
        <w:jc w:val="center"/>
        <w:ind w:right="2317"/>
        <w:spacing w:after="0"/>
        <w:rPr>
          <w:sz w:val="20"/>
          <w:szCs w:val="20"/>
          <w:color w:val="auto"/>
        </w:rPr>
      </w:pPr>
      <w:r>
        <w:rPr>
          <w:rFonts w:ascii="Courier New" w:cs="Courier New" w:eastAsia="Courier New" w:hAnsi="Courier New"/>
          <w:sz w:val="16"/>
          <w:szCs w:val="16"/>
          <w:color w:val="auto"/>
        </w:rPr>
        <w:t>(in thousands except share amounts)</w:t>
      </w:r>
    </w:p>
    <w:p>
      <w:pPr>
        <w:spacing w:after="0" w:line="372"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76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OCTOBER</w:t>
            </w:r>
          </w:p>
        </w:tc>
        <w:tc>
          <w:tcPr>
            <w:tcW w:w="5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31,</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APRIL 30,</w:t>
            </w:r>
          </w:p>
        </w:tc>
      </w:t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56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1998</w:t>
            </w:r>
          </w:p>
        </w:tc>
      </w:tr>
    </w:tbl>
    <w:p>
      <w:pPr>
        <w:spacing w:after="0" w:line="5" w:lineRule="exact"/>
        <w:rPr>
          <w:sz w:val="20"/>
          <w:szCs w:val="20"/>
          <w:color w:val="auto"/>
        </w:rPr>
      </w:pPr>
    </w:p>
    <w:p>
      <w:pPr>
        <w:ind w:left="182" w:hanging="182"/>
        <w:spacing w:after="0"/>
        <w:tabs>
          <w:tab w:leader="none" w:pos="1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630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45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458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1,783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  1,750</w:t>
            </w:r>
          </w:p>
        </w:tc>
      </w:tr>
      <w:tr>
        <w:trPr>
          <w:trHeight w:val="183"/>
        </w:trPr>
        <w:tc>
          <w:tcPr>
            <w:tcW w:w="458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net</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234,464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240,168</w:t>
            </w:r>
          </w:p>
        </w:tc>
      </w:tr>
      <w:tr>
        <w:trPr>
          <w:trHeight w:val="183"/>
        </w:trPr>
        <w:tc>
          <w:tcPr>
            <w:tcW w:w="4580" w:type="dxa"/>
            <w:vAlign w:val="bottom"/>
          </w:tcPr>
          <w:p>
            <w:pPr>
              <w:ind w:left="280"/>
              <w:spacing w:after="0"/>
              <w:rPr>
                <w:sz w:val="20"/>
                <w:szCs w:val="20"/>
                <w:color w:val="auto"/>
              </w:rPr>
            </w:pPr>
            <w:r>
              <w:rPr>
                <w:rFonts w:ascii="Courier New" w:cs="Courier New" w:eastAsia="Courier New" w:hAnsi="Courier New"/>
                <w:sz w:val="16"/>
                <w:szCs w:val="16"/>
                <w:color w:val="auto"/>
              </w:rPr>
              <w:t>Inventories</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21,197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22,285</w:t>
            </w:r>
          </w:p>
        </w:tc>
      </w:tr>
      <w:tr>
        <w:trPr>
          <w:trHeight w:val="183"/>
        </w:trPr>
        <w:tc>
          <w:tcPr>
            <w:tcW w:w="458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10,968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9,458</w:t>
            </w:r>
          </w:p>
        </w:tc>
      </w:tr>
      <w:tr>
        <w:trPr>
          <w:trHeight w:val="183"/>
        </w:trPr>
        <w:tc>
          <w:tcPr>
            <w:tcW w:w="4580" w:type="dxa"/>
            <w:vAlign w:val="bottom"/>
          </w:tcPr>
          <w:p>
            <w:pPr>
              <w:ind w:left="2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26,005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29,467</w:t>
            </w:r>
          </w:p>
        </w:tc>
      </w:tr>
    </w:tbl>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tbl>
      <w:tblPr>
        <w:tblLayout w:type="fixed"/>
        <w:tblInd w:w="582" w:type="dxa"/>
        <w:tblCellMar>
          <w:top w:w="0" w:type="dxa"/>
          <w:left w:w="0" w:type="dxa"/>
          <w:bottom w:w="0" w:type="dxa"/>
          <w:right w:w="0" w:type="dxa"/>
        </w:tblCellMar>
      </w:tblP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rPr>
              <w:t>Total current assets</w:t>
            </w:r>
          </w:p>
        </w:tc>
        <w:tc>
          <w:tcPr>
            <w:tcW w:w="2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294,417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303,128</w:t>
            </w:r>
          </w:p>
        </w:tc>
      </w:tr>
    </w:tbl>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4440" w:type="dxa"/>
            <w:vAlign w:val="bottom"/>
          </w:tcPr>
          <w:p>
            <w:pPr>
              <w:spacing w:after="0"/>
              <w:rPr>
                <w:sz w:val="20"/>
                <w:szCs w:val="20"/>
                <w:color w:val="auto"/>
              </w:rPr>
            </w:pPr>
            <w:r>
              <w:rPr>
                <w:rFonts w:ascii="Courier New" w:cs="Courier New" w:eastAsia="Courier New" w:hAnsi="Courier New"/>
                <w:sz w:val="16"/>
                <w:szCs w:val="16"/>
                <w:color w:val="auto"/>
              </w:rPr>
              <w:t>INVESTMENTS AND LONG-TERM RECEIVABLES</w:t>
            </w:r>
          </w:p>
        </w:tc>
        <w:tc>
          <w:tcPr>
            <w:tcW w:w="17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12,900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13,281</w:t>
            </w:r>
          </w:p>
        </w:tc>
      </w:tr>
      <w:tr>
        <w:trPr>
          <w:trHeight w:val="367"/>
        </w:trPr>
        <w:tc>
          <w:tcPr>
            <w:tcW w:w="444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AT COST:</w:t>
            </w: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Land and buildings</w:t>
            </w:r>
          </w:p>
        </w:tc>
        <w:tc>
          <w:tcPr>
            <w:tcW w:w="17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4,684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4,746</w:t>
            </w: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Transportation equipment</w:t>
            </w:r>
          </w:p>
        </w:tc>
        <w:tc>
          <w:tcPr>
            <w:tcW w:w="17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11,211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11,609</w:t>
            </w: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Machinery and other equipment</w:t>
            </w:r>
          </w:p>
        </w:tc>
        <w:tc>
          <w:tcPr>
            <w:tcW w:w="17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46,147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48,060</w:t>
            </w: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Leasehold improvements</w:t>
            </w:r>
          </w:p>
        </w:tc>
        <w:tc>
          <w:tcPr>
            <w:tcW w:w="17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10,476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11,436</w:t>
            </w:r>
          </w:p>
        </w:tc>
      </w:tr>
    </w:tbl>
    <w:p>
      <w:pPr>
        <w:spacing w:after="0" w:line="5" w:lineRule="exact"/>
        <w:rPr>
          <w:sz w:val="20"/>
          <w:szCs w:val="20"/>
          <w:color w:val="auto"/>
        </w:rPr>
      </w:pPr>
    </w:p>
    <w:p>
      <w:pPr>
        <w:ind w:left="182" w:hanging="182"/>
        <w:spacing w:after="0"/>
        <w:tabs>
          <w:tab w:leader="none" w:pos="18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51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72,51875,851</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476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45,934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49,297</w:t>
            </w:r>
          </w:p>
        </w:tc>
      </w:tr>
    </w:tbl>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42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19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26,584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26,554</w:t>
            </w:r>
          </w:p>
        </w:tc>
      </w:tr>
    </w:tbl>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620" w:type="dxa"/>
            <w:vAlign w:val="bottom"/>
          </w:tcPr>
          <w:p>
            <w:pPr>
              <w:spacing w:after="0"/>
              <w:rPr>
                <w:sz w:val="20"/>
                <w:szCs w:val="20"/>
                <w:color w:val="auto"/>
              </w:rPr>
            </w:pPr>
            <w:r>
              <w:rPr>
                <w:rFonts w:ascii="Courier New" w:cs="Courier New" w:eastAsia="Courier New" w:hAnsi="Courier New"/>
                <w:sz w:val="16"/>
                <w:szCs w:val="16"/>
                <w:color w:val="auto"/>
              </w:rPr>
              <w:t>INTANGIBLE ASSETS - NET</w:t>
            </w:r>
          </w:p>
        </w:tc>
        <w:tc>
          <w:tcPr>
            <w:tcW w:w="2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100,313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100,512</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2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25,426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28,492</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7,512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7,101</w:t>
            </w:r>
          </w:p>
        </w:tc>
      </w:tr>
    </w:tbl>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p>
      <w:pPr>
        <w:ind w:left="4962"/>
        <w:spacing w:after="0"/>
        <w:tabs>
          <w:tab w:leader="none" w:pos="6362" w:val="left"/>
        </w:tabs>
        <w:rPr>
          <w:sz w:val="20"/>
          <w:szCs w:val="20"/>
          <w:color w:val="auto"/>
        </w:rPr>
      </w:pPr>
      <w:r>
        <w:rPr>
          <w:rFonts w:ascii="Courier New" w:cs="Courier New" w:eastAsia="Courier New" w:hAnsi="Courier New"/>
          <w:sz w:val="16"/>
          <w:szCs w:val="16"/>
          <w:color w:val="auto"/>
        </w:rPr>
        <w:t>$467,152</w:t>
      </w:r>
      <w:r>
        <w:rPr>
          <w:sz w:val="20"/>
          <w:szCs w:val="20"/>
          <w:color w:val="auto"/>
        </w:rPr>
        <w:tab/>
      </w:r>
      <w:r>
        <w:rPr>
          <w:rFonts w:ascii="Courier New" w:cs="Courier New" w:eastAsia="Courier New" w:hAnsi="Courier New"/>
          <w:sz w:val="16"/>
          <w:szCs w:val="16"/>
          <w:color w:val="auto"/>
        </w:rPr>
        <w:t>$479,068</w:t>
      </w:r>
    </w:p>
    <w:p>
      <w:pPr>
        <w:spacing w:after="0" w:line="5" w:lineRule="exact"/>
        <w:rPr>
          <w:sz w:val="20"/>
          <w:szCs w:val="20"/>
          <w:color w:val="auto"/>
        </w:rPr>
      </w:pPr>
    </w:p>
    <w:p>
      <w:pPr>
        <w:ind w:left="182" w:hanging="182"/>
        <w:spacing w:after="0"/>
        <w:tabs>
          <w:tab w:leader="none" w:pos="18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482"/>
        <w:spacing w:after="0"/>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8" w:top="665" w:right="1440" w:bottom="1440" w:gutter="0" w:footer="0" w:header="0"/>
        </w:sectPr>
      </w:pPr>
    </w:p>
    <w:bookmarkStart w:id="3" w:name="page4"/>
    <w:bookmarkEnd w:id="3"/>
    <w:p>
      <w:pPr>
        <w:jc w:val="center"/>
        <w:ind w:right="3357"/>
        <w:spacing w:after="0"/>
        <w:rPr>
          <w:sz w:val="20"/>
          <w:szCs w:val="20"/>
          <w:color w:val="auto"/>
        </w:rPr>
      </w:pPr>
      <w:r>
        <w:rPr>
          <w:rFonts w:ascii="Courier New" w:cs="Courier New" w:eastAsia="Courier New" w:hAnsi="Courier New"/>
          <w:sz w:val="16"/>
          <w:szCs w:val="16"/>
          <w:color w:val="auto"/>
        </w:rPr>
        <w:t>ABM INDUSTRIES INCORPORATED AND SUBSIDIARIES</w:t>
      </w:r>
    </w:p>
    <w:p>
      <w:pPr>
        <w:spacing w:after="0" w:line="2" w:lineRule="exact"/>
        <w:rPr>
          <w:sz w:val="20"/>
          <w:szCs w:val="20"/>
          <w:color w:val="auto"/>
        </w:rPr>
      </w:pPr>
    </w:p>
    <w:p>
      <w:pPr>
        <w:jc w:val="center"/>
        <w:ind w:right="3457"/>
        <w:spacing w:after="0"/>
        <w:rPr>
          <w:sz w:val="20"/>
          <w:szCs w:val="20"/>
          <w:color w:val="auto"/>
        </w:rPr>
      </w:pPr>
      <w:r>
        <w:rPr>
          <w:rFonts w:ascii="Courier New" w:cs="Courier New" w:eastAsia="Courier New" w:hAnsi="Courier New"/>
          <w:sz w:val="16"/>
          <w:szCs w:val="16"/>
          <w:color w:val="auto"/>
        </w:rPr>
        <w:t>CONSOLIDATED BALANCE SHEETS</w:t>
      </w:r>
    </w:p>
    <w:p>
      <w:pPr>
        <w:spacing w:after="0" w:line="2" w:lineRule="exact"/>
        <w:rPr>
          <w:sz w:val="20"/>
          <w:szCs w:val="20"/>
          <w:color w:val="auto"/>
        </w:rPr>
      </w:pPr>
    </w:p>
    <w:p>
      <w:pPr>
        <w:jc w:val="center"/>
        <w:ind w:right="3457"/>
        <w:spacing w:after="0"/>
        <w:rPr>
          <w:sz w:val="20"/>
          <w:szCs w:val="20"/>
          <w:color w:val="auto"/>
        </w:rPr>
      </w:pPr>
      <w:r>
        <w:rPr>
          <w:rFonts w:ascii="Courier New" w:cs="Courier New" w:eastAsia="Courier New" w:hAnsi="Courier New"/>
          <w:sz w:val="16"/>
          <w:szCs w:val="16"/>
          <w:color w:val="auto"/>
        </w:rPr>
        <w:t>(in thousands except share amounts)</w:t>
      </w:r>
    </w:p>
    <w:p>
      <w:pPr>
        <w:spacing w:after="0" w:line="200" w:lineRule="exact"/>
        <w:rPr>
          <w:sz w:val="20"/>
          <w:szCs w:val="20"/>
          <w:color w:val="auto"/>
        </w:rPr>
      </w:pPr>
    </w:p>
    <w:p>
      <w:pPr>
        <w:spacing w:after="0" w:line="35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4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OCTOBER</w:t>
            </w:r>
          </w:p>
        </w:tc>
        <w:tc>
          <w:tcPr>
            <w:tcW w:w="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APRIL 30,</w:t>
            </w:r>
          </w:p>
        </w:tc>
      </w:tr>
      <w:tr>
        <w:trPr>
          <w:trHeight w:val="183"/>
        </w:trPr>
        <w:tc>
          <w:tcPr>
            <w:tcW w:w="424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52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1998</w:t>
            </w:r>
          </w:p>
        </w:tc>
      </w:tr>
    </w:tbl>
    <w:p>
      <w:pPr>
        <w:spacing w:after="0" w:line="5" w:lineRule="exact"/>
        <w:rPr>
          <w:sz w:val="20"/>
          <w:szCs w:val="20"/>
          <w:color w:val="auto"/>
        </w:rPr>
      </w:pPr>
    </w:p>
    <w:p>
      <w:pPr>
        <w:ind w:left="182" w:hanging="182"/>
        <w:spacing w:after="0"/>
        <w:tabs>
          <w:tab w:leader="none" w:pos="18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63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(Unaudited)</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4960" w:type="dxa"/>
            <w:vAlign w:val="bottom"/>
          </w:tcPr>
          <w:p>
            <w:pPr>
              <w:jc w:val="right"/>
              <w:ind w:right="2981"/>
              <w:spacing w:after="0"/>
              <w:rPr>
                <w:sz w:val="20"/>
                <w:szCs w:val="20"/>
                <w:color w:val="auto"/>
              </w:rPr>
            </w:pPr>
            <w:r>
              <w:rPr>
                <w:rFonts w:ascii="Courier New" w:cs="Courier New" w:eastAsia="Courier New" w:hAnsi="Courier New"/>
                <w:sz w:val="16"/>
                <w:szCs w:val="16"/>
                <w:color w:val="auto"/>
                <w:w w:val="97"/>
              </w:rPr>
              <w:t>CURRENT LIABILITIES:</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4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Current  portion of long-term debt..............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1,393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1,492</w:t>
            </w:r>
          </w:p>
        </w:tc>
      </w:tr>
      <w:tr>
        <w:trPr>
          <w:trHeight w:val="183"/>
        </w:trPr>
        <w:tc>
          <w:tcPr>
            <w:tcW w:w="4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Bank overdraft .................................</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12,975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19,660</w:t>
            </w:r>
          </w:p>
        </w:tc>
      </w:tr>
      <w:tr>
        <w:trPr>
          <w:trHeight w:val="183"/>
        </w:trPr>
        <w:tc>
          <w:tcPr>
            <w:tcW w:w="4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Trade accounts payable..........................</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34,555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29,710</w:t>
            </w:r>
          </w:p>
        </w:tc>
      </w:tr>
      <w:tr>
        <w:trPr>
          <w:trHeight w:val="183"/>
        </w:trPr>
        <w:tc>
          <w:tcPr>
            <w:tcW w:w="4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Income taxes payable ...........................</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4,265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2,681</w:t>
            </w:r>
          </w:p>
        </w:tc>
      </w:tr>
      <w:tr>
        <w:trPr>
          <w:trHeight w:val="183"/>
        </w:trPr>
        <w:tc>
          <w:tcPr>
            <w:tcW w:w="4960" w:type="dxa"/>
            <w:vAlign w:val="bottom"/>
          </w:tcPr>
          <w:p>
            <w:pPr>
              <w:jc w:val="right"/>
              <w:ind w:right="2681"/>
              <w:spacing w:after="0"/>
              <w:rPr>
                <w:sz w:val="20"/>
                <w:szCs w:val="20"/>
                <w:color w:val="auto"/>
              </w:rPr>
            </w:pPr>
            <w:r>
              <w:rPr>
                <w:rFonts w:ascii="Courier New" w:cs="Courier New" w:eastAsia="Courier New" w:hAnsi="Courier New"/>
                <w:sz w:val="16"/>
                <w:szCs w:val="16"/>
                <w:color w:val="auto"/>
              </w:rPr>
              <w:t>Accrued Liabilities:</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4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Compensation.................................</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35,965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36,772</w:t>
            </w:r>
          </w:p>
        </w:tc>
      </w:tr>
      <w:tr>
        <w:trPr>
          <w:trHeight w:val="183"/>
        </w:trPr>
        <w:tc>
          <w:tcPr>
            <w:tcW w:w="4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Taxes - other than income....................</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12,609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13,770</w:t>
            </w:r>
          </w:p>
        </w:tc>
      </w:tr>
      <w:tr>
        <w:trPr>
          <w:trHeight w:val="183"/>
        </w:trPr>
        <w:tc>
          <w:tcPr>
            <w:tcW w:w="4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Insurance claims.............................</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25,479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25,210</w:t>
            </w:r>
          </w:p>
        </w:tc>
      </w:tr>
      <w:tr>
        <w:trPr>
          <w:trHeight w:val="183"/>
        </w:trPr>
        <w:tc>
          <w:tcPr>
            <w:tcW w:w="4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29,419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27,062</w:t>
            </w:r>
          </w:p>
        </w:tc>
      </w:tr>
    </w:tbl>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Total</w:t>
            </w:r>
          </w:p>
        </w:tc>
        <w:tc>
          <w:tcPr>
            <w:tcW w:w="3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current liabilities.................</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156,660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156,357</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w w:val="97"/>
              </w:rPr>
              <w:t>Long-Term</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Debt</w:t>
            </w:r>
          </w:p>
        </w:tc>
        <w:tc>
          <w:tcPr>
            <w:tcW w:w="3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(less current portion)..............</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38,402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33,725</w:t>
            </w:r>
          </w:p>
        </w:tc>
      </w:tr>
      <w:tr>
        <w:trPr>
          <w:trHeight w:val="183"/>
        </w:trPr>
        <w:tc>
          <w:tcPr>
            <w:tcW w:w="500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w w:val="98"/>
              </w:rPr>
              <w:t>Retirement plans...................................</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13,413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14,950</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w w:val="97"/>
              </w:rPr>
              <w:t>Insurance</w:t>
            </w:r>
          </w:p>
        </w:tc>
        <w:tc>
          <w:tcPr>
            <w:tcW w:w="41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claims...................................</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54,464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54,441</w:t>
            </w:r>
          </w:p>
        </w:tc>
      </w:tr>
    </w:tbl>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862"/>
        <w:spacing w:after="0"/>
        <w:tabs>
          <w:tab w:leader="none" w:pos="5122" w:val="left"/>
          <w:tab w:leader="none" w:pos="6362" w:val="left"/>
        </w:tabs>
        <w:rPr>
          <w:sz w:val="20"/>
          <w:szCs w:val="20"/>
          <w:color w:val="auto"/>
        </w:rPr>
      </w:pPr>
      <w:r>
        <w:rPr>
          <w:rFonts w:ascii="Courier New" w:cs="Courier New" w:eastAsia="Courier New" w:hAnsi="Courier New"/>
          <w:sz w:val="16"/>
          <w:szCs w:val="16"/>
          <w:color w:val="auto"/>
        </w:rPr>
        <w:t>Total Liabilities.........................</w:t>
        <w:tab/>
        <w:t>262,939</w:t>
      </w:r>
      <w:r>
        <w:rPr>
          <w:sz w:val="20"/>
          <w:szCs w:val="20"/>
          <w:color w:val="auto"/>
        </w:rPr>
        <w:tab/>
      </w:r>
      <w:r>
        <w:rPr>
          <w:rFonts w:ascii="Courier New" w:cs="Courier New" w:eastAsia="Courier New" w:hAnsi="Courier New"/>
          <w:sz w:val="16"/>
          <w:szCs w:val="16"/>
          <w:color w:val="auto"/>
        </w:rPr>
        <w:t>259,473</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5000" w:type="dxa"/>
            <w:vAlign w:val="bottom"/>
          </w:tcPr>
          <w:p>
            <w:pPr>
              <w:spacing w:after="0"/>
              <w:rPr>
                <w:sz w:val="20"/>
                <w:szCs w:val="20"/>
                <w:color w:val="auto"/>
              </w:rPr>
            </w:pPr>
            <w:r>
              <w:rPr>
                <w:rFonts w:ascii="Courier New" w:cs="Courier New" w:eastAsia="Courier New" w:hAnsi="Courier New"/>
                <w:sz w:val="16"/>
                <w:szCs w:val="16"/>
                <w:color w:val="auto"/>
              </w:rPr>
              <w:t>SERIES B 8% SENIOR REDEEMABLE CUMULATIVE</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PREFERRED STOCK.................................</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6,400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6,400</w:t>
            </w:r>
          </w:p>
        </w:tc>
      </w:tr>
      <w:tr>
        <w:trPr>
          <w:trHeight w:val="367"/>
        </w:trPr>
        <w:tc>
          <w:tcPr>
            <w:tcW w:w="500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5000" w:type="dxa"/>
            <w:vAlign w:val="bottom"/>
          </w:tcPr>
          <w:p>
            <w:pPr>
              <w:ind w:left="100"/>
              <w:spacing w:after="0"/>
              <w:rPr>
                <w:sz w:val="20"/>
                <w:szCs w:val="20"/>
                <w:color w:val="auto"/>
              </w:rPr>
            </w:pPr>
            <w:r>
              <w:rPr>
                <w:rFonts w:ascii="Courier New" w:cs="Courier New" w:eastAsia="Courier New" w:hAnsi="Courier New"/>
                <w:sz w:val="16"/>
                <w:szCs w:val="16"/>
                <w:color w:val="auto"/>
              </w:rPr>
              <w:t>Preferred stock, $0.01 par value, 500,000</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shares authorized;  none issued.................</w:t>
            </w:r>
          </w:p>
        </w:tc>
        <w:tc>
          <w:tcPr>
            <w:tcW w:w="1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_</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_</w:t>
            </w:r>
          </w:p>
        </w:tc>
      </w:tr>
      <w:tr>
        <w:trPr>
          <w:trHeight w:val="183"/>
        </w:trPr>
        <w:tc>
          <w:tcPr>
            <w:tcW w:w="5000" w:type="dxa"/>
            <w:vAlign w:val="bottom"/>
          </w:tcPr>
          <w:p>
            <w:pPr>
              <w:ind w:left="100"/>
              <w:spacing w:after="0"/>
              <w:rPr>
                <w:sz w:val="20"/>
                <w:szCs w:val="20"/>
                <w:color w:val="auto"/>
              </w:rPr>
            </w:pPr>
            <w:r>
              <w:rPr>
                <w:rFonts w:ascii="Courier New" w:cs="Courier New" w:eastAsia="Courier New" w:hAnsi="Courier New"/>
                <w:sz w:val="16"/>
                <w:szCs w:val="16"/>
                <w:color w:val="auto"/>
              </w:rPr>
              <w:t>Common stock, $.01 par value, 28,000,000 shares</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authorized; 20,464,000 and 21,168,000 shares</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issued and outstanding at October 31, 1997</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and April 30, 1998, respectively................</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254</w:t>
            </w:r>
          </w:p>
        </w:tc>
      </w:tr>
      <w:tr>
        <w:trPr>
          <w:trHeight w:val="183"/>
        </w:trPr>
        <w:tc>
          <w:tcPr>
            <w:tcW w:w="5000" w:type="dxa"/>
            <w:vAlign w:val="bottom"/>
          </w:tcPr>
          <w:p>
            <w:pPr>
              <w:ind w:left="100"/>
              <w:spacing w:after="0"/>
              <w:rPr>
                <w:sz w:val="20"/>
                <w:szCs w:val="20"/>
                <w:color w:val="auto"/>
              </w:rPr>
            </w:pPr>
            <w:r>
              <w:rPr>
                <w:rFonts w:ascii="Courier New" w:cs="Courier New" w:eastAsia="Courier New" w:hAnsi="Courier New"/>
                <w:sz w:val="16"/>
                <w:szCs w:val="16"/>
                <w:color w:val="auto"/>
              </w:rPr>
              <w:t>Additional capital................................</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63,416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71,201</w:t>
            </w:r>
          </w:p>
        </w:tc>
      </w:tr>
      <w:tr>
        <w:trPr>
          <w:trHeight w:val="183"/>
        </w:trPr>
        <w:tc>
          <w:tcPr>
            <w:tcW w:w="5000" w:type="dxa"/>
            <w:vAlign w:val="bottom"/>
          </w:tcPr>
          <w:p>
            <w:pPr>
              <w:ind w:left="100"/>
              <w:spacing w:after="0"/>
              <w:rPr>
                <w:sz w:val="20"/>
                <w:szCs w:val="20"/>
                <w:color w:val="auto"/>
              </w:rPr>
            </w:pPr>
            <w:r>
              <w:rPr>
                <w:rFonts w:ascii="Courier New" w:cs="Courier New" w:eastAsia="Courier New" w:hAnsi="Courier New"/>
                <w:sz w:val="16"/>
                <w:szCs w:val="16"/>
                <w:color w:val="auto"/>
              </w:rPr>
              <w:t>Retained earnings.................................</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134,192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141,740</w:t>
            </w:r>
          </w:p>
        </w:tc>
      </w:tr>
    </w:tbl>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862"/>
        <w:spacing w:after="0"/>
        <w:tabs>
          <w:tab w:leader="none" w:pos="5122" w:val="left"/>
          <w:tab w:leader="none" w:pos="6362" w:val="left"/>
        </w:tabs>
        <w:rPr>
          <w:sz w:val="20"/>
          <w:szCs w:val="20"/>
          <w:color w:val="auto"/>
        </w:rPr>
      </w:pPr>
      <w:r>
        <w:rPr>
          <w:rFonts w:ascii="Courier New" w:cs="Courier New" w:eastAsia="Courier New" w:hAnsi="Courier New"/>
          <w:sz w:val="16"/>
          <w:szCs w:val="16"/>
          <w:color w:val="auto"/>
        </w:rPr>
        <w:t>Total stockholders' equity................</w:t>
        <w:tab/>
        <w:t>197,813</w:t>
      </w:r>
      <w:r>
        <w:rPr>
          <w:sz w:val="20"/>
          <w:szCs w:val="20"/>
          <w:color w:val="auto"/>
        </w:rPr>
        <w:tab/>
      </w:r>
      <w:r>
        <w:rPr>
          <w:rFonts w:ascii="Courier New" w:cs="Courier New" w:eastAsia="Courier New" w:hAnsi="Courier New"/>
          <w:sz w:val="16"/>
          <w:szCs w:val="16"/>
          <w:color w:val="auto"/>
        </w:rPr>
        <w:t>213,195</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5062"/>
        <w:spacing w:after="0"/>
        <w:tabs>
          <w:tab w:leader="none" w:pos="6282" w:val="left"/>
        </w:tabs>
        <w:rPr>
          <w:sz w:val="20"/>
          <w:szCs w:val="20"/>
          <w:color w:val="auto"/>
        </w:rPr>
      </w:pPr>
      <w:r>
        <w:rPr>
          <w:rFonts w:ascii="Courier New" w:cs="Courier New" w:eastAsia="Courier New" w:hAnsi="Courier New"/>
          <w:sz w:val="16"/>
          <w:szCs w:val="16"/>
          <w:color w:val="auto"/>
        </w:rPr>
        <w:t>$467,152</w:t>
      </w:r>
      <w:r>
        <w:rPr>
          <w:sz w:val="20"/>
          <w:szCs w:val="20"/>
          <w:color w:val="auto"/>
        </w:rPr>
        <w:tab/>
      </w:r>
      <w:r>
        <w:rPr>
          <w:rFonts w:ascii="Courier New" w:cs="Courier New" w:eastAsia="Courier New" w:hAnsi="Courier New"/>
          <w:sz w:val="15"/>
          <w:szCs w:val="15"/>
          <w:color w:val="auto"/>
        </w:rPr>
        <w:t>$479,068</w:t>
      </w:r>
    </w:p>
    <w:p>
      <w:pPr>
        <w:spacing w:after="0" w:line="5" w:lineRule="exact"/>
        <w:rPr>
          <w:sz w:val="20"/>
          <w:szCs w:val="20"/>
          <w:color w:val="auto"/>
        </w:rPr>
      </w:pPr>
    </w:p>
    <w:p>
      <w:pPr>
        <w:ind w:left="182" w:hanging="182"/>
        <w:spacing w:after="0"/>
        <w:tabs>
          <w:tab w:leader="none" w:pos="18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0" w:lineRule="exact"/>
        <w:rPr>
          <w:sz w:val="20"/>
          <w:szCs w:val="20"/>
          <w:color w:val="auto"/>
        </w:rPr>
      </w:pPr>
    </w:p>
    <w:p>
      <w:pPr>
        <w:ind w:left="2" w:right="3259"/>
        <w:spacing w:after="0" w:line="239"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37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8" w:top="848" w:right="1440" w:bottom="1440" w:gutter="0" w:footer="0" w:header="0"/>
        </w:sectPr>
      </w:pPr>
    </w:p>
    <w:bookmarkStart w:id="4" w:name="page5"/>
    <w:bookmarkEnd w:id="4"/>
    <w:p>
      <w:pPr>
        <w:ind w:left="3240"/>
        <w:spacing w:after="0"/>
        <w:rPr>
          <w:sz w:val="20"/>
          <w:szCs w:val="20"/>
          <w:color w:val="auto"/>
        </w:rPr>
      </w:pPr>
      <w:r>
        <w:rPr>
          <w:rFonts w:ascii="Courier New" w:cs="Courier New" w:eastAsia="Courier New" w:hAnsi="Courier New"/>
          <w:sz w:val="16"/>
          <w:szCs w:val="16"/>
          <w:color w:val="auto"/>
        </w:rPr>
        <w:t>ABM INDUSTRIES INCORPORATED AND SUBSIDIARIES</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CONSOLIDATED STATEMENTS OF INCOME (UNAUDITED)</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5140"/>
        <w:spacing w:after="0"/>
        <w:tabs>
          <w:tab w:leader="none" w:pos="8080" w:val="left"/>
        </w:tabs>
        <w:rPr>
          <w:sz w:val="20"/>
          <w:szCs w:val="20"/>
          <w:color w:val="auto"/>
        </w:rPr>
      </w:pPr>
      <w:r>
        <w:rPr>
          <w:rFonts w:ascii="Courier New" w:cs="Courier New" w:eastAsia="Courier New" w:hAnsi="Courier New"/>
          <w:sz w:val="16"/>
          <w:szCs w:val="16"/>
          <w:color w:val="auto"/>
        </w:rPr>
        <w:t>THREE MONTHS ENDED</w:t>
      </w:r>
      <w:r>
        <w:rPr>
          <w:sz w:val="20"/>
          <w:szCs w:val="20"/>
          <w:color w:val="auto"/>
        </w:rPr>
        <w:tab/>
      </w:r>
      <w:r>
        <w:rPr>
          <w:rFonts w:ascii="Courier New" w:cs="Courier New" w:eastAsia="Courier New" w:hAnsi="Courier New"/>
          <w:sz w:val="16"/>
          <w:szCs w:val="16"/>
          <w:color w:val="auto"/>
        </w:rPr>
        <w:t>SIX MONTHS ENDED</w:t>
      </w:r>
    </w:p>
    <w:p>
      <w:pPr>
        <w:spacing w:after="0" w:line="2" w:lineRule="exact"/>
        <w:rPr>
          <w:sz w:val="20"/>
          <w:szCs w:val="20"/>
          <w:color w:val="auto"/>
        </w:rPr>
      </w:pPr>
    </w:p>
    <w:p>
      <w:pPr>
        <w:ind w:left="5620"/>
        <w:spacing w:after="0"/>
        <w:tabs>
          <w:tab w:leader="none" w:pos="8460" w:val="left"/>
        </w:tabs>
        <w:rPr>
          <w:sz w:val="20"/>
          <w:szCs w:val="20"/>
          <w:color w:val="auto"/>
        </w:rPr>
      </w:pPr>
      <w:r>
        <w:rPr>
          <w:rFonts w:ascii="Courier New" w:cs="Courier New" w:eastAsia="Courier New" w:hAnsi="Courier New"/>
          <w:sz w:val="16"/>
          <w:szCs w:val="16"/>
          <w:color w:val="auto"/>
        </w:rPr>
        <w:t>APRIL 30</w:t>
      </w:r>
      <w:r>
        <w:rPr>
          <w:sz w:val="20"/>
          <w:szCs w:val="20"/>
          <w:color w:val="auto"/>
        </w:rPr>
        <w:tab/>
      </w:r>
      <w:r>
        <w:rPr>
          <w:rFonts w:ascii="Courier New" w:cs="Courier New" w:eastAsia="Courier New" w:hAnsi="Courier New"/>
          <w:sz w:val="15"/>
          <w:szCs w:val="15"/>
          <w:color w:val="auto"/>
        </w:rPr>
        <w:t>APRIL 30</w:t>
      </w:r>
    </w:p>
    <w:p>
      <w:pPr>
        <w:spacing w:after="0" w:line="2" w:lineRule="exact"/>
        <w:rPr>
          <w:sz w:val="20"/>
          <w:szCs w:val="20"/>
          <w:color w:val="auto"/>
        </w:rPr>
      </w:pPr>
    </w:p>
    <w:p>
      <w:pPr>
        <w:ind w:left="5140"/>
        <w:spacing w:after="0"/>
        <w:tabs>
          <w:tab w:leader="none" w:pos="6560" w:val="left"/>
          <w:tab w:leader="none" w:pos="7980" w:val="left"/>
          <w:tab w:leader="none" w:pos="9420" w:val="left"/>
        </w:tabs>
        <w:rPr>
          <w:sz w:val="20"/>
          <w:szCs w:val="20"/>
          <w:color w:val="auto"/>
        </w:rPr>
      </w:pP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6"/>
          <w:szCs w:val="16"/>
          <w:color w:val="auto"/>
        </w:rPr>
        <w:t>1998</w:t>
      </w:r>
      <w:r>
        <w:rPr>
          <w:sz w:val="20"/>
          <w:szCs w:val="20"/>
          <w:color w:val="auto"/>
        </w:rPr>
        <w:tab/>
      </w: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40" w:type="dxa"/>
            <w:vAlign w:val="bottom"/>
          </w:tcPr>
          <w:p>
            <w:pPr>
              <w:spacing w:after="0"/>
              <w:rPr>
                <w:sz w:val="20"/>
                <w:szCs w:val="20"/>
                <w:color w:val="auto"/>
              </w:rPr>
            </w:pPr>
            <w:r>
              <w:rPr>
                <w:rFonts w:ascii="Courier New" w:cs="Courier New" w:eastAsia="Courier New" w:hAnsi="Courier New"/>
                <w:sz w:val="16"/>
                <w:szCs w:val="16"/>
                <w:color w:val="auto"/>
              </w:rPr>
              <w:t>REVENUES AND</w:t>
            </w:r>
          </w:p>
        </w:tc>
        <w:tc>
          <w:tcPr>
            <w:tcW w:w="35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OTHER INCOME........................</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$ 294,309</w:t>
            </w: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$ 369,034</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$ 585,947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$ 727,781</w:t>
            </w:r>
          </w:p>
        </w:tc>
      </w:tr>
      <w:tr>
        <w:trPr>
          <w:trHeight w:val="367"/>
        </w:trPr>
        <w:tc>
          <w:tcPr>
            <w:tcW w:w="12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3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3"/>
        </w:trPr>
        <w:tc>
          <w:tcPr>
            <w:tcW w:w="1240" w:type="dxa"/>
            <w:vAlign w:val="bottom"/>
          </w:tcPr>
          <w:p>
            <w:pPr>
              <w:ind w:left="280"/>
              <w:spacing w:after="0"/>
              <w:rPr>
                <w:sz w:val="20"/>
                <w:szCs w:val="20"/>
                <w:color w:val="auto"/>
              </w:rPr>
            </w:pPr>
            <w:r>
              <w:rPr>
                <w:rFonts w:ascii="Courier New" w:cs="Courier New" w:eastAsia="Courier New" w:hAnsi="Courier New"/>
                <w:sz w:val="16"/>
                <w:szCs w:val="16"/>
                <w:color w:val="auto"/>
              </w:rPr>
              <w:t>Operating</w:t>
            </w:r>
          </w:p>
        </w:tc>
        <w:tc>
          <w:tcPr>
            <w:tcW w:w="35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Expenses and Cost of Goods Sold.....</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253,255</w:t>
            </w: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320,528</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506,006</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633,022</w:t>
            </w:r>
          </w:p>
        </w:tc>
      </w:tr>
      <w:tr>
        <w:trPr>
          <w:trHeight w:val="183"/>
        </w:trPr>
        <w:tc>
          <w:tcPr>
            <w:tcW w:w="47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Selling, General and Administrative...........</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30,427</w:t>
            </w: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35,344</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60,370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70,971</w:t>
            </w:r>
          </w:p>
        </w:tc>
      </w:tr>
      <w:tr>
        <w:trPr>
          <w:trHeight w:val="183"/>
        </w:trPr>
        <w:tc>
          <w:tcPr>
            <w:tcW w:w="47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Interest......................................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542</w:t>
            </w: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1,016</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1,141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1,839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4280" w:type="dxa"/>
            <w:vAlign w:val="bottom"/>
          </w:tcPr>
          <w:p>
            <w:pPr>
              <w:spacing w:after="0"/>
              <w:rPr>
                <w:sz w:val="20"/>
                <w:szCs w:val="20"/>
                <w:color w:val="auto"/>
              </w:rPr>
            </w:pPr>
            <w:r>
              <w:rPr>
                <w:rFonts w:ascii="Courier New" w:cs="Courier New" w:eastAsia="Courier New" w:hAnsi="Courier New"/>
                <w:sz w:val="16"/>
                <w:szCs w:val="16"/>
                <w:color w:val="auto"/>
              </w:rPr>
              <w:t>Total Expenses.............................</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284,224</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356,888</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567,517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705,832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4280" w:type="dxa"/>
            <w:vAlign w:val="bottom"/>
          </w:tcPr>
          <w:p>
            <w:pPr>
              <w:ind w:left="40"/>
              <w:spacing w:after="0"/>
              <w:rPr>
                <w:sz w:val="20"/>
                <w:szCs w:val="20"/>
                <w:color w:val="auto"/>
              </w:rPr>
            </w:pPr>
            <w:r>
              <w:rPr>
                <w:rFonts w:ascii="Courier New" w:cs="Courier New" w:eastAsia="Courier New" w:hAnsi="Courier New"/>
                <w:sz w:val="16"/>
                <w:szCs w:val="16"/>
                <w:color w:val="auto"/>
              </w:rPr>
              <w:t>BEFORE INCOME TAXES.......................</w:t>
            </w:r>
          </w:p>
        </w:tc>
        <w:tc>
          <w:tcPr>
            <w:tcW w:w="12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10,085</w:t>
            </w:r>
          </w:p>
        </w:tc>
        <w:tc>
          <w:tcPr>
            <w:tcW w:w="14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12,146</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18,430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21,949</w:t>
            </w:r>
          </w:p>
        </w:tc>
      </w:tr>
      <w:tr>
        <w:trPr>
          <w:trHeight w:val="367"/>
        </w:trPr>
        <w:tc>
          <w:tcPr>
            <w:tcW w:w="62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4280" w:type="dxa"/>
            <w:vAlign w:val="bottom"/>
          </w:tcPr>
          <w:p>
            <w:pPr>
              <w:ind w:left="40"/>
              <w:spacing w:after="0"/>
              <w:rPr>
                <w:sz w:val="20"/>
                <w:szCs w:val="20"/>
                <w:color w:val="auto"/>
              </w:rPr>
            </w:pPr>
            <w:r>
              <w:rPr>
                <w:rFonts w:ascii="Courier New" w:cs="Courier New" w:eastAsia="Courier New" w:hAnsi="Courier New"/>
                <w:sz w:val="16"/>
                <w:szCs w:val="16"/>
                <w:color w:val="auto"/>
              </w:rPr>
              <w:t>TAXES.....................................</w:t>
            </w:r>
          </w:p>
        </w:tc>
        <w:tc>
          <w:tcPr>
            <w:tcW w:w="12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4,236</w:t>
            </w:r>
          </w:p>
        </w:tc>
        <w:tc>
          <w:tcPr>
            <w:tcW w:w="14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5,041</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7,741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9,109</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5,849</w:t>
            </w: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7,105</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10,689</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12,840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60" w:type="dxa"/>
            <w:vAlign w:val="bottom"/>
          </w:tcPr>
          <w:p>
            <w:pPr>
              <w:spacing w:after="0"/>
              <w:rPr>
                <w:sz w:val="20"/>
                <w:szCs w:val="20"/>
                <w:color w:val="auto"/>
              </w:rPr>
            </w:pPr>
            <w:r>
              <w:rPr>
                <w:rFonts w:ascii="Courier New" w:cs="Courier New" w:eastAsia="Courier New" w:hAnsi="Courier New"/>
                <w:sz w:val="16"/>
                <w:szCs w:val="16"/>
                <w:color w:val="auto"/>
              </w:rPr>
              <w:t>NET INCOME PER COMMON SHARE</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4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Basic.........................................</w:t>
            </w:r>
          </w:p>
        </w:tc>
        <w:tc>
          <w:tcPr>
            <w:tcW w:w="3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0.28</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0.33</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0.52</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0.60</w:t>
            </w:r>
          </w:p>
        </w:tc>
      </w:tr>
      <w:tr>
        <w:trPr>
          <w:trHeight w:val="183"/>
        </w:trPr>
        <w:tc>
          <w:tcPr>
            <w:tcW w:w="4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Diluted.......................................</w:t>
            </w:r>
          </w:p>
        </w:tc>
        <w:tc>
          <w:tcPr>
            <w:tcW w:w="3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0.26</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0.30</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0.48</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0.55</w:t>
            </w:r>
          </w:p>
        </w:tc>
      </w:tr>
      <w:tr>
        <w:trPr>
          <w:trHeight w:val="367"/>
        </w:trPr>
        <w:tc>
          <w:tcPr>
            <w:tcW w:w="4760" w:type="dxa"/>
            <w:vAlign w:val="bottom"/>
          </w:tcPr>
          <w:p>
            <w:pPr>
              <w:spacing w:after="0"/>
              <w:rPr>
                <w:sz w:val="20"/>
                <w:szCs w:val="20"/>
                <w:color w:val="auto"/>
              </w:rPr>
            </w:pPr>
            <w:r>
              <w:rPr>
                <w:rFonts w:ascii="Courier New" w:cs="Courier New" w:eastAsia="Courier New" w:hAnsi="Courier New"/>
                <w:sz w:val="16"/>
                <w:szCs w:val="16"/>
                <w:color w:val="auto"/>
              </w:rPr>
              <w:t>AVERAGE NUMBER OF SHARES OUTSTANDING</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3"/>
        </w:trPr>
        <w:tc>
          <w:tcPr>
            <w:tcW w:w="4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Basic.........................................</w:t>
            </w:r>
          </w:p>
        </w:tc>
        <w:tc>
          <w:tcPr>
            <w:tcW w:w="300" w:type="dxa"/>
            <w:vAlign w:val="bottom"/>
          </w:tcPr>
          <w:p>
            <w:pPr>
              <w:spacing w:after="0"/>
              <w:rPr>
                <w:sz w:val="15"/>
                <w:szCs w:val="15"/>
                <w:color w:val="auto"/>
              </w:rPr>
            </w:pPr>
          </w:p>
        </w:tc>
        <w:tc>
          <w:tcPr>
            <w:tcW w:w="9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20,064</w:t>
            </w:r>
          </w:p>
        </w:tc>
        <w:tc>
          <w:tcPr>
            <w:tcW w:w="48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20,996</w:t>
            </w:r>
          </w:p>
        </w:tc>
        <w:tc>
          <w:tcPr>
            <w:tcW w:w="48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19,985</w:t>
            </w: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20,818</w:t>
            </w:r>
          </w:p>
        </w:tc>
      </w:tr>
      <w:tr>
        <w:trPr>
          <w:trHeight w:val="183"/>
        </w:trPr>
        <w:tc>
          <w:tcPr>
            <w:tcW w:w="4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Diluted.......................................</w:t>
            </w:r>
          </w:p>
        </w:tc>
        <w:tc>
          <w:tcPr>
            <w:tcW w:w="300" w:type="dxa"/>
            <w:vAlign w:val="bottom"/>
          </w:tcPr>
          <w:p>
            <w:pPr>
              <w:spacing w:after="0"/>
              <w:rPr>
                <w:sz w:val="15"/>
                <w:szCs w:val="15"/>
                <w:color w:val="auto"/>
              </w:rPr>
            </w:pPr>
          </w:p>
        </w:tc>
        <w:tc>
          <w:tcPr>
            <w:tcW w:w="9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21,598</w:t>
            </w:r>
          </w:p>
        </w:tc>
        <w:tc>
          <w:tcPr>
            <w:tcW w:w="48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23,230</w:t>
            </w:r>
          </w:p>
        </w:tc>
        <w:tc>
          <w:tcPr>
            <w:tcW w:w="48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21,507</w:t>
            </w:r>
          </w:p>
        </w:tc>
        <w:tc>
          <w:tcPr>
            <w:tcW w:w="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23,056</w:t>
            </w:r>
          </w:p>
        </w:tc>
      </w:tr>
      <w:tr>
        <w:trPr>
          <w:trHeight w:val="367"/>
        </w:trPr>
        <w:tc>
          <w:tcPr>
            <w:tcW w:w="47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9"/>
              </w:rPr>
              <w:t>DIVIDENDS PER COMMON SHARE.......................</w:t>
            </w:r>
          </w:p>
        </w:tc>
        <w:tc>
          <w:tcPr>
            <w:tcW w:w="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24"/>
                <w:szCs w:val="24"/>
                <w:color w:val="auto"/>
              </w:rPr>
            </w:pP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0.10</w:t>
            </w:r>
          </w:p>
        </w:tc>
        <w:tc>
          <w:tcPr>
            <w:tcW w:w="480" w:type="dxa"/>
            <w:vAlign w:val="bottom"/>
          </w:tcPr>
          <w:p>
            <w:pPr>
              <w:spacing w:after="0"/>
              <w:rPr>
                <w:sz w:val="24"/>
                <w:szCs w:val="24"/>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$ 0.12</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0.20</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0.24</w:t>
            </w:r>
          </w:p>
        </w:tc>
      </w:tr>
      <w:tr>
        <w:trPr>
          <w:trHeight w:val="550"/>
        </w:trPr>
        <w:tc>
          <w:tcPr>
            <w:tcW w:w="4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665" w:right="1440" w:bottom="1440" w:gutter="0" w:footer="0" w:header="0"/>
        </w:sectPr>
      </w:pPr>
    </w:p>
    <w:bookmarkStart w:id="5" w:name="page6"/>
    <w:bookmarkEnd w:id="5"/>
    <w:p>
      <w:pPr>
        <w:ind w:left="1620"/>
        <w:spacing w:after="0"/>
        <w:rPr>
          <w:sz w:val="20"/>
          <w:szCs w:val="20"/>
          <w:color w:val="auto"/>
        </w:rPr>
      </w:pPr>
      <w:r>
        <w:rPr>
          <w:rFonts w:ascii="Courier New" w:cs="Courier New" w:eastAsia="Courier New" w:hAnsi="Courier New"/>
          <w:sz w:val="16"/>
          <w:szCs w:val="16"/>
          <w:color w:val="auto"/>
        </w:rPr>
        <w:t>ABM INDUSTRIES INCORPORATED AND SUBSIDIARIES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CONSOLIDATED STATEMENTS OF CASH FLOWS (UNAUDITED)</w:t>
            </w:r>
          </w:p>
        </w:tc>
        <w:tc>
          <w:tcPr>
            <w:tcW w:w="1040" w:type="dxa"/>
            <w:vAlign w:val="bottom"/>
          </w:tcPr>
          <w:p>
            <w:pPr>
              <w:spacing w:after="0"/>
              <w:rPr>
                <w:sz w:val="15"/>
                <w:szCs w:val="15"/>
                <w:color w:val="auto"/>
              </w:rPr>
            </w:pPr>
          </w:p>
        </w:tc>
      </w:tr>
      <w:tr>
        <w:trPr>
          <w:trHeight w:val="183"/>
        </w:trPr>
        <w:tc>
          <w:tcPr>
            <w:tcW w:w="6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FOR THE SIX MONTHS ENDED APRIL 30, 1997 AND 1998</w:t>
            </w:r>
          </w:p>
        </w:tc>
        <w:tc>
          <w:tcPr>
            <w:tcW w:w="1040" w:type="dxa"/>
            <w:vAlign w:val="bottom"/>
          </w:tcPr>
          <w:p>
            <w:pPr>
              <w:spacing w:after="0"/>
              <w:rPr>
                <w:sz w:val="15"/>
                <w:szCs w:val="15"/>
                <w:color w:val="auto"/>
              </w:rPr>
            </w:pPr>
          </w:p>
        </w:tc>
      </w:tr>
      <w:tr>
        <w:trPr>
          <w:trHeight w:val="183"/>
        </w:trPr>
        <w:tc>
          <w:tcPr>
            <w:tcW w:w="4680" w:type="dxa"/>
            <w:vAlign w:val="bottom"/>
          </w:tcPr>
          <w:p>
            <w:pPr>
              <w:ind w:left="3140"/>
              <w:spacing w:after="0"/>
              <w:rPr>
                <w:sz w:val="20"/>
                <w:szCs w:val="20"/>
                <w:color w:val="auto"/>
              </w:rPr>
            </w:pPr>
            <w:r>
              <w:rPr>
                <w:rFonts w:ascii="Courier New" w:cs="Courier New" w:eastAsia="Courier New" w:hAnsi="Courier New"/>
                <w:sz w:val="16"/>
                <w:szCs w:val="16"/>
                <w:color w:val="auto"/>
              </w:rPr>
              <w:t>(In thousands)</w:t>
            </w: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734"/>
        </w:trPr>
        <w:tc>
          <w:tcPr>
            <w:tcW w:w="4680" w:type="dxa"/>
            <w:vAlign w:val="bottom"/>
          </w:tcPr>
          <w:p>
            <w:pPr>
              <w:spacing w:after="0"/>
              <w:rPr>
                <w:sz w:val="24"/>
                <w:szCs w:val="24"/>
                <w:color w:val="auto"/>
              </w:rPr>
            </w:pPr>
          </w:p>
        </w:tc>
        <w:tc>
          <w:tcPr>
            <w:tcW w:w="15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1997</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46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46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Cash received from customers</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$ 583,433</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$ 717,976</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Other operating cash receipts</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748</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582</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Interest received</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309</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352</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Cash paid to suppliers and employees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(554,098)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(699,748)</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Interest paid</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(1,337)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(1,626)</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Income taxes paid</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(10,222)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(12,249)</w:t>
            </w:r>
          </w:p>
        </w:tc>
      </w:tr>
      <w:tr>
        <w:trPr>
          <w:trHeight w:val="183"/>
        </w:trPr>
        <w:tc>
          <w:tcPr>
            <w:tcW w:w="46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18,833</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5,287</w:t>
            </w:r>
          </w:p>
        </w:tc>
      </w:tr>
      <w:tr>
        <w:trPr>
          <w:trHeight w:val="183"/>
        </w:trPr>
        <w:tc>
          <w:tcPr>
            <w:tcW w:w="46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Additions to property, plant and equipment</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(5,102)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(6,371)</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Proceeds from sale of assets</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219</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1,255</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Decrease (increase) in investments and</w:t>
            </w: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680" w:type="dxa"/>
            <w:vAlign w:val="bottom"/>
          </w:tcPr>
          <w:p>
            <w:pPr>
              <w:ind w:left="580"/>
              <w:spacing w:after="0"/>
              <w:rPr>
                <w:sz w:val="20"/>
                <w:szCs w:val="20"/>
                <w:color w:val="auto"/>
              </w:rPr>
            </w:pPr>
            <w:r>
              <w:rPr>
                <w:rFonts w:ascii="Courier New" w:cs="Courier New" w:eastAsia="Courier New" w:hAnsi="Courier New"/>
                <w:sz w:val="16"/>
                <w:szCs w:val="16"/>
                <w:color w:val="auto"/>
              </w:rPr>
              <w:t>long-term receivable</w:t>
            </w: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6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(381)</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Intangible assets acquired</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(4,410)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(3,124)</w:t>
            </w:r>
          </w:p>
        </w:tc>
      </w:tr>
      <w:tr>
        <w:trPr>
          <w:trHeight w:val="183"/>
        </w:trPr>
        <w:tc>
          <w:tcPr>
            <w:tcW w:w="46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Net cash used in investing activities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(9,105)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(8,621)</w:t>
            </w:r>
          </w:p>
        </w:tc>
      </w:tr>
      <w:tr>
        <w:trPr>
          <w:trHeight w:val="183"/>
        </w:trPr>
        <w:tc>
          <w:tcPr>
            <w:tcW w:w="46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Common stock issued</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4,106</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6,486</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Dividends paid</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(4,266)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(5,292)</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Increase (decrease) in cash overdraft</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3,269</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6,685</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Increase (decrease) in notes payable</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482</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99</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Long-term borrowings</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23,662</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52,126</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Repayments of long-term borrowings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(37,050)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(56,803)</w:t>
            </w:r>
          </w:p>
        </w:tc>
      </w:tr>
      <w:tr>
        <w:trPr>
          <w:trHeight w:val="183"/>
        </w:trPr>
        <w:tc>
          <w:tcPr>
            <w:tcW w:w="46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Net cash (used in) provided by financing</w:t>
            </w: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680" w:type="dxa"/>
            <w:vAlign w:val="bottom"/>
          </w:tcPr>
          <w:p>
            <w:pPr>
              <w:ind w:left="580"/>
              <w:spacing w:after="0"/>
              <w:rPr>
                <w:sz w:val="20"/>
                <w:szCs w:val="20"/>
                <w:color w:val="auto"/>
              </w:rPr>
            </w:pPr>
            <w:r>
              <w:rPr>
                <w:rFonts w:ascii="Courier New" w:cs="Courier New" w:eastAsia="Courier New" w:hAnsi="Courier New"/>
                <w:sz w:val="16"/>
                <w:szCs w:val="16"/>
                <w:color w:val="auto"/>
              </w:rPr>
              <w:t>activities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(9,797)</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3,301</w:t>
            </w:r>
          </w:p>
        </w:tc>
      </w:tr>
      <w:tr>
        <w:trPr>
          <w:trHeight w:val="183"/>
        </w:trPr>
        <w:tc>
          <w:tcPr>
            <w:tcW w:w="46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468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 CASH</w:t>
            </w: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EQUIVALENTS</w:t>
            </w: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68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1,567</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1,783</w:t>
            </w:r>
          </w:p>
        </w:tc>
      </w:tr>
      <w:tr>
        <w:trPr>
          <w:trHeight w:val="183"/>
        </w:trPr>
        <w:tc>
          <w:tcPr>
            <w:tcW w:w="46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$ 1,498</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$ 1,750</w:t>
            </w:r>
          </w:p>
        </w:tc>
      </w:tr>
      <w:tr>
        <w:trPr>
          <w:trHeight w:val="183"/>
        </w:trPr>
        <w:tc>
          <w:tcPr>
            <w:tcW w:w="46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(Continued)</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5" w:right="1440" w:bottom="1440" w:gutter="0" w:footer="0" w:header="0"/>
        </w:sectPr>
      </w:pPr>
    </w:p>
    <w:bookmarkStart w:id="6" w:name="page7"/>
    <w:bookmarkEnd w:id="6"/>
    <w:p>
      <w:pPr>
        <w:ind w:left="1620"/>
        <w:spacing w:after="0"/>
        <w:rPr>
          <w:sz w:val="20"/>
          <w:szCs w:val="20"/>
          <w:color w:val="auto"/>
        </w:rPr>
      </w:pPr>
      <w:r>
        <w:rPr>
          <w:rFonts w:ascii="Courier New" w:cs="Courier New" w:eastAsia="Courier New" w:hAnsi="Courier New"/>
          <w:sz w:val="16"/>
          <w:szCs w:val="16"/>
          <w:color w:val="auto"/>
        </w:rPr>
        <w:t>ABM INDUSTRIES INCORPORATED AND SUBSIDIARIES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CONSOLIDATED STATEMENTS OF CASH FLOWS (UNAUDITED)</w:t>
            </w:r>
          </w:p>
        </w:tc>
        <w:tc>
          <w:tcPr>
            <w:tcW w:w="1040" w:type="dxa"/>
            <w:vAlign w:val="bottom"/>
          </w:tcPr>
          <w:p>
            <w:pPr>
              <w:spacing w:after="0"/>
              <w:rPr>
                <w:sz w:val="15"/>
                <w:szCs w:val="15"/>
                <w:color w:val="auto"/>
              </w:rPr>
            </w:pPr>
          </w:p>
        </w:tc>
      </w:tr>
      <w:tr>
        <w:trPr>
          <w:trHeight w:val="183"/>
        </w:trPr>
        <w:tc>
          <w:tcPr>
            <w:tcW w:w="6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FOR THE SIX MONTHS ENDED APRIL 30, 1997 AND 1998</w:t>
            </w:r>
          </w:p>
        </w:tc>
        <w:tc>
          <w:tcPr>
            <w:tcW w:w="1040" w:type="dxa"/>
            <w:vAlign w:val="bottom"/>
          </w:tcPr>
          <w:p>
            <w:pPr>
              <w:spacing w:after="0"/>
              <w:rPr>
                <w:sz w:val="15"/>
                <w:szCs w:val="15"/>
                <w:color w:val="auto"/>
              </w:rPr>
            </w:pPr>
          </w:p>
        </w:tc>
      </w:tr>
      <w:tr>
        <w:trPr>
          <w:trHeight w:val="183"/>
        </w:trPr>
        <w:tc>
          <w:tcPr>
            <w:tcW w:w="4680" w:type="dxa"/>
            <w:vAlign w:val="bottom"/>
          </w:tcPr>
          <w:p>
            <w:pPr>
              <w:ind w:left="3140"/>
              <w:spacing w:after="0"/>
              <w:rPr>
                <w:sz w:val="20"/>
                <w:szCs w:val="20"/>
                <w:color w:val="auto"/>
              </w:rPr>
            </w:pPr>
            <w:r>
              <w:rPr>
                <w:rFonts w:ascii="Courier New" w:cs="Courier New" w:eastAsia="Courier New" w:hAnsi="Courier New"/>
                <w:sz w:val="16"/>
                <w:szCs w:val="16"/>
                <w:color w:val="auto"/>
              </w:rPr>
              <w:t>(In thousands)</w:t>
            </w: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734"/>
        </w:trPr>
        <w:tc>
          <w:tcPr>
            <w:tcW w:w="4680" w:type="dxa"/>
            <w:vAlign w:val="bottom"/>
          </w:tcPr>
          <w:p>
            <w:pPr>
              <w:spacing w:after="0"/>
              <w:rPr>
                <w:sz w:val="24"/>
                <w:szCs w:val="24"/>
                <w:color w:val="auto"/>
              </w:rPr>
            </w:pPr>
          </w:p>
        </w:tc>
        <w:tc>
          <w:tcPr>
            <w:tcW w:w="15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1997</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46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4680" w:type="dxa"/>
            <w:vAlign w:val="bottom"/>
          </w:tcPr>
          <w:p>
            <w:pPr>
              <w:spacing w:after="0"/>
              <w:rPr>
                <w:sz w:val="20"/>
                <w:szCs w:val="20"/>
                <w:color w:val="auto"/>
              </w:rPr>
            </w:pPr>
            <w:r>
              <w:rPr>
                <w:rFonts w:ascii="Courier New" w:cs="Courier New" w:eastAsia="Courier New" w:hAnsi="Courier New"/>
                <w:sz w:val="16"/>
                <w:szCs w:val="16"/>
                <w:color w:val="auto"/>
              </w:rPr>
              <w:t>RECONCILIATION OF NET INCOME TO NET CASH</w:t>
            </w: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PROVIDED BY OPERATING ACTIVITIES:</w:t>
            </w: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7"/>
        </w:trPr>
        <w:tc>
          <w:tcPr>
            <w:tcW w:w="46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$ 10,689</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$ 12,840</w:t>
            </w:r>
          </w:p>
        </w:tc>
      </w:tr>
      <w:tr>
        <w:trPr>
          <w:trHeight w:val="367"/>
        </w:trPr>
        <w:tc>
          <w:tcPr>
            <w:tcW w:w="4680" w:type="dxa"/>
            <w:vAlign w:val="bottom"/>
          </w:tcPr>
          <w:p>
            <w:pPr>
              <w:spacing w:after="0"/>
              <w:rPr>
                <w:sz w:val="20"/>
                <w:szCs w:val="20"/>
                <w:color w:val="auto"/>
              </w:rPr>
            </w:pPr>
            <w:r>
              <w:rPr>
                <w:rFonts w:ascii="Courier New" w:cs="Courier New" w:eastAsia="Courier New" w:hAnsi="Courier New"/>
                <w:sz w:val="16"/>
                <w:szCs w:val="16"/>
                <w:color w:val="auto"/>
              </w:rPr>
              <w:t>Adjustments:</w:t>
            </w: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Depreciation and amortization</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7,614</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9,527</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Provision for bad debts</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880</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1,508</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Gain on sale of assets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(108)</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(2,610)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(1,556)</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Decrease (increase) in accounts receivable</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(5,040)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(7,212)</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Increase in inventories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(3,306)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(1,088)</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Increase in prepaid expenses and other</w:t>
            </w: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680" w:type="dxa"/>
            <w:vAlign w:val="bottom"/>
          </w:tcPr>
          <w:p>
            <w:pPr>
              <w:ind w:left="580"/>
              <w:spacing w:after="0"/>
              <w:rPr>
                <w:sz w:val="20"/>
                <w:szCs w:val="20"/>
                <w:color w:val="auto"/>
              </w:rPr>
            </w:pPr>
            <w:r>
              <w:rPr>
                <w:rFonts w:ascii="Courier New" w:cs="Courier New" w:eastAsia="Courier New" w:hAnsi="Courier New"/>
                <w:sz w:val="16"/>
                <w:szCs w:val="16"/>
                <w:color w:val="auto"/>
              </w:rPr>
              <w:t>current assets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(2,019)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(3,462)</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Decrease in other assets</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402</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411</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Increase in income taxes payable</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(1,584)</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Increase in retirement plans accrual</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2,288</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1,537</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Increase (decrease) in insurance claims</w:t>
            </w: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680" w:type="dxa"/>
            <w:vAlign w:val="bottom"/>
          </w:tcPr>
          <w:p>
            <w:pPr>
              <w:ind w:left="580"/>
              <w:spacing w:after="0"/>
              <w:rPr>
                <w:sz w:val="20"/>
                <w:szCs w:val="20"/>
                <w:color w:val="auto"/>
              </w:rPr>
            </w:pPr>
            <w:r>
              <w:rPr>
                <w:rFonts w:ascii="Courier New" w:cs="Courier New" w:eastAsia="Courier New" w:hAnsi="Courier New"/>
                <w:sz w:val="16"/>
                <w:szCs w:val="16"/>
                <w:color w:val="auto"/>
              </w:rPr>
              <w:t>liability</w:t>
            </w: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6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3,817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(292)</w:t>
            </w:r>
          </w:p>
        </w:tc>
      </w:tr>
      <w:tr>
        <w:trPr>
          <w:trHeight w:val="183"/>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Increase in accounts payable and</w:t>
            </w: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680" w:type="dxa"/>
            <w:vAlign w:val="bottom"/>
          </w:tcPr>
          <w:p>
            <w:pPr>
              <w:ind w:left="580"/>
              <w:spacing w:after="0"/>
              <w:rPr>
                <w:sz w:val="20"/>
                <w:szCs w:val="20"/>
                <w:color w:val="auto"/>
              </w:rPr>
            </w:pPr>
            <w:r>
              <w:rPr>
                <w:rFonts w:ascii="Courier New" w:cs="Courier New" w:eastAsia="Courier New" w:hAnsi="Courier New"/>
                <w:sz w:val="16"/>
                <w:szCs w:val="16"/>
                <w:color w:val="auto"/>
              </w:rPr>
              <w:t>other accrued liabilities</w:t>
            </w: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6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6,002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(5,234)</w:t>
            </w:r>
          </w:p>
        </w:tc>
      </w:tr>
      <w:tr>
        <w:trPr>
          <w:trHeight w:val="183"/>
        </w:trPr>
        <w:tc>
          <w:tcPr>
            <w:tcW w:w="46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Total Adjustments to net income</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8,144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(7,553)</w:t>
            </w:r>
          </w:p>
        </w:tc>
      </w:tr>
      <w:tr>
        <w:trPr>
          <w:trHeight w:val="183"/>
        </w:trPr>
        <w:tc>
          <w:tcPr>
            <w:tcW w:w="46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4680" w:type="dxa"/>
            <w:vAlign w:val="bottom"/>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$ 18,833</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$ 5,287</w:t>
            </w:r>
          </w:p>
        </w:tc>
      </w:tr>
      <w:tr>
        <w:trPr>
          <w:trHeight w:val="183"/>
        </w:trPr>
        <w:tc>
          <w:tcPr>
            <w:tcW w:w="46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5"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5" w:right="1440" w:bottom="1440" w:gutter="0" w:footer="0" w:header="0"/>
        </w:sectPr>
      </w:pPr>
    </w:p>
    <w:bookmarkStart w:id="7" w:name="page8"/>
    <w:bookmarkEnd w:id="7"/>
    <w:p>
      <w:pPr>
        <w:ind w:left="2482"/>
        <w:spacing w:after="0"/>
        <w:rPr>
          <w:sz w:val="20"/>
          <w:szCs w:val="20"/>
          <w:color w:val="auto"/>
        </w:rPr>
      </w:pPr>
      <w:r>
        <w:rPr>
          <w:rFonts w:ascii="Courier New" w:cs="Courier New" w:eastAsia="Courier New" w:hAnsi="Courier New"/>
          <w:sz w:val="16"/>
          <w:szCs w:val="16"/>
          <w:color w:val="auto"/>
        </w:rPr>
        <w:t>ABM INDUSTRIES INCORPORATED</w:t>
      </w:r>
    </w:p>
    <w:p>
      <w:pPr>
        <w:spacing w:after="0" w:line="186"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 w:lineRule="exact"/>
        <w:rPr>
          <w:sz w:val="20"/>
          <w:szCs w:val="20"/>
          <w:color w:val="auto"/>
        </w:rPr>
      </w:pPr>
    </w:p>
    <w:p>
      <w:pPr>
        <w:jc w:val="center"/>
        <w:ind w:right="2697"/>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ind w:left="482" w:hanging="482"/>
        <w:spacing w:after="0"/>
        <w:tabs>
          <w:tab w:leader="none" w:pos="4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w:t>
      </w:r>
    </w:p>
    <w:p>
      <w:pPr>
        <w:spacing w:after="0" w:line="188" w:lineRule="exact"/>
        <w:rPr>
          <w:sz w:val="20"/>
          <w:szCs w:val="20"/>
          <w:color w:val="auto"/>
        </w:rPr>
      </w:pPr>
    </w:p>
    <w:p>
      <w:pPr>
        <w:ind w:left="2" w:right="2879" w:firstLine="477"/>
        <w:spacing w:after="0" w:line="241" w:lineRule="auto"/>
        <w:rPr>
          <w:sz w:val="20"/>
          <w:szCs w:val="20"/>
          <w:color w:val="auto"/>
        </w:rPr>
      </w:pPr>
      <w:r>
        <w:rPr>
          <w:rFonts w:ascii="Courier New" w:cs="Courier New" w:eastAsia="Courier New" w:hAnsi="Courier New"/>
          <w:sz w:val="16"/>
          <w:szCs w:val="16"/>
          <w:color w:val="auto"/>
        </w:rPr>
        <w:t>In the opinion of management, the accompanying unaudited consolidated financial statements contain all material adjustments which are necessary to present fairly the Company's financial position as of April 30, 1998, and the results of operations and cash flows for the six months then ended. These adjustments are of a normal, recurring nature.</w:t>
      </w:r>
    </w:p>
    <w:p>
      <w:pPr>
        <w:spacing w:after="0" w:line="190" w:lineRule="exact"/>
        <w:rPr>
          <w:sz w:val="20"/>
          <w:szCs w:val="20"/>
          <w:color w:val="auto"/>
        </w:rPr>
      </w:pPr>
    </w:p>
    <w:p>
      <w:pPr>
        <w:ind w:left="2" w:right="2979" w:firstLine="477"/>
        <w:spacing w:after="0" w:line="241" w:lineRule="auto"/>
        <w:rPr>
          <w:sz w:val="20"/>
          <w:szCs w:val="20"/>
          <w:color w:val="auto"/>
        </w:rPr>
      </w:pPr>
      <w:r>
        <w:rPr>
          <w:rFonts w:ascii="Courier New" w:cs="Courier New" w:eastAsia="Courier New" w:hAnsi="Courier New"/>
          <w:sz w:val="16"/>
          <w:szCs w:val="16"/>
          <w:color w:val="auto"/>
        </w:rPr>
        <w:t>These consolidated financial statements should be read in conjunction with the consolidated financial statements and the notes thereto included in the Company's Form 10K filed for the fiscal year ended October 31, 1997 with the Securities and Exchange Commission.</w:t>
      </w:r>
    </w:p>
    <w:p>
      <w:pPr>
        <w:spacing w:after="0" w:line="186" w:lineRule="exact"/>
        <w:rPr>
          <w:sz w:val="20"/>
          <w:szCs w:val="20"/>
          <w:color w:val="auto"/>
        </w:rPr>
      </w:pPr>
    </w:p>
    <w:p>
      <w:pPr>
        <w:ind w:left="482" w:hanging="482"/>
        <w:spacing w:after="0"/>
        <w:tabs>
          <w:tab w:leader="none" w:pos="4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COMMON SHARE</w:t>
      </w:r>
    </w:p>
    <w:p>
      <w:pPr>
        <w:spacing w:after="0" w:line="188" w:lineRule="exact"/>
        <w:rPr>
          <w:sz w:val="20"/>
          <w:szCs w:val="20"/>
          <w:color w:val="auto"/>
        </w:rPr>
      </w:pPr>
    </w:p>
    <w:p>
      <w:pPr>
        <w:ind w:left="2" w:right="2879" w:firstLine="477"/>
        <w:spacing w:after="0" w:line="242" w:lineRule="auto"/>
        <w:rPr>
          <w:sz w:val="20"/>
          <w:szCs w:val="20"/>
          <w:color w:val="auto"/>
        </w:rPr>
      </w:pPr>
      <w:r>
        <w:rPr>
          <w:rFonts w:ascii="Courier New" w:cs="Courier New" w:eastAsia="Courier New" w:hAnsi="Courier New"/>
          <w:sz w:val="16"/>
          <w:szCs w:val="16"/>
          <w:color w:val="auto"/>
        </w:rPr>
        <w:t>The company has reported its earnings in accordance with Statement of Financial Accounting Standards No. 128, Earnings per Share. Basic net income per common share, after the reduction for preferred stock dividends, is based on the weighted average number of shares actually outstanding during the period. Diluted net income per common share, after the reduction for preferred stock dividends, is based on the weighted average number of shares outstanding during the period, including common stock equivalents. Diluted net income per common share is consistent with the Company's former presentation of primary net income per common share. The calculation of these amounts is as follows: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200" w:type="dxa"/>
            <w:vAlign w:val="bottom"/>
          </w:tcPr>
          <w:p>
            <w:pPr>
              <w:spacing w:after="0"/>
              <w:rPr>
                <w:sz w:val="15"/>
                <w:szCs w:val="15"/>
                <w:color w:val="auto"/>
              </w:rPr>
            </w:pPr>
          </w:p>
        </w:tc>
        <w:tc>
          <w:tcPr>
            <w:tcW w:w="1760" w:type="dxa"/>
            <w:vAlign w:val="bottom"/>
            <w:gridSpan w:val="2"/>
          </w:tcPr>
          <w:p>
            <w:pPr>
              <w:jc w:val="center"/>
              <w:ind w:right="81"/>
              <w:spacing w:after="0"/>
              <w:rPr>
                <w:sz w:val="20"/>
                <w:szCs w:val="20"/>
                <w:color w:val="auto"/>
              </w:rPr>
            </w:pPr>
            <w:r>
              <w:rPr>
                <w:rFonts w:ascii="Courier New" w:cs="Courier New" w:eastAsia="Courier New" w:hAnsi="Courier New"/>
                <w:sz w:val="16"/>
                <w:szCs w:val="16"/>
                <w:color w:val="auto"/>
                <w:w w:val="98"/>
              </w:rPr>
              <w:t>Six months Ended</w:t>
            </w:r>
          </w:p>
        </w:tc>
        <w:tc>
          <w:tcPr>
            <w:tcW w:w="1720" w:type="dxa"/>
            <w:vAlign w:val="bottom"/>
          </w:tcPr>
          <w:p>
            <w:pPr>
              <w:jc w:val="center"/>
              <w:ind w:left="101"/>
              <w:spacing w:after="0"/>
              <w:rPr>
                <w:sz w:val="20"/>
                <w:szCs w:val="20"/>
                <w:color w:val="auto"/>
              </w:rPr>
            </w:pPr>
            <w:r>
              <w:rPr>
                <w:rFonts w:ascii="Courier New" w:cs="Courier New" w:eastAsia="Courier New" w:hAnsi="Courier New"/>
                <w:sz w:val="16"/>
                <w:szCs w:val="16"/>
                <w:color w:val="auto"/>
              </w:rPr>
              <w:t>Six months Ended</w:t>
            </w:r>
          </w:p>
        </w:tc>
      </w:tr>
      <w:tr>
        <w:trPr>
          <w:trHeight w:val="183"/>
        </w:trPr>
        <w:tc>
          <w:tcPr>
            <w:tcW w:w="3200" w:type="dxa"/>
            <w:vAlign w:val="bottom"/>
          </w:tcPr>
          <w:p>
            <w:pPr>
              <w:spacing w:after="0"/>
              <w:rPr>
                <w:sz w:val="15"/>
                <w:szCs w:val="15"/>
                <w:color w:val="auto"/>
              </w:rPr>
            </w:pPr>
          </w:p>
        </w:tc>
        <w:tc>
          <w:tcPr>
            <w:tcW w:w="1760" w:type="dxa"/>
            <w:vAlign w:val="bottom"/>
            <w:gridSpan w:val="2"/>
          </w:tcPr>
          <w:p>
            <w:pPr>
              <w:jc w:val="center"/>
              <w:ind w:right="61"/>
              <w:spacing w:after="0"/>
              <w:rPr>
                <w:sz w:val="20"/>
                <w:szCs w:val="20"/>
                <w:color w:val="auto"/>
              </w:rPr>
            </w:pPr>
            <w:r>
              <w:rPr>
                <w:rFonts w:ascii="Courier New" w:cs="Courier New" w:eastAsia="Courier New" w:hAnsi="Courier New"/>
                <w:sz w:val="16"/>
                <w:szCs w:val="16"/>
                <w:color w:val="auto"/>
                <w:w w:val="99"/>
              </w:rPr>
              <w:t>April 30, 1997</w:t>
            </w:r>
          </w:p>
        </w:tc>
        <w:tc>
          <w:tcPr>
            <w:tcW w:w="17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April 30, 1998</w:t>
            </w:r>
          </w:p>
        </w:tc>
      </w:tr>
      <w:tr>
        <w:trPr>
          <w:trHeight w:val="183"/>
        </w:trPr>
        <w:tc>
          <w:tcPr>
            <w:tcW w:w="3200" w:type="dxa"/>
            <w:vAlign w:val="bottom"/>
          </w:tcPr>
          <w:p>
            <w:pPr>
              <w:spacing w:after="0"/>
              <w:rPr>
                <w:sz w:val="15"/>
                <w:szCs w:val="15"/>
                <w:color w:val="auto"/>
              </w:rPr>
            </w:pPr>
          </w:p>
        </w:tc>
        <w:tc>
          <w:tcPr>
            <w:tcW w:w="1760" w:type="dxa"/>
            <w:vAlign w:val="bottom"/>
            <w:gridSpan w:val="2"/>
          </w:tcPr>
          <w:p>
            <w:pPr>
              <w:jc w:val="center"/>
              <w:ind w:right="81"/>
              <w:spacing w:after="0"/>
              <w:rPr>
                <w:sz w:val="20"/>
                <w:szCs w:val="20"/>
                <w:color w:val="auto"/>
              </w:rPr>
            </w:pPr>
            <w:r>
              <w:rPr>
                <w:rFonts w:ascii="Courier New" w:cs="Courier New" w:eastAsia="Courier New" w:hAnsi="Courier New"/>
                <w:sz w:val="16"/>
                <w:szCs w:val="16"/>
                <w:color w:val="auto"/>
                <w:w w:val="98"/>
              </w:rPr>
              <w:t>----------------</w:t>
            </w:r>
          </w:p>
        </w:tc>
        <w:tc>
          <w:tcPr>
            <w:tcW w:w="1720" w:type="dxa"/>
            <w:vAlign w:val="bottom"/>
          </w:tcPr>
          <w:p>
            <w:pPr>
              <w:jc w:val="center"/>
              <w:ind w:lef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32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10,689,000</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$ 12,840,000</w:t>
            </w:r>
          </w:p>
        </w:tc>
      </w:tr>
      <w:tr>
        <w:trPr>
          <w:trHeight w:val="183"/>
        </w:trPr>
        <w:tc>
          <w:tcPr>
            <w:tcW w:w="3200" w:type="dxa"/>
            <w:vAlign w:val="bottom"/>
          </w:tcPr>
          <w:p>
            <w:pPr>
              <w:spacing w:after="0"/>
              <w:rPr>
                <w:sz w:val="20"/>
                <w:szCs w:val="20"/>
                <w:color w:val="auto"/>
              </w:rPr>
            </w:pPr>
            <w:r>
              <w:rPr>
                <w:rFonts w:ascii="Courier New" w:cs="Courier New" w:eastAsia="Courier New" w:hAnsi="Courier New"/>
                <w:sz w:val="16"/>
                <w:szCs w:val="16"/>
                <w:color w:val="auto"/>
              </w:rPr>
              <w:t>Preferred Stock Dividends</w:t>
            </w:r>
          </w:p>
        </w:tc>
        <w:tc>
          <w:tcPr>
            <w:tcW w:w="42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(256,000)</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(256,000)</w:t>
            </w:r>
          </w:p>
        </w:tc>
      </w:tr>
      <w:tr>
        <w:trPr>
          <w:trHeight w:val="183"/>
        </w:trPr>
        <w:tc>
          <w:tcPr>
            <w:tcW w:w="3200" w:type="dxa"/>
            <w:vAlign w:val="bottom"/>
          </w:tcPr>
          <w:p>
            <w:pPr>
              <w:spacing w:after="0"/>
              <w:rPr>
                <w:sz w:val="15"/>
                <w:szCs w:val="15"/>
                <w:color w:val="auto"/>
              </w:rPr>
            </w:pPr>
          </w:p>
        </w:tc>
        <w:tc>
          <w:tcPr>
            <w:tcW w:w="17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200" w:type="dxa"/>
            <w:vAlign w:val="bottom"/>
          </w:tcPr>
          <w:p>
            <w:pPr>
              <w:spacing w:after="0"/>
              <w:rPr>
                <w:sz w:val="15"/>
                <w:szCs w:val="15"/>
                <w:color w:val="auto"/>
              </w:rPr>
            </w:pPr>
          </w:p>
        </w:tc>
        <w:tc>
          <w:tcPr>
            <w:tcW w:w="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10,433,000</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$ 12,584,000</w:t>
            </w:r>
          </w:p>
        </w:tc>
      </w:tr>
      <w:tr>
        <w:trPr>
          <w:trHeight w:val="183"/>
        </w:trPr>
        <w:tc>
          <w:tcPr>
            <w:tcW w:w="3200" w:type="dxa"/>
            <w:vAlign w:val="bottom"/>
          </w:tcPr>
          <w:p>
            <w:pPr>
              <w:spacing w:after="0"/>
              <w:rPr>
                <w:sz w:val="15"/>
                <w:szCs w:val="15"/>
                <w:color w:val="auto"/>
              </w:rPr>
            </w:pPr>
          </w:p>
        </w:tc>
        <w:tc>
          <w:tcPr>
            <w:tcW w:w="17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200" w:type="dxa"/>
            <w:vAlign w:val="bottom"/>
          </w:tcPr>
          <w:p>
            <w:pPr>
              <w:spacing w:after="0"/>
              <w:rPr>
                <w:sz w:val="15"/>
                <w:szCs w:val="15"/>
                <w:color w:val="auto"/>
              </w:rPr>
            </w:pPr>
          </w:p>
        </w:tc>
        <w:tc>
          <w:tcPr>
            <w:tcW w:w="17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3200" w:type="dxa"/>
            <w:vAlign w:val="bottom"/>
          </w:tcPr>
          <w:p>
            <w:pPr>
              <w:spacing w:after="0"/>
              <w:rPr>
                <w:sz w:val="20"/>
                <w:szCs w:val="20"/>
                <w:color w:val="auto"/>
              </w:rPr>
            </w:pPr>
            <w:r>
              <w:rPr>
                <w:rFonts w:ascii="Courier New" w:cs="Courier New" w:eastAsia="Courier New" w:hAnsi="Courier New"/>
                <w:sz w:val="16"/>
                <w:szCs w:val="16"/>
                <w:color w:val="auto"/>
              </w:rPr>
              <w:t>Common shares outstanding - basic</w:t>
            </w:r>
          </w:p>
        </w:tc>
        <w:tc>
          <w:tcPr>
            <w:tcW w:w="420" w:type="dxa"/>
            <w:vAlign w:val="bottom"/>
          </w:tcPr>
          <w:p>
            <w:pPr>
              <w:spacing w:after="0"/>
              <w:rPr>
                <w:sz w:val="24"/>
                <w:szCs w:val="24"/>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19,985,000</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20,818,000</w:t>
            </w:r>
          </w:p>
        </w:tc>
      </w:tr>
      <w:tr>
        <w:trPr>
          <w:trHeight w:val="367"/>
        </w:trPr>
        <w:tc>
          <w:tcPr>
            <w:tcW w:w="3200" w:type="dxa"/>
            <w:vAlign w:val="bottom"/>
          </w:tcPr>
          <w:p>
            <w:pPr>
              <w:spacing w:after="0"/>
              <w:rPr>
                <w:sz w:val="20"/>
                <w:szCs w:val="20"/>
                <w:color w:val="auto"/>
              </w:rPr>
            </w:pPr>
            <w:r>
              <w:rPr>
                <w:rFonts w:ascii="Courier New" w:cs="Courier New" w:eastAsia="Courier New" w:hAnsi="Courier New"/>
                <w:sz w:val="16"/>
                <w:szCs w:val="16"/>
                <w:color w:val="auto"/>
              </w:rPr>
              <w:t>Effect of dilutive securities:</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3"/>
        </w:trPr>
        <w:tc>
          <w:tcPr>
            <w:tcW w:w="3200" w:type="dxa"/>
            <w:vAlign w:val="bottom"/>
          </w:tcPr>
          <w:p>
            <w:pPr>
              <w:ind w:left="480"/>
              <w:spacing w:after="0"/>
              <w:rPr>
                <w:sz w:val="20"/>
                <w:szCs w:val="20"/>
                <w:color w:val="auto"/>
              </w:rPr>
            </w:pPr>
            <w:r>
              <w:rPr>
                <w:rFonts w:ascii="Courier New" w:cs="Courier New" w:eastAsia="Courier New" w:hAnsi="Courier New"/>
                <w:sz w:val="16"/>
                <w:szCs w:val="16"/>
                <w:color w:val="auto"/>
              </w:rPr>
              <w:t>Stock options</w:t>
            </w:r>
          </w:p>
        </w:tc>
        <w:tc>
          <w:tcPr>
            <w:tcW w:w="42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1,174,000</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2,039,000</w:t>
            </w:r>
          </w:p>
        </w:tc>
      </w:tr>
      <w:tr>
        <w:trPr>
          <w:trHeight w:val="183"/>
        </w:trPr>
        <w:tc>
          <w:tcPr>
            <w:tcW w:w="3200" w:type="dxa"/>
            <w:vAlign w:val="bottom"/>
          </w:tcPr>
          <w:p>
            <w:pPr>
              <w:ind w:left="480"/>
              <w:spacing w:after="0"/>
              <w:rPr>
                <w:sz w:val="20"/>
                <w:szCs w:val="20"/>
                <w:color w:val="auto"/>
              </w:rPr>
            </w:pPr>
            <w:r>
              <w:rPr>
                <w:rFonts w:ascii="Courier New" w:cs="Courier New" w:eastAsia="Courier New" w:hAnsi="Courier New"/>
                <w:sz w:val="16"/>
                <w:szCs w:val="16"/>
                <w:color w:val="auto"/>
              </w:rPr>
              <w:t>Other</w:t>
            </w:r>
          </w:p>
        </w:tc>
        <w:tc>
          <w:tcPr>
            <w:tcW w:w="42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348,000</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199,000</w:t>
            </w:r>
          </w:p>
        </w:tc>
      </w:tr>
      <w:tr>
        <w:trPr>
          <w:trHeight w:val="183"/>
        </w:trPr>
        <w:tc>
          <w:tcPr>
            <w:tcW w:w="3200" w:type="dxa"/>
            <w:vAlign w:val="bottom"/>
          </w:tcPr>
          <w:p>
            <w:pPr>
              <w:spacing w:after="0"/>
              <w:rPr>
                <w:sz w:val="15"/>
                <w:szCs w:val="15"/>
                <w:color w:val="auto"/>
              </w:rPr>
            </w:pPr>
          </w:p>
        </w:tc>
        <w:tc>
          <w:tcPr>
            <w:tcW w:w="17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3620" w:type="dxa"/>
            <w:vAlign w:val="bottom"/>
            <w:gridSpan w:val="2"/>
          </w:tcPr>
          <w:p>
            <w:pPr>
              <w:spacing w:after="0"/>
              <w:rPr>
                <w:sz w:val="20"/>
                <w:szCs w:val="20"/>
                <w:color w:val="auto"/>
              </w:rPr>
            </w:pPr>
            <w:r>
              <w:rPr>
                <w:rFonts w:ascii="Courier New" w:cs="Courier New" w:eastAsia="Courier New" w:hAnsi="Courier New"/>
                <w:sz w:val="16"/>
                <w:szCs w:val="16"/>
                <w:color w:val="auto"/>
              </w:rPr>
              <w:t>Common shares outstanding - diluted</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21,507,000</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23,056,000</w:t>
            </w:r>
          </w:p>
        </w:tc>
      </w:tr>
      <w:tr>
        <w:trPr>
          <w:trHeight w:val="183"/>
        </w:trPr>
        <w:tc>
          <w:tcPr>
            <w:tcW w:w="3200" w:type="dxa"/>
            <w:vAlign w:val="bottom"/>
          </w:tcPr>
          <w:p>
            <w:pPr>
              <w:spacing w:after="0"/>
              <w:rPr>
                <w:sz w:val="15"/>
                <w:szCs w:val="15"/>
                <w:color w:val="auto"/>
              </w:rPr>
            </w:pPr>
          </w:p>
        </w:tc>
        <w:tc>
          <w:tcPr>
            <w:tcW w:w="17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200" w:type="dxa"/>
            <w:vAlign w:val="bottom"/>
          </w:tcPr>
          <w:p>
            <w:pPr>
              <w:spacing w:after="0"/>
              <w:rPr>
                <w:sz w:val="15"/>
                <w:szCs w:val="15"/>
                <w:color w:val="auto"/>
              </w:rPr>
            </w:pPr>
          </w:p>
        </w:tc>
        <w:tc>
          <w:tcPr>
            <w:tcW w:w="17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917"/>
        </w:trPr>
        <w:tc>
          <w:tcPr>
            <w:tcW w:w="3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7</w:t>
            </w:r>
          </w:p>
        </w:tc>
        <w:tc>
          <w:tcPr>
            <w:tcW w:w="1720" w:type="dxa"/>
            <w:vAlign w:val="bottom"/>
          </w:tcPr>
          <w:p>
            <w:pPr>
              <w:spacing w:after="0"/>
              <w:rPr>
                <w:sz w:val="24"/>
                <w:szCs w:val="24"/>
                <w:color w:val="auto"/>
              </w:rPr>
            </w:pPr>
          </w:p>
        </w:tc>
      </w:tr>
    </w:tbl>
    <w:p>
      <w:pPr>
        <w:sectPr>
          <w:pgSz w:w="11900" w:h="16838" w:orient="portrait"/>
          <w:cols w:equalWidth="0" w:num="1">
            <w:col w:w="10221"/>
          </w:cols>
          <w:pgMar w:left="238" w:top="665" w:right="1440"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00" w:type="dxa"/>
            <w:vAlign w:val="bottom"/>
          </w:tcPr>
          <w:p>
            <w:pPr>
              <w:spacing w:after="0"/>
              <w:rPr>
                <w:sz w:val="15"/>
                <w:szCs w:val="15"/>
                <w:color w:val="auto"/>
              </w:rPr>
            </w:pPr>
          </w:p>
        </w:tc>
        <w:tc>
          <w:tcPr>
            <w:tcW w:w="18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Three months Ended</w:t>
            </w:r>
          </w:p>
        </w:tc>
        <w:tc>
          <w:tcPr>
            <w:tcW w:w="1800" w:type="dxa"/>
            <w:vAlign w:val="bottom"/>
          </w:tcPr>
          <w:p>
            <w:pPr>
              <w:jc w:val="center"/>
              <w:ind w:left="1"/>
              <w:spacing w:after="0"/>
              <w:rPr>
                <w:sz w:val="20"/>
                <w:szCs w:val="20"/>
                <w:color w:val="auto"/>
              </w:rPr>
            </w:pPr>
            <w:r>
              <w:rPr>
                <w:rFonts w:ascii="Courier New" w:cs="Courier New" w:eastAsia="Courier New" w:hAnsi="Courier New"/>
                <w:sz w:val="16"/>
                <w:szCs w:val="16"/>
                <w:color w:val="auto"/>
                <w:w w:val="99"/>
              </w:rPr>
              <w:t>Three months Ended</w:t>
            </w:r>
          </w:p>
        </w:tc>
      </w:tr>
      <w:tr>
        <w:trPr>
          <w:trHeight w:val="183"/>
        </w:trPr>
        <w:tc>
          <w:tcPr>
            <w:tcW w:w="3200" w:type="dxa"/>
            <w:vAlign w:val="bottom"/>
          </w:tcPr>
          <w:p>
            <w:pPr>
              <w:spacing w:after="0"/>
              <w:rPr>
                <w:sz w:val="15"/>
                <w:szCs w:val="15"/>
                <w:color w:val="auto"/>
              </w:rPr>
            </w:pPr>
          </w:p>
        </w:tc>
        <w:tc>
          <w:tcPr>
            <w:tcW w:w="18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April 30, 1997</w:t>
            </w:r>
          </w:p>
        </w:tc>
        <w:tc>
          <w:tcPr>
            <w:tcW w:w="180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9"/>
              </w:rPr>
              <w:t>April 30, 1998</w:t>
            </w:r>
          </w:p>
        </w:tc>
      </w:tr>
      <w:tr>
        <w:trPr>
          <w:trHeight w:val="183"/>
        </w:trPr>
        <w:tc>
          <w:tcPr>
            <w:tcW w:w="3200" w:type="dxa"/>
            <w:vAlign w:val="bottom"/>
          </w:tcPr>
          <w:p>
            <w:pPr>
              <w:spacing w:after="0"/>
              <w:rPr>
                <w:sz w:val="15"/>
                <w:szCs w:val="15"/>
                <w:color w:val="auto"/>
              </w:rPr>
            </w:pPr>
          </w:p>
        </w:tc>
        <w:tc>
          <w:tcPr>
            <w:tcW w:w="18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c>
          <w:tcPr>
            <w:tcW w:w="1800" w:type="dxa"/>
            <w:vAlign w:val="bottom"/>
          </w:tcPr>
          <w:p>
            <w:pPr>
              <w:jc w:val="center"/>
              <w:ind w:left="1"/>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32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5,849,000</w:t>
            </w: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$ 7,105,000</w:t>
            </w:r>
          </w:p>
        </w:tc>
      </w:tr>
      <w:tr>
        <w:trPr>
          <w:trHeight w:val="183"/>
        </w:trPr>
        <w:tc>
          <w:tcPr>
            <w:tcW w:w="3200" w:type="dxa"/>
            <w:vAlign w:val="bottom"/>
          </w:tcPr>
          <w:p>
            <w:pPr>
              <w:spacing w:after="0"/>
              <w:rPr>
                <w:sz w:val="20"/>
                <w:szCs w:val="20"/>
                <w:color w:val="auto"/>
              </w:rPr>
            </w:pPr>
            <w:r>
              <w:rPr>
                <w:rFonts w:ascii="Courier New" w:cs="Courier New" w:eastAsia="Courier New" w:hAnsi="Courier New"/>
                <w:sz w:val="16"/>
                <w:szCs w:val="16"/>
                <w:color w:val="auto"/>
              </w:rPr>
              <w:t>Preferred Stock Dividends</w:t>
            </w:r>
          </w:p>
        </w:tc>
        <w:tc>
          <w:tcPr>
            <w:tcW w:w="420" w:type="dxa"/>
            <w:vAlign w:val="bottom"/>
          </w:tcPr>
          <w:p>
            <w:pPr>
              <w:spacing w:after="0"/>
              <w:rPr>
                <w:sz w:val="15"/>
                <w:szCs w:val="15"/>
                <w:color w:val="auto"/>
              </w:rPr>
            </w:pP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(128,000)</w:t>
            </w:r>
          </w:p>
        </w:tc>
        <w:tc>
          <w:tcPr>
            <w:tcW w:w="1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(128,000)</w:t>
            </w:r>
          </w:p>
        </w:tc>
      </w:tr>
      <w:tr>
        <w:trPr>
          <w:trHeight w:val="183"/>
        </w:trPr>
        <w:tc>
          <w:tcPr>
            <w:tcW w:w="3200" w:type="dxa"/>
            <w:vAlign w:val="bottom"/>
          </w:tcPr>
          <w:p>
            <w:pPr>
              <w:spacing w:after="0"/>
              <w:rPr>
                <w:sz w:val="15"/>
                <w:szCs w:val="15"/>
                <w:color w:val="auto"/>
              </w:rPr>
            </w:pPr>
          </w:p>
        </w:tc>
        <w:tc>
          <w:tcPr>
            <w:tcW w:w="18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32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5,721,000</w:t>
            </w: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$ 6,977,000</w:t>
            </w:r>
          </w:p>
        </w:tc>
      </w:tr>
      <w:tr>
        <w:trPr>
          <w:trHeight w:val="183"/>
        </w:trPr>
        <w:tc>
          <w:tcPr>
            <w:tcW w:w="3200" w:type="dxa"/>
            <w:vAlign w:val="bottom"/>
          </w:tcPr>
          <w:p>
            <w:pPr>
              <w:spacing w:after="0"/>
              <w:rPr>
                <w:sz w:val="15"/>
                <w:szCs w:val="15"/>
                <w:color w:val="auto"/>
              </w:rPr>
            </w:pPr>
          </w:p>
        </w:tc>
        <w:tc>
          <w:tcPr>
            <w:tcW w:w="18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3200" w:type="dxa"/>
            <w:vAlign w:val="bottom"/>
          </w:tcPr>
          <w:p>
            <w:pPr>
              <w:spacing w:after="0"/>
              <w:rPr>
                <w:sz w:val="15"/>
                <w:szCs w:val="15"/>
                <w:color w:val="auto"/>
              </w:rPr>
            </w:pPr>
          </w:p>
        </w:tc>
        <w:tc>
          <w:tcPr>
            <w:tcW w:w="18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3200" w:type="dxa"/>
            <w:vAlign w:val="bottom"/>
          </w:tcPr>
          <w:p>
            <w:pPr>
              <w:spacing w:after="0"/>
              <w:rPr>
                <w:sz w:val="20"/>
                <w:szCs w:val="20"/>
                <w:color w:val="auto"/>
              </w:rPr>
            </w:pPr>
            <w:r>
              <w:rPr>
                <w:rFonts w:ascii="Courier New" w:cs="Courier New" w:eastAsia="Courier New" w:hAnsi="Courier New"/>
                <w:sz w:val="16"/>
                <w:szCs w:val="16"/>
                <w:color w:val="auto"/>
              </w:rPr>
              <w:t>Common shares outstanding - basic</w:t>
            </w:r>
          </w:p>
        </w:tc>
        <w:tc>
          <w:tcPr>
            <w:tcW w:w="420" w:type="dxa"/>
            <w:vAlign w:val="bottom"/>
          </w:tcPr>
          <w:p>
            <w:pPr>
              <w:spacing w:after="0"/>
              <w:rPr>
                <w:sz w:val="24"/>
                <w:szCs w:val="24"/>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20,412,000</w:t>
            </w: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20,996,000</w:t>
            </w:r>
          </w:p>
        </w:tc>
      </w:tr>
      <w:tr>
        <w:trPr>
          <w:trHeight w:val="367"/>
        </w:trPr>
        <w:tc>
          <w:tcPr>
            <w:tcW w:w="3200" w:type="dxa"/>
            <w:vAlign w:val="bottom"/>
          </w:tcPr>
          <w:p>
            <w:pPr>
              <w:spacing w:after="0"/>
              <w:rPr>
                <w:sz w:val="20"/>
                <w:szCs w:val="20"/>
                <w:color w:val="auto"/>
              </w:rPr>
            </w:pPr>
            <w:r>
              <w:rPr>
                <w:rFonts w:ascii="Courier New" w:cs="Courier New" w:eastAsia="Courier New" w:hAnsi="Courier New"/>
                <w:sz w:val="16"/>
                <w:szCs w:val="16"/>
                <w:color w:val="auto"/>
              </w:rPr>
              <w:t>Effect of dilutive securities:</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83"/>
        </w:trPr>
        <w:tc>
          <w:tcPr>
            <w:tcW w:w="3200" w:type="dxa"/>
            <w:vAlign w:val="bottom"/>
          </w:tcPr>
          <w:p>
            <w:pPr>
              <w:ind w:left="380"/>
              <w:spacing w:after="0"/>
              <w:rPr>
                <w:sz w:val="20"/>
                <w:szCs w:val="20"/>
                <w:color w:val="auto"/>
              </w:rPr>
            </w:pPr>
            <w:r>
              <w:rPr>
                <w:rFonts w:ascii="Courier New" w:cs="Courier New" w:eastAsia="Courier New" w:hAnsi="Courier New"/>
                <w:sz w:val="16"/>
                <w:szCs w:val="16"/>
                <w:color w:val="auto"/>
              </w:rPr>
              <w:t>Stock options</w:t>
            </w:r>
          </w:p>
        </w:tc>
        <w:tc>
          <w:tcPr>
            <w:tcW w:w="42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1,186,000</w:t>
            </w: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2,035,000</w:t>
            </w:r>
          </w:p>
        </w:tc>
      </w:tr>
      <w:tr>
        <w:trPr>
          <w:trHeight w:val="183"/>
        </w:trPr>
        <w:tc>
          <w:tcPr>
            <w:tcW w:w="3200" w:type="dxa"/>
            <w:vAlign w:val="bottom"/>
          </w:tcPr>
          <w:p>
            <w:pPr>
              <w:ind w:left="380"/>
              <w:spacing w:after="0"/>
              <w:rPr>
                <w:sz w:val="20"/>
                <w:szCs w:val="20"/>
                <w:color w:val="auto"/>
              </w:rPr>
            </w:pPr>
            <w:r>
              <w:rPr>
                <w:rFonts w:ascii="Courier New" w:cs="Courier New" w:eastAsia="Courier New" w:hAnsi="Courier New"/>
                <w:sz w:val="16"/>
                <w:szCs w:val="16"/>
                <w:color w:val="auto"/>
              </w:rPr>
              <w:t>Other</w:t>
            </w:r>
          </w:p>
        </w:tc>
        <w:tc>
          <w:tcPr>
            <w:tcW w:w="42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348,000</w:t>
            </w: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199,000</w:t>
            </w:r>
          </w:p>
        </w:tc>
      </w:tr>
      <w:tr>
        <w:trPr>
          <w:trHeight w:val="183"/>
        </w:trPr>
        <w:tc>
          <w:tcPr>
            <w:tcW w:w="3200" w:type="dxa"/>
            <w:vAlign w:val="bottom"/>
          </w:tcPr>
          <w:p>
            <w:pPr>
              <w:spacing w:after="0"/>
              <w:rPr>
                <w:sz w:val="15"/>
                <w:szCs w:val="15"/>
                <w:color w:val="auto"/>
              </w:rPr>
            </w:pPr>
          </w:p>
        </w:tc>
        <w:tc>
          <w:tcPr>
            <w:tcW w:w="18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3620" w:type="dxa"/>
            <w:vAlign w:val="bottom"/>
            <w:gridSpan w:val="2"/>
          </w:tcPr>
          <w:p>
            <w:pPr>
              <w:spacing w:after="0"/>
              <w:rPr>
                <w:sz w:val="20"/>
                <w:szCs w:val="20"/>
                <w:color w:val="auto"/>
              </w:rPr>
            </w:pPr>
            <w:r>
              <w:rPr>
                <w:rFonts w:ascii="Courier New" w:cs="Courier New" w:eastAsia="Courier New" w:hAnsi="Courier New"/>
                <w:sz w:val="16"/>
                <w:szCs w:val="16"/>
                <w:color w:val="auto"/>
              </w:rPr>
              <w:t>Common shares outstanding - diluted</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21,598,000</w:t>
            </w: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23,030,000</w:t>
            </w:r>
          </w:p>
        </w:tc>
      </w:tr>
      <w:tr>
        <w:trPr>
          <w:trHeight w:val="183"/>
        </w:trPr>
        <w:tc>
          <w:tcPr>
            <w:tcW w:w="3200" w:type="dxa"/>
            <w:vAlign w:val="bottom"/>
          </w:tcPr>
          <w:p>
            <w:pPr>
              <w:spacing w:after="0"/>
              <w:rPr>
                <w:sz w:val="15"/>
                <w:szCs w:val="15"/>
                <w:color w:val="auto"/>
              </w:rPr>
            </w:pPr>
          </w:p>
        </w:tc>
        <w:tc>
          <w:tcPr>
            <w:tcW w:w="18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3200" w:type="dxa"/>
            <w:vAlign w:val="bottom"/>
          </w:tcPr>
          <w:p>
            <w:pPr>
              <w:spacing w:after="0"/>
              <w:rPr>
                <w:sz w:val="15"/>
                <w:szCs w:val="15"/>
                <w:color w:val="auto"/>
              </w:rPr>
            </w:pPr>
          </w:p>
        </w:tc>
        <w:tc>
          <w:tcPr>
            <w:tcW w:w="18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5"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In March 1998, the Company's Board of Directors adopted a stockholder rights plan to replace an existing rights plan that expired on April 22, 1998. The new plan provides for a dividend distribution of one preferred stock purchase right (a "Right") for each outstanding share of common stock, distributed to stockholders of record on April 22, 1998. The Rights will be exercisable only if a person or group acquires 20% or more of the Company's common stock (an "Acquiring Person") or announces a tender offer for 20% or more of the common stock. Each Right will entitle stockholders to buy one-thousandth of a share of newly created Participating Preferred Stock, par value $.01 per share, of the Company at an initial exercise price of $175 per Right, subject to adjustment from time to time. However, if any person becomes an Acquiring Person, each Right will then entitle its holder (other than the Acquiring Person) to purchase at the exercise price common stock (or, in certain circumstances, Participating Preferred Stock) of the Company having a market value at that time of twice the Right's exercise price.</w:t>
      </w:r>
    </w:p>
    <w:p>
      <w:pPr>
        <w:spacing w:after="0" w:line="10" w:lineRule="exact"/>
        <w:rPr>
          <w:sz w:val="20"/>
          <w:szCs w:val="20"/>
          <w:color w:val="auto"/>
        </w:rPr>
      </w:pPr>
    </w:p>
    <w:p>
      <w:pPr>
        <w:ind w:right="2979"/>
        <w:spacing w:after="0" w:line="242" w:lineRule="auto"/>
        <w:rPr>
          <w:sz w:val="20"/>
          <w:szCs w:val="20"/>
          <w:color w:val="auto"/>
        </w:rPr>
      </w:pPr>
      <w:r>
        <w:rPr>
          <w:rFonts w:ascii="Courier New" w:cs="Courier New" w:eastAsia="Courier New" w:hAnsi="Courier New"/>
          <w:sz w:val="16"/>
          <w:szCs w:val="16"/>
          <w:color w:val="auto"/>
        </w:rPr>
        <w:t>These Rightsholders would also be entitled to purchase an equivalent number of shares at the exercise price if the Acquiring Person were to control the Company's Board of Directors and cause the Company to enter into certain mergers or other transactions. In addition, if an Acquiring Person acquired between 20% and 50% of the Company's voting stock, the Company's Board of Directors may, at its option, exchange one share of the Company's common stock for each Right held (other than Rights held by the Acquiring Person). Rights held by the Acquiring Person will become void. The Rights Plan excludes from its operation Theodore Rosenberg and Sydney J. Rosenberg, and certain related persons, and, as a result, their holdings will not cause the Rights to become exercisable or nonredeemable or trigger the other features of the Rights. The Rights will expire on April 22, 2008, unless earlier redeemed by the Board at $0.01 per Right.</w:t>
      </w:r>
    </w:p>
    <w:p>
      <w:pPr>
        <w:spacing w:after="0" w:line="37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1215" w:right="1440" w:bottom="1440" w:gutter="0" w:footer="0" w:header="0"/>
        </w:sectPr>
      </w:pPr>
    </w:p>
    <w:bookmarkStart w:id="9" w:name="page10"/>
    <w:bookmarkEnd w:id="9"/>
    <w:p>
      <w:pPr>
        <w:ind w:right="2599"/>
        <w:spacing w:after="0" w:line="239"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CONDITION</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Funds provided from operations and bank borrowings have historically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been the sources for meeting working capital requirements, financing capital</w:t>
      </w:r>
    </w:p>
    <w:p>
      <w:pPr>
        <w:spacing w:after="0" w:line="2" w:lineRule="exact"/>
        <w:rPr>
          <w:sz w:val="20"/>
          <w:szCs w:val="20"/>
          <w:color w:val="auto"/>
        </w:rPr>
      </w:pPr>
    </w:p>
    <w:p>
      <w:pPr>
        <w:spacing w:after="0"/>
        <w:tabs>
          <w:tab w:leader="none" w:pos="5600" w:val="left"/>
        </w:tabs>
        <w:rPr>
          <w:sz w:val="20"/>
          <w:szCs w:val="20"/>
          <w:color w:val="auto"/>
        </w:rPr>
      </w:pPr>
      <w:r>
        <w:rPr>
          <w:rFonts w:ascii="Courier New" w:cs="Courier New" w:eastAsia="Courier New" w:hAnsi="Courier New"/>
          <w:sz w:val="16"/>
          <w:szCs w:val="16"/>
          <w:color w:val="auto"/>
        </w:rPr>
        <w:t>expenditures and acquisitions, and paying cash dividends.</w:t>
        <w:tab/>
        <w:t>Management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believes that funds from these sources will remain available and adequately</w:t>
      </w:r>
    </w:p>
    <w:p>
      <w:pPr>
        <w:spacing w:after="0" w:line="2"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6"/>
          <w:szCs w:val="16"/>
          <w:color w:val="auto"/>
        </w:rPr>
        <w:t>serve the Company's liquidity needs.</w:t>
      </w:r>
      <w:r>
        <w:rPr>
          <w:sz w:val="20"/>
          <w:szCs w:val="20"/>
          <w:color w:val="auto"/>
        </w:rPr>
        <w:tab/>
      </w:r>
      <w:r>
        <w:rPr>
          <w:rFonts w:ascii="Courier New" w:cs="Courier New" w:eastAsia="Courier New" w:hAnsi="Courier New"/>
          <w:sz w:val="15"/>
          <w:szCs w:val="15"/>
          <w:color w:val="auto"/>
        </w:rPr>
        <w:t>The Company has an unsecured revolving</w:t>
      </w:r>
    </w:p>
    <w:p>
      <w:pPr>
        <w:spacing w:after="0" w:line="2" w:lineRule="exact"/>
        <w:rPr>
          <w:sz w:val="20"/>
          <w:szCs w:val="20"/>
          <w:color w:val="auto"/>
        </w:rPr>
      </w:pPr>
    </w:p>
    <w:p>
      <w:pPr>
        <w:spacing w:after="0"/>
        <w:tabs>
          <w:tab w:leader="none" w:pos="4740" w:val="left"/>
        </w:tabs>
        <w:rPr>
          <w:sz w:val="20"/>
          <w:szCs w:val="20"/>
          <w:color w:val="auto"/>
        </w:rPr>
      </w:pPr>
      <w:r>
        <w:rPr>
          <w:rFonts w:ascii="Courier New" w:cs="Courier New" w:eastAsia="Courier New" w:hAnsi="Courier New"/>
          <w:sz w:val="16"/>
          <w:szCs w:val="16"/>
          <w:color w:val="auto"/>
        </w:rPr>
        <w:t>credit agreement with a syndicate of U.S. banks.</w:t>
      </w:r>
      <w:r>
        <w:rPr>
          <w:sz w:val="20"/>
          <w:szCs w:val="20"/>
          <w:color w:val="auto"/>
        </w:rPr>
        <w:tab/>
      </w:r>
      <w:r>
        <w:rPr>
          <w:rFonts w:ascii="Courier New" w:cs="Courier New" w:eastAsia="Courier New" w:hAnsi="Courier New"/>
          <w:sz w:val="15"/>
          <w:szCs w:val="15"/>
          <w:color w:val="auto"/>
        </w:rPr>
        <w:t>This agreement had a $125</w:t>
      </w:r>
    </w:p>
    <w:p>
      <w:pPr>
        <w:spacing w:after="0" w:line="2"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6"/>
          <w:szCs w:val="16"/>
          <w:color w:val="auto"/>
        </w:rPr>
        <w:t>million line of credit expiring July 1, 2002.</w:t>
      </w:r>
      <w:r>
        <w:rPr>
          <w:sz w:val="20"/>
          <w:szCs w:val="20"/>
          <w:color w:val="auto"/>
        </w:rPr>
        <w:tab/>
      </w:r>
      <w:r>
        <w:rPr>
          <w:rFonts w:ascii="Courier New" w:cs="Courier New" w:eastAsia="Courier New" w:hAnsi="Courier New"/>
          <w:sz w:val="15"/>
          <w:szCs w:val="15"/>
          <w:color w:val="auto"/>
        </w:rPr>
        <w:t>Effective November 1,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agreement was amended to increase the amount available to $150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the Company's option, the credit facility provides interest at the prime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 or IBOR+.35%. As of April 30, 1998, the total amount outstanding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approximately $101.0 million, which was comprised of loans in the amount of</w:t>
      </w:r>
    </w:p>
    <w:p>
      <w:pPr>
        <w:spacing w:after="0" w:line="2" w:lineRule="exact"/>
        <w:rPr>
          <w:sz w:val="20"/>
          <w:szCs w:val="20"/>
          <w:color w:val="auto"/>
        </w:rPr>
      </w:pPr>
    </w:p>
    <w:p>
      <w:pPr>
        <w:spacing w:after="0"/>
        <w:tabs>
          <w:tab w:leader="none" w:pos="5980" w:val="left"/>
        </w:tabs>
        <w:rPr>
          <w:sz w:val="20"/>
          <w:szCs w:val="20"/>
          <w:color w:val="auto"/>
        </w:rPr>
      </w:pPr>
      <w:r>
        <w:rPr>
          <w:rFonts w:ascii="Courier New" w:cs="Courier New" w:eastAsia="Courier New" w:hAnsi="Courier New"/>
          <w:sz w:val="16"/>
          <w:szCs w:val="16"/>
          <w:color w:val="auto"/>
        </w:rPr>
        <w:t>$30.0 million and standby letters of credit of $71.0 million.</w:t>
      </w:r>
      <w:r>
        <w:rPr>
          <w:sz w:val="20"/>
          <w:szCs w:val="20"/>
          <w:color w:val="auto"/>
        </w:rPr>
        <w:tab/>
      </w:r>
      <w:r>
        <w:rPr>
          <w:rFonts w:ascii="Courier New" w:cs="Courier New" w:eastAsia="Courier New" w:hAnsi="Courier New"/>
          <w:sz w:val="15"/>
          <w:szCs w:val="15"/>
          <w:color w:val="auto"/>
        </w:rPr>
        <w:t>This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requires the Company to meet certain financial ratios and places some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limitations on dividend payments and outside borrowing. The Company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prohibited from declaring or paying cash dividends exceeding 50% of its net</w:t>
      </w:r>
    </w:p>
    <w:p>
      <w:pPr>
        <w:spacing w:after="0" w:line="2" w:lineRule="exact"/>
        <w:rPr>
          <w:sz w:val="20"/>
          <w:szCs w:val="20"/>
          <w:color w:val="auto"/>
        </w:rPr>
      </w:pPr>
    </w:p>
    <w:p>
      <w:pPr>
        <w:spacing w:after="0"/>
        <w:tabs>
          <w:tab w:leader="none" w:pos="2740" w:val="left"/>
        </w:tabs>
        <w:rPr>
          <w:sz w:val="20"/>
          <w:szCs w:val="20"/>
          <w:color w:val="auto"/>
        </w:rPr>
      </w:pPr>
      <w:r>
        <w:rPr>
          <w:rFonts w:ascii="Courier New" w:cs="Courier New" w:eastAsia="Courier New" w:hAnsi="Courier New"/>
          <w:sz w:val="16"/>
          <w:szCs w:val="16"/>
          <w:color w:val="auto"/>
        </w:rPr>
        <w:t>income for any fiscal year.</w:t>
      </w:r>
      <w:r>
        <w:rPr>
          <w:sz w:val="20"/>
          <w:szCs w:val="20"/>
          <w:color w:val="auto"/>
        </w:rPr>
        <w:tab/>
      </w:r>
      <w:r>
        <w:rPr>
          <w:rFonts w:ascii="Courier New" w:cs="Courier New" w:eastAsia="Courier New" w:hAnsi="Courier New"/>
          <w:sz w:val="15"/>
          <w:szCs w:val="15"/>
          <w:color w:val="auto"/>
        </w:rPr>
        <w:t>In February 1996, the Company entered into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loan agreement with a major U.S. bank which provides a seven-year term loan</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6"/>
          <w:szCs w:val="16"/>
          <w:color w:val="auto"/>
        </w:rPr>
        <w:t>of $5 million.</w:t>
      </w:r>
      <w:r>
        <w:rPr>
          <w:sz w:val="20"/>
          <w:szCs w:val="20"/>
          <w:color w:val="auto"/>
        </w:rPr>
        <w:tab/>
      </w:r>
      <w:r>
        <w:rPr>
          <w:rFonts w:ascii="Courier New" w:cs="Courier New" w:eastAsia="Courier New" w:hAnsi="Courier New"/>
          <w:sz w:val="15"/>
          <w:szCs w:val="15"/>
          <w:color w:val="auto"/>
        </w:rPr>
        <w:t>This loan bears interest at a fixed rate of 6.78 %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payments of principal in varying amounts, and interest due February</w:t>
      </w:r>
    </w:p>
    <w:p>
      <w:pPr>
        <w:spacing w:after="0" w:line="2" w:lineRule="exact"/>
        <w:rPr>
          <w:sz w:val="20"/>
          <w:szCs w:val="20"/>
          <w:color w:val="auto"/>
        </w:rPr>
      </w:pPr>
    </w:p>
    <w:p>
      <w:pPr>
        <w:spacing w:after="0"/>
        <w:tabs>
          <w:tab w:leader="none" w:pos="3500" w:val="left"/>
        </w:tabs>
        <w:rPr>
          <w:sz w:val="20"/>
          <w:szCs w:val="20"/>
          <w:color w:val="auto"/>
        </w:rPr>
      </w:pPr>
      <w:r>
        <w:rPr>
          <w:rFonts w:ascii="Courier New" w:cs="Courier New" w:eastAsia="Courier New" w:hAnsi="Courier New"/>
          <w:sz w:val="16"/>
          <w:szCs w:val="16"/>
          <w:color w:val="auto"/>
        </w:rPr>
        <w:t>15, 1997 through February 15, 2003.</w:t>
      </w:r>
      <w:r>
        <w:rPr>
          <w:sz w:val="20"/>
          <w:szCs w:val="20"/>
          <w:color w:val="auto"/>
        </w:rPr>
        <w:tab/>
      </w:r>
      <w:r>
        <w:rPr>
          <w:rFonts w:ascii="Courier New" w:cs="Courier New" w:eastAsia="Courier New" w:hAnsi="Courier New"/>
          <w:sz w:val="15"/>
          <w:szCs w:val="15"/>
          <w:color w:val="auto"/>
        </w:rPr>
        <w:t>The Company's effective interest rate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all long term debt for the six months ended April 30, 1998 was 6.99%.</w:t>
      </w:r>
    </w:p>
    <w:p>
      <w:pPr>
        <w:spacing w:after="0" w:line="188"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At April 30, 1998, working capital was $146.8 million, as compared to $137.8 million at October 31, 1997.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 OF INFLATION</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low rates of inflation experienced in recent years had no material impact on the financial statements of the Company. The Company attempts to recover inflationary costs by increasing sales prices to the extent permitted by contracts and competition.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The nature of the Company's operations, primarily services, would not ordinarily involve it in environmental contamination. However, 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w:t>
      </w:r>
    </w:p>
    <w:p>
      <w:pPr>
        <w:spacing w:after="0" w:line="185"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7" w:right="1440" w:bottom="1440" w:gutter="0" w:footer="0" w:header="0"/>
        </w:sectPr>
      </w:pPr>
    </w:p>
    <w:bookmarkStart w:id="10" w:name="page11"/>
    <w:bookmarkEnd w:id="10"/>
    <w:p>
      <w:pPr>
        <w:ind w:right="3259"/>
        <w:spacing w:after="0" w:line="241" w:lineRule="auto"/>
        <w:rPr>
          <w:sz w:val="20"/>
          <w:szCs w:val="20"/>
          <w:color w:val="auto"/>
        </w:rPr>
      </w:pPr>
      <w:r>
        <w:rPr>
          <w:rFonts w:ascii="Courier New" w:cs="Courier New" w:eastAsia="Courier New" w:hAnsi="Courier New"/>
          <w:sz w:val="16"/>
          <w:szCs w:val="16"/>
          <w:color w:val="auto"/>
        </w:rPr>
        <w:t>generally have the effect of increasing costs and potential liabilities associated with the conduct of the Company's operations, although historically they have not had a material adverse effect on the Company's financial position or its results of operations.</w:t>
      </w:r>
    </w:p>
    <w:p>
      <w:pPr>
        <w:spacing w:after="0" w:line="189" w:lineRule="exact"/>
        <w:rPr>
          <w:sz w:val="20"/>
          <w:szCs w:val="20"/>
          <w:color w:val="auto"/>
        </w:rPr>
      </w:pPr>
    </w:p>
    <w:p>
      <w:pPr>
        <w:ind w:right="2979" w:firstLine="477"/>
        <w:spacing w:after="0" w:line="242" w:lineRule="auto"/>
        <w:rPr>
          <w:sz w:val="20"/>
          <w:szCs w:val="20"/>
          <w:color w:val="auto"/>
        </w:rPr>
      </w:pPr>
      <w:r>
        <w:rPr>
          <w:rFonts w:ascii="Courier New" w:cs="Courier New" w:eastAsia="Courier New" w:hAnsi="Courier New"/>
          <w:sz w:val="16"/>
          <w:szCs w:val="16"/>
          <w:color w:val="auto"/>
        </w:rPr>
        <w:t>The Company is currently involved in four proceedings relating to environmental matters: one involving alleged potential soil and groundwater contamination at a Company facility in Florida; one involving alleged soil contamination at a former Company facility in Arizona; one involving alleged potential soil and groundwater contamination of a parking garage previously operated by the Company; and, one involving alleged potential soil and groundwater contamination at a former dry-cleaning facility leased by the Company in Nevada. While it is difficult to predict the ultimate outcome of these matters, based on information currently available, management believes that none of these matters, individually or in the aggregate, are reasonably likely to have a material adverse affect on the Company's financial position or its results of operations.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 ISSUE</w:t>
      </w:r>
    </w:p>
    <w:p>
      <w:pPr>
        <w:spacing w:after="0" w:line="188"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The Company has identified the accounting software it uses which is not year 2000 compliant, and has begun its effort to coordinate the identification, evaluation, and implementation of changes to its computer systems and applications necessary to achieve year 2000 compliance. A study is underway to determine the other areas of the Company's business that could be affected, including the possible impact of the failure of the Company's customers and suppliers to be year 2000 compliant. The total cost of compliance and its effect on the Company's financial condition and future results of operations have not been determined.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w:t>
      </w:r>
    </w:p>
    <w:p>
      <w:pPr>
        <w:spacing w:after="0" w:line="188"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The operating results of businesses acquired have been included in the accompanying consolidated financial statements from their respective dates of acquisition.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8" w:lineRule="exact"/>
        <w:rPr>
          <w:sz w:val="20"/>
          <w:szCs w:val="20"/>
          <w:color w:val="auto"/>
        </w:rPr>
      </w:pPr>
    </w:p>
    <w:p>
      <w:pPr>
        <w:ind w:right="3159" w:firstLine="477"/>
        <w:spacing w:after="0" w:line="241" w:lineRule="auto"/>
        <w:rPr>
          <w:sz w:val="20"/>
          <w:szCs w:val="20"/>
          <w:color w:val="auto"/>
        </w:rPr>
      </w:pPr>
      <w:r>
        <w:rPr>
          <w:rFonts w:ascii="Courier New" w:cs="Courier New" w:eastAsia="Courier New" w:hAnsi="Courier New"/>
          <w:sz w:val="16"/>
          <w:szCs w:val="16"/>
          <w:color w:val="auto"/>
        </w:rPr>
        <w:t>The following discussion should be read in conjunction with the consolidated financial statements of the Company. All information in the discussion and references to the years and quarters are based on the Company's fiscal year and second quarter which end on October 31 and April 30, respectively.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APRIL 30, 1998 VS. THREE MONTHS ENDED APRIL 30, 1997</w:t>
      </w:r>
    </w:p>
    <w:p>
      <w:pPr>
        <w:spacing w:after="0" w:line="188" w:lineRule="exact"/>
        <w:rPr>
          <w:sz w:val="20"/>
          <w:szCs w:val="20"/>
          <w:color w:val="auto"/>
        </w:rPr>
      </w:pPr>
    </w:p>
    <w:p>
      <w:pPr>
        <w:ind w:right="3359" w:firstLine="477"/>
        <w:spacing w:after="0" w:line="271" w:lineRule="auto"/>
        <w:rPr>
          <w:sz w:val="20"/>
          <w:szCs w:val="20"/>
          <w:color w:val="auto"/>
        </w:rPr>
      </w:pPr>
      <w:r>
        <w:rPr>
          <w:rFonts w:ascii="Courier New" w:cs="Courier New" w:eastAsia="Courier New" w:hAnsi="Courier New"/>
          <w:sz w:val="15"/>
          <w:szCs w:val="15"/>
          <w:color w:val="auto"/>
        </w:rPr>
        <w:t>Revenues and other income (hereafter called revenues) for the first three months of 1998 were $369.0 million compared to $294.3 million in</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7" w:right="1440" w:bottom="1440" w:gutter="0" w:footer="0" w:header="0"/>
        </w:sectPr>
      </w:pPr>
    </w:p>
    <w:bookmarkStart w:id="11" w:name="page12"/>
    <w:bookmarkEnd w:id="11"/>
    <w:p>
      <w:pPr>
        <w:jc w:val="both"/>
        <w:ind w:right="3059"/>
        <w:spacing w:after="0" w:line="262" w:lineRule="auto"/>
        <w:rPr>
          <w:sz w:val="20"/>
          <w:szCs w:val="20"/>
          <w:color w:val="auto"/>
        </w:rPr>
      </w:pPr>
      <w:r>
        <w:rPr>
          <w:rFonts w:ascii="Courier New" w:cs="Courier New" w:eastAsia="Courier New" w:hAnsi="Courier New"/>
          <w:sz w:val="15"/>
          <w:szCs w:val="15"/>
          <w:color w:val="auto"/>
        </w:rPr>
        <w:t>1997, a 25% increase over the same quarter of the prior year. Much of this growth was attributable to acquisitions during 1997 as well as new business and price increases. For the quarter ended April 30, 1998, the increase in revenues relating to acquisitions made during 1997 was approximately $42.5 million, or 57% of the total revenue increase of $74.7 million.</w:t>
      </w:r>
    </w:p>
    <w:p>
      <w:pPr>
        <w:spacing w:after="0" w:line="173" w:lineRule="exact"/>
        <w:rPr>
          <w:sz w:val="20"/>
          <w:szCs w:val="20"/>
          <w:color w:val="auto"/>
        </w:rPr>
      </w:pPr>
    </w:p>
    <w:p>
      <w:pPr>
        <w:ind w:right="3059" w:firstLine="477"/>
        <w:spacing w:after="0" w:line="242" w:lineRule="auto"/>
        <w:rPr>
          <w:sz w:val="20"/>
          <w:szCs w:val="20"/>
          <w:color w:val="auto"/>
        </w:rPr>
      </w:pPr>
      <w:r>
        <w:rPr>
          <w:rFonts w:ascii="Courier New" w:cs="Courier New" w:eastAsia="Courier New" w:hAnsi="Courier New"/>
          <w:sz w:val="16"/>
          <w:szCs w:val="16"/>
          <w:color w:val="auto"/>
        </w:rPr>
        <w:t>As a percentage of revenues, operating expenses and cost of goods sold were 86.9% for the second quarter of 1998, compared to 86.1% in 1997. Consequently, as a percentage of revenues, the Company's gross profit (revenue minus operating expenses and cost of goods sold) of 13.1% in the second quarter of 1998 was lower than the gross profit of 13.9% for the second quarter of 1997. The gross profit percentage declined mostly due to higher labor and related costs. The Company expects these costs to be gradually recovered through price increases.</w:t>
      </w:r>
    </w:p>
    <w:p>
      <w:pPr>
        <w:spacing w:after="0" w:line="189"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Selling, general and administrative expenses for the second quarter of 1998 were $35.3 million compared to $30.4 million for the corresponding three months of 1997. As a percentage of revenues, selling, general and administrative expenses decreased from 10.3% for the three months ended April 30, 1997, to 9.6% for the same period in 1998, primarily as a result of certain fixed and variable costs not increasing at the same rate as sales. The $4.9 million increase in selling, general and administrative expenses for the three months ended April 30, 1998, compared to the same period in 1997, is primarily due to expenses related to growth, the move of corporate offices, and expenses associated with acquisitions.</w:t>
      </w:r>
    </w:p>
    <w:p>
      <w:pPr>
        <w:spacing w:after="0" w:line="190"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Interest expense was $1,016,000 for the second quarter of 1998 compared to $542,000 for the same period in 1997, an increase of $474,000. This increase was primarily due to higher weighted average borrowings during the second quarter of 1998, which were needed to fund acquisitions and working capital.</w:t>
      </w:r>
    </w:p>
    <w:p>
      <w:pPr>
        <w:spacing w:after="0" w:line="190" w:lineRule="exact"/>
        <w:rPr>
          <w:sz w:val="20"/>
          <w:szCs w:val="20"/>
          <w:color w:val="auto"/>
        </w:rPr>
      </w:pPr>
    </w:p>
    <w:p>
      <w:pPr>
        <w:ind w:right="3159" w:firstLine="477"/>
        <w:spacing w:after="0" w:line="241" w:lineRule="auto"/>
        <w:rPr>
          <w:sz w:val="20"/>
          <w:szCs w:val="20"/>
          <w:color w:val="auto"/>
        </w:rPr>
      </w:pPr>
      <w:r>
        <w:rPr>
          <w:rFonts w:ascii="Courier New" w:cs="Courier New" w:eastAsia="Courier New" w:hAnsi="Courier New"/>
          <w:sz w:val="16"/>
          <w:szCs w:val="16"/>
          <w:color w:val="auto"/>
        </w:rPr>
        <w:t>The pre-tax income for the second quarter of 1998 was $12,146,000 compared to $10,085,000, an increase of 20% over the same quarter of 1997. The growth in pre-tax income did not keep pace with revenue growth for the current quarter of 1998 due to lower gross profit.</w:t>
      </w:r>
    </w:p>
    <w:p>
      <w:pPr>
        <w:spacing w:after="0" w:line="189"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The estimated effective income tax rate for the second quarter of 1998 was 41.5%, compared to 42% in the second quarter of 1997. The lower tax rate was for the most part attributed to an increase in various federal and state tax credits.</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As a result, net income for the second quarter of 1998 was $7.1 million an increase of 21%, compared to the net income of $5.8 million for the second quarter of 1997. Diluted net income per common share rose 15% to 30 cents for the second quarter of 1998 compared to 26 cents for the same period in 1997. The increase in diluted net income per share was not proportional to the increase in net income due to an 8% increase in diluted shares outstanding.</w:t>
      </w:r>
    </w:p>
    <w:p>
      <w:pPr>
        <w:spacing w:after="0" w:line="18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7" w:right="1440" w:bottom="1440" w:gutter="0" w:footer="0" w:header="0"/>
        </w:sectPr>
      </w:pPr>
    </w:p>
    <w:bookmarkStart w:id="12" w:name="page13"/>
    <w:bookmarkEnd w:id="12"/>
    <w:p>
      <w:pPr>
        <w:ind w:right="2879" w:firstLine="477"/>
        <w:spacing w:after="0" w:line="241" w:lineRule="auto"/>
        <w:rPr>
          <w:sz w:val="20"/>
          <w:szCs w:val="20"/>
          <w:color w:val="auto"/>
        </w:rPr>
      </w:pPr>
      <w:r>
        <w:rPr>
          <w:rFonts w:ascii="Courier New" w:cs="Courier New" w:eastAsia="Courier New" w:hAnsi="Courier New"/>
          <w:sz w:val="16"/>
          <w:szCs w:val="16"/>
          <w:color w:val="auto"/>
        </w:rPr>
        <w:t>The results of operations from the Company's three industry segments and its nine operating Divisions for the three months ended April 30, 1998, as compared to the three months ended April 30, 1997, are more fully described below:</w:t>
      </w:r>
    </w:p>
    <w:p>
      <w:pPr>
        <w:spacing w:after="0" w:line="189"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The Janitorial Divisions segment, which includes American Building Maintenance (also known as ABM Janitorial Services) and Easterday Janitorial Supply, reported revenues for the second quarter of 1998 of $217.5 million, an increase of approximately $52.7 million, or 32% over the second quarter of 1997. This segment's operating profits (revenue minus expenses, excluding interest and corporate allocations) increased by 21% over the comparable quarter of 1997. This is the Company's largest segment and accounted for approximately 59% of the Company's total revenues for the current quarter. AMERICAN BUILDING MAINTENANCE revenues increased by 32% during the second quarter of 1998 as compared to the same quarter of 1997 as a result of several acquisitions made during the latter half of 1997, particularly in New York. This Division's operating profits increased 21% when compared to the same period last year. The increase in operating profits is principally due to increased sales. Operating profit increased at a slower rate than revenues due primarily to higher labor costs that resulted in lower margins on accounts acquired through recent acquisitions. EASTERDAY JANITORIAL SUPPLY'S 1998 second quarter revenue increased by approximately 19% compared to the same quarter in 1997 generally due to strong sales in the Los Angeles, Portland, and Houston markets. The increase of 3% in operating profits was achieved because of higher sales, but at a lower gross profit percentage, mostly related to an increase in the cost of materials sold.</w:t>
      </w:r>
    </w:p>
    <w:p>
      <w:pPr>
        <w:spacing w:after="0" w:line="197"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Revenues of the Public Service Divisions segment, which includes American Commercial Security Services (also known as "ACSS" and "ABM Security Services"), Ampco System Parking, and ABM Facility Services, for the second quarter of 1998 were approximately $64.7 million, an 11% increase over the same quarter of 1997. Public Service Divisions accounted for approximately 18% of the Company's revenues for the quarter. The operating profits of this segment increased 10% in the second quarter of 1998 as both Ampco System Parking and American Commercial Security Services reported increased profits when compared to the prior year quarter. AMERICAN COMMERCIAL SECURITY SERVICES reported a decrease in revenues of 1%, but its operating profits were up by 18% in the second quarter of 1998 compared to the same period of 1997. The revenue decline was largely due to loss of a several large customers in the San Francisco Bay area and in Minneapolis, Minnesota. The increase in operating profit was primarily due to a reduction in insurance charges and slightly lower labor costs. AMPCO SYSTEM PARKING revenues increased by 17%, while its operating profits increased 18% during the second quarter of 1998 compared to the second quarter of 1997. The increase in revenues was mostly due to growth in its national airport business, as well as in Texas. The operating profit</w:t>
      </w:r>
    </w:p>
    <w:p>
      <w:pPr>
        <w:spacing w:after="0" w:line="19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7" w:right="1440" w:bottom="1440" w:gutter="0" w:footer="0" w:header="0"/>
        </w:sectPr>
      </w:pPr>
    </w:p>
    <w:bookmarkStart w:id="13" w:name="page14"/>
    <w:bookmarkEnd w:id="13"/>
    <w:p>
      <w:pPr>
        <w:ind w:right="2879"/>
        <w:spacing w:after="0" w:line="259" w:lineRule="auto"/>
        <w:rPr>
          <w:sz w:val="20"/>
          <w:szCs w:val="20"/>
          <w:color w:val="auto"/>
        </w:rPr>
      </w:pPr>
      <w:r>
        <w:rPr>
          <w:rFonts w:ascii="Courier New" w:cs="Courier New" w:eastAsia="Courier New" w:hAnsi="Courier New"/>
          <w:sz w:val="15"/>
          <w:szCs w:val="15"/>
          <w:color w:val="auto"/>
        </w:rPr>
        <w:t>increase was due for the most part to the sales increase with slightly higher profit margins as a result of decreased legal and insurance costs. The Company's new Division, ABM FACILITY SERVICES, was established as a result of customer requests to provide services from two or more of its Divisions (the ABM Family of Services) under one management. Because this Division is new and depends primarily on management fees for its income, start up costs exceeded revenues during the current quarter. Revenue generated by this Division is generally reported by the respective Division providing services.</w:t>
      </w:r>
    </w:p>
    <w:p>
      <w:pPr>
        <w:ind w:right="2879" w:firstLine="95"/>
        <w:spacing w:after="0"/>
        <w:rPr>
          <w:sz w:val="20"/>
          <w:szCs w:val="20"/>
          <w:color w:val="auto"/>
        </w:rPr>
      </w:pPr>
      <w:r>
        <w:rPr>
          <w:rFonts w:ascii="Courier New" w:cs="Courier New" w:eastAsia="Courier New" w:hAnsi="Courier New"/>
          <w:sz w:val="16"/>
          <w:szCs w:val="16"/>
          <w:color w:val="auto"/>
        </w:rPr>
        <w:t>Management does not expect this Division to be profitable during the current year, although management expects sales made by other Divisions under the auspices of this Division to be profitable.</w:t>
      </w:r>
    </w:p>
    <w:p>
      <w:pPr>
        <w:spacing w:after="0" w:line="190"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The Company's Technical Divisions segment includes ABM Engineering Services, Amtech Elevator Services, Amtech Lighting Services and CommAir Mechanical Services. This segment reported revenues of $86.7 million, which represents approximately 23% of the Company's revenues for the second quarter of 1998. Revenues increased approximately 22% over the same quarter of last year due to increases in revenues reported by all its Divisions. Operating profit of this segment increased 6% compared to the second quarter of 1997 due to increases in operating profits of its Elevator and Lighting Divisions, offset by decreases in its CommAir Mechanical and Engineering Divisions. ABM ENGINEERING SERVICES' revenues increased by 60% and its operating profits decreased 1% for the second quarter of 1998 compared to the same period in 1997. The large revenue increase was due primarily to an acquisition in New York in August 1997. The small percentage decrease in operating profits is due to lower gross profits on existing jobs due to increased insurance costs and pressure from competition to reduce fees, and lower margins on contracts purchased through the New York acquisition. Revenues for AMTECH ELEVATOR SERVICES were up by 5% for the second quarter of 1998 over the same quarter of 1997 largely due to an increased customer base in the maintenance and repair sector. The Division posted a dramatic 40% increase in operating profit for the second quarter compared to the corresponding quarter of 1997. This increase can be attributed primarily to higher profit margin on service contracts, as well as a reduction in insurance costs. AMTECH LIGHTING SERVICES reported a 6% revenue increase and operating profits increased by 4% during the second quarter of 1998 compared to the same quarter of the prior year. The lower percentage increase in operating profit was primarily due to increases in selling and administrative expenses. COMMAIR MECHANICAL SERVICES revenues increased by 14%, resulting primarily from an acquisition in Southern California during the second quarter of 1997. Operating profits for the second quarter of 1998 decreased by 41% from the prior year second quarter as a result of lower profit margins on several large projects, and weaker service revenues due to unseasonably cool and wet weather in California. The increase in selling, general and administrative expenses was also proportionately greater than the increase in revenues.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SIX MONTHS ENDED APRIL 30, 1998 VS. SIX MONTHS ENDED APRIL 30, 1997</w:t>
      </w:r>
    </w:p>
    <w:p>
      <w:pPr>
        <w:spacing w:after="0" w:line="188" w:lineRule="exact"/>
        <w:rPr>
          <w:sz w:val="20"/>
          <w:szCs w:val="20"/>
          <w:color w:val="auto"/>
        </w:rPr>
      </w:pPr>
    </w:p>
    <w:p>
      <w:pPr>
        <w:ind w:right="3059" w:firstLine="477"/>
        <w:spacing w:after="0" w:line="242" w:lineRule="auto"/>
        <w:rPr>
          <w:sz w:val="20"/>
          <w:szCs w:val="20"/>
          <w:color w:val="auto"/>
        </w:rPr>
      </w:pPr>
      <w:r>
        <w:rPr>
          <w:rFonts w:ascii="Courier New" w:cs="Courier New" w:eastAsia="Courier New" w:hAnsi="Courier New"/>
          <w:sz w:val="16"/>
          <w:szCs w:val="16"/>
          <w:color w:val="auto"/>
        </w:rPr>
        <w:t>Revenues and other income for the first six months of 1998 were $727.8 million compared to $585.9 million in 1997, a 24% increase over the same period of the prior year. Much of this growth was attributable to acquisitions during 1997 as well as new business and price increases. For the six months ended April 30, 1998, the increase in revenues relating to acquisitions made during 1997 was approximately $86.5 million or 60% of the total revenue increase of $141.8 million.</w:t>
      </w:r>
    </w:p>
    <w:p>
      <w:pPr>
        <w:spacing w:after="0" w:line="188" w:lineRule="exact"/>
        <w:rPr>
          <w:sz w:val="20"/>
          <w:szCs w:val="20"/>
          <w:color w:val="auto"/>
        </w:rPr>
      </w:pPr>
    </w:p>
    <w:p>
      <w:pPr>
        <w:ind w:right="3059" w:firstLine="477"/>
        <w:spacing w:after="0" w:line="241" w:lineRule="auto"/>
        <w:rPr>
          <w:sz w:val="20"/>
          <w:szCs w:val="20"/>
          <w:color w:val="auto"/>
        </w:rPr>
      </w:pPr>
      <w:r>
        <w:rPr>
          <w:rFonts w:ascii="Courier New" w:cs="Courier New" w:eastAsia="Courier New" w:hAnsi="Courier New"/>
          <w:sz w:val="16"/>
          <w:szCs w:val="16"/>
          <w:color w:val="auto"/>
        </w:rPr>
        <w:t>As a percentage of revenues, operating expenses and cost of goods sold were 87.0% for the first half of 1998, compared to 86.4% in 1997. Consequently, as a percentage of revenues, the Company's gross profit of 13.0% in the first six months of 1998 was lower than the gross profit of</w:t>
      </w:r>
    </w:p>
    <w:p>
      <w:pPr>
        <w:spacing w:after="0" w:line="6" w:lineRule="exact"/>
        <w:rPr>
          <w:sz w:val="20"/>
          <w:szCs w:val="20"/>
          <w:color w:val="auto"/>
        </w:rPr>
      </w:pPr>
    </w:p>
    <w:p>
      <w:pPr>
        <w:jc w:val="both"/>
        <w:ind w:right="2879"/>
        <w:spacing w:after="0"/>
        <w:rPr>
          <w:sz w:val="20"/>
          <w:szCs w:val="20"/>
          <w:color w:val="auto"/>
        </w:rPr>
      </w:pPr>
      <w:r>
        <w:rPr>
          <w:rFonts w:ascii="Courier New" w:cs="Courier New" w:eastAsia="Courier New" w:hAnsi="Courier New"/>
          <w:sz w:val="16"/>
          <w:szCs w:val="16"/>
          <w:color w:val="auto"/>
        </w:rPr>
        <w:t>13.6% for the first six months of 1997. The gross profit percentage declined mostly due to higher labor and related costs. The Company expects these costs to be gradually recovered through price increases.</w:t>
      </w:r>
    </w:p>
    <w:p>
      <w:pPr>
        <w:spacing w:after="0" w:line="190"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Selling, general and administrative expenses for the first six months of 1998 were $71.0 million compared to $60.4 million for the corresponding six months of 1997. As a percentage of revenues, selling, general and administrative expenses decreased slightly, from 10.3% for the six months ended April 30, 1997, to 9.8% for the same period in 1998, primarily as a result of certain fixed and variable costs not increasing at the same rate as sales. The increase in the dollar amount, of selling, general and administrative expenses, $10.6 million, for the six months ended April 30, 1998, compared to the same period in 1997, is primarily due to expenses related to growth and to a somewhat lesser extent expenses associated with acquisitions.</w:t>
      </w:r>
    </w:p>
    <w:p>
      <w:pPr>
        <w:spacing w:after="0" w:line="191"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Interest expense was $1,839,000 for the first six months of 1998 compared to $1,141,000 for the same period in 1997, an increase of $698,000. This increase was primarily due to higher weighted average borrowings during the first six months of 1998, which were needed to fund acquisitions and working capital.</w:t>
      </w:r>
    </w:p>
    <w:p>
      <w:pPr>
        <w:spacing w:after="0" w:line="190" w:lineRule="exact"/>
        <w:rPr>
          <w:sz w:val="20"/>
          <w:szCs w:val="20"/>
          <w:color w:val="auto"/>
        </w:rPr>
      </w:pPr>
    </w:p>
    <w:p>
      <w:pPr>
        <w:jc w:val="both"/>
        <w:ind w:right="3059" w:firstLine="477"/>
        <w:spacing w:after="0" w:line="241" w:lineRule="auto"/>
        <w:rPr>
          <w:sz w:val="20"/>
          <w:szCs w:val="20"/>
          <w:color w:val="auto"/>
        </w:rPr>
      </w:pPr>
      <w:r>
        <w:rPr>
          <w:rFonts w:ascii="Courier New" w:cs="Courier New" w:eastAsia="Courier New" w:hAnsi="Courier New"/>
          <w:sz w:val="16"/>
          <w:szCs w:val="16"/>
          <w:color w:val="auto"/>
        </w:rPr>
        <w:t>The pre-tax income for the first six months of 1998 was $21.9 million compared to $18.4 million, an increase of 19% over the same period in 1997. The growth in pre-tax income did not keep pace with revenue growth for the first half of 1998 due to lower gross profit.</w:t>
      </w:r>
    </w:p>
    <w:p>
      <w:pPr>
        <w:spacing w:after="0" w:line="189"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The estimated effective income tax rate for the first six months of 1998 was 41.5%, compared to 42.0% in the first six months of 1997. The lower tax rate was due for the most part to an increase in various federal and state tax credits.</w:t>
      </w:r>
    </w:p>
    <w:p>
      <w:pPr>
        <w:spacing w:after="0" w:line="370"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65" w:right="1440" w:bottom="1440" w:gutter="0" w:footer="0" w:header="0"/>
        </w:sectPr>
      </w:pPr>
    </w:p>
    <w:bookmarkStart w:id="15" w:name="page16"/>
    <w:bookmarkEnd w:id="15"/>
    <w:p>
      <w:pPr>
        <w:ind w:right="2979" w:firstLine="477"/>
        <w:spacing w:after="0" w:line="242" w:lineRule="auto"/>
        <w:rPr>
          <w:sz w:val="20"/>
          <w:szCs w:val="20"/>
          <w:color w:val="auto"/>
        </w:rPr>
      </w:pPr>
      <w:r>
        <w:rPr>
          <w:rFonts w:ascii="Courier New" w:cs="Courier New" w:eastAsia="Courier New" w:hAnsi="Courier New"/>
          <w:sz w:val="16"/>
          <w:szCs w:val="16"/>
          <w:color w:val="auto"/>
        </w:rPr>
        <w:t>As a result, net income for the first six months of 1998 was $12.8 million an increase of 20%, compared to the net income of $10.7 million for the same period of 1997. Diluted net income per common share rose 15% to 55 cents for the first six months of 1998 compared to 48 cents for the same period in 1997. The increase in diluted net income per share was not proportional to the increase in net income due to the increased average number of common and common equivalent shares outstanding.</w:t>
      </w:r>
    </w:p>
    <w:p>
      <w:pPr>
        <w:spacing w:after="0" w:line="188"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The results of operations from the Company's three industry segments and its nine operating Divisions for the six months ended April 30, 1998, as compared to the six months ended April 30, 1997, are more fully described below:</w:t>
      </w:r>
    </w:p>
    <w:p>
      <w:pPr>
        <w:spacing w:after="0" w:line="189" w:lineRule="exact"/>
        <w:rPr>
          <w:sz w:val="20"/>
          <w:szCs w:val="20"/>
          <w:color w:val="auto"/>
        </w:rPr>
      </w:pPr>
    </w:p>
    <w:p>
      <w:pPr>
        <w:ind w:right="2879" w:firstLine="477"/>
        <w:spacing w:after="0" w:line="259" w:lineRule="auto"/>
        <w:rPr>
          <w:sz w:val="20"/>
          <w:szCs w:val="20"/>
          <w:color w:val="auto"/>
        </w:rPr>
      </w:pPr>
      <w:r>
        <w:rPr>
          <w:rFonts w:ascii="Courier New" w:cs="Courier New" w:eastAsia="Courier New" w:hAnsi="Courier New"/>
          <w:sz w:val="15"/>
          <w:szCs w:val="15"/>
          <w:color w:val="auto"/>
        </w:rPr>
        <w:t>The Janitorial Divisions segment, which includes the operating Divisions of American Building Maintenance (also known as ABM Janitorial Services) and Easterday Janitorial Supply, reported revenues for the first six months of 1998 of $430.6 million, an increase of approximately $100.2 million, or 30% over the same period of 1997. This segment's operating profits increased by 25% over the comparable period of 1997. This is the Company's largest segment and accounted for approximately 59% of the Company's total revenues for the current six months. AMERICAN BUILDING MAINTENANCE'S revenues increased by 31% during the first six months of 1998, as compared to the same period of 1997, as a result of several acquisitions made during the latter half of 1997, particularly in the Midwest and New York. This Division's operating profits increased 26% when compared to the same period last year. Operating profit increased at a slower rate than revenues due primarily to lower margin percentages on accounts purchased through recent acquisitions. EASTERDAY JANITORIAL SUPPLY'S 1998 first six months revenue increased by approximately 17% compared to the same period in 1997 generally due to strong sales in the Los Angeles and Houston markets. The increase of 9% in operating profits was achieved because of higher sales, but at a lower gross profit percentage, mostly related to increased insurance costs.</w:t>
      </w:r>
    </w:p>
    <w:p>
      <w:pPr>
        <w:spacing w:after="0" w:line="368"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Revenues of the Public Service Divisions segment, which includes American Commercial Security Services (also known as "ACSS" and "ABM Security Services"), Ampco System Parking, and ABM Facility Services, for the first six months of 1998 were approximately $126.4 million, a 8% increase over the same period of 1997. Public Service Divisions accounted for approximately 17% of the Company's revenues. The operating profits of this segment increased 13% in the first six months of 1998 as both Ampco System Parking and American Commercial Security Services reported increased profits when compared to the prior year period. AMERICAN COMMERCIAL SECURITY SERVICES reported a decrease in revenues of 2%, but its profits were up by 17% in the first six months of 1998 compared to the same period of 1997. The revenue decline was largely due to loss of a several large customers in the San Francisco Bay Area and in Minneapolis, Minnesota. The</w:t>
      </w:r>
    </w:p>
    <w:p>
      <w:pPr>
        <w:spacing w:after="0" w:line="18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851" w:right="1440" w:bottom="1440" w:gutter="0" w:footer="0" w:header="0"/>
        </w:sectPr>
      </w:pPr>
    </w:p>
    <w:bookmarkStart w:id="16" w:name="page17"/>
    <w:bookmarkEnd w:id="16"/>
    <w:p>
      <w:pPr>
        <w:ind w:right="2879"/>
        <w:spacing w:after="0" w:line="242" w:lineRule="auto"/>
        <w:rPr>
          <w:sz w:val="20"/>
          <w:szCs w:val="20"/>
          <w:color w:val="auto"/>
        </w:rPr>
      </w:pPr>
      <w:r>
        <w:rPr>
          <w:rFonts w:ascii="Courier New" w:cs="Courier New" w:eastAsia="Courier New" w:hAnsi="Courier New"/>
          <w:sz w:val="16"/>
          <w:szCs w:val="16"/>
          <w:color w:val="auto"/>
        </w:rPr>
        <w:t>increase in operating profit was primarily due to a reduction in insurance charges. Price increases compensated for higher wages driven by low unemployment levels in this division's major markets. AMPCO SYSTEM PARKING Division's revenues increased by 15%, while its profits increased 24% during the first six months of 1998 compared to the first six months of 1997. The increase in revenues was mostly due to growth in its national airport business, as well as the Texas region. The operating profit increase was due for the most part to higher profit margins as a result of containment of management and overhead costs, decreased legal and insurance costs and increased sales. As reported in the first quarter, this segment now includes the Company's new Division, ABM FACILITY SERVICES. The Company has responded to customer requests to provide services from two or more of its Divisions (the ABM Family of Services) under one management. Because this Division is new and depends primarily on management fees for its income, start up costs exceeded revenues during the first six months. The respective Division providing services generally reports revenue generated by this Division. Management does not expect this Division to be profitable during the current year, although management expects sales made by other Divisions under the auspices of this Division to be profitable.</w:t>
      </w:r>
    </w:p>
    <w:p>
      <w:pPr>
        <w:spacing w:after="0" w:line="196"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The Company's Technical Divisions segment includes ABM Engineering Services (also known as Amtech Engineering Services), Amtech Elevator Services, Amtech Lighting Services and CommAir Mechanical Services. This segment reported revenues of $170.3 million, which represent approximately 24% of the Company's revenues for the first six months of 1998. This represents an increase of approximately 23% over the same quarter of last year due to increases in revenues reported by all its Divisions. Operating profit of this segment increased 8% compared to the first six months of 1997 due to increases in operating profits of its Elevator and Engineering Divisions, offset by decreases in its CommAir Mechanical and Lighting Divisions. ABM ENGINEERING SERVICES' revenues increased by 54% and its operating profits increased 4% for the first six months of 1998 compared to the same period in 1997. The large revenue increase was due primarily to an acquisition in New York in August 1997. The small percentage decrease in operating profits is due to lower gross profits on existing jobs due to increased insurance costs and pressure from competition to reduce fees, and lower margins on contracts purchased through the New York acquisition. Revenues for AMTECH ELEVATOR SERVICES were up by 9% for the first six months of 1998 over the same period of 1997 largely due to an increased customer base in the maintenance and repair sector. The Division posted a 43% increase in operating profit for the first six months compared to the corresponding period of 1997. This increase in profits can be attributed primarily to a higher profit margin on service contracts and reduction of insurance costs. AMTECH LIGHTING SERVICES reported a 7% revenue increase due to increased sales in most regions. Operating profits decreased by 1% during the first six months of 1998 compared to the same period of the prior year primarily due to increases in selling and administrative expenses due to one time expenses associated with a computer system upgrade and the relocation of</w:t>
      </w:r>
    </w:p>
    <w:p>
      <w:pPr>
        <w:spacing w:after="0" w:line="19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67" w:right="1440" w:bottom="1440" w:gutter="0" w:footer="0" w:header="0"/>
        </w:sectPr>
      </w:pPr>
    </w:p>
    <w:bookmarkStart w:id="17" w:name="page18"/>
    <w:bookmarkEnd w:id="17"/>
    <w:p>
      <w:pPr>
        <w:ind w:left="2" w:right="2879"/>
        <w:spacing w:after="0" w:line="242" w:lineRule="auto"/>
        <w:rPr>
          <w:sz w:val="20"/>
          <w:szCs w:val="20"/>
          <w:color w:val="auto"/>
        </w:rPr>
      </w:pPr>
      <w:r>
        <w:rPr>
          <w:rFonts w:ascii="Courier New" w:cs="Courier New" w:eastAsia="Courier New" w:hAnsi="Courier New"/>
          <w:sz w:val="16"/>
          <w:szCs w:val="16"/>
          <w:color w:val="auto"/>
        </w:rPr>
        <w:t>the division's headquarters. COMMAIR MECHANICAL SERVICES revenues increased by 15%, resulting primarily from an acquisition in Southern California during the second quarter of 1997. Operating profits for the first six months of 1998 decreased by 31% from the prior year period as a result of an increase in selling, general and administrative expenses, unseasonably mild weather, and a decline in the operating profit for the Los Angeles branch.</w:t>
      </w:r>
    </w:p>
    <w:p>
      <w:pPr>
        <w:spacing w:after="0" w:line="18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SAFE HARBOR STATEMENT</w:t>
      </w:r>
    </w:p>
    <w:p>
      <w:pPr>
        <w:spacing w:after="0" w:line="188" w:lineRule="exact"/>
        <w:rPr>
          <w:sz w:val="20"/>
          <w:szCs w:val="20"/>
          <w:color w:val="auto"/>
        </w:rPr>
      </w:pPr>
    </w:p>
    <w:p>
      <w:pPr>
        <w:ind w:left="2" w:right="2879"/>
        <w:spacing w:after="0" w:line="259" w:lineRule="auto"/>
        <w:rPr>
          <w:sz w:val="20"/>
          <w:szCs w:val="20"/>
          <w:color w:val="auto"/>
        </w:rPr>
      </w:pPr>
      <w:r>
        <w:rPr>
          <w:rFonts w:ascii="Courier New" w:cs="Courier New" w:eastAsia="Courier New" w:hAnsi="Courier New"/>
          <w:sz w:val="15"/>
          <w:szCs w:val="15"/>
          <w:color w:val="auto"/>
        </w:rPr>
        <w:t>Cautionary Safe Harbor Disclosure for Forward Looking Statements under the Private Securities Litigation Reform Act of 1995: Because of the factors set forth below, as well as other variables affecting the Company's operating results, past financial performance should not be considered a reliable indicator of future performance and investors should not use historical trends to anticipate results or trends in future periods. The statements contained herein which are not historical facts are forward-looking statements that are subject to meaningful risks and uncertainties, including, but not limited to: (1) the widespread failure of commercial real estate occupancy to improve in the Company's major markets since it relates directly to the need for janitorial and other buildings services, (2) the loss or bankruptcy of one or more of the Company's major customers, which could adversely affect the Company's ability to collect deferred costs or its accounts receivable, (3) the untimely departure of one or more of the Company's key executives, which could affect retention of customers as well as the day to day management of operations, (4) any major labor disruptions that may cause loss of revenue or cost increases that non-union companies can use to their advantage in obtaining market share, (5) significant shortfall in achieving any acquisition plan to acquire either businesses in new markets or expand customer base in existing ones, (6) any legislation or other government action that severely impacts one or more of the Company's lines of business, such as price controls that could prevent cost recovery and fuel restrictions that might increase the cost to deliver services, (7) the reduction or revocation of the Company's lines of credit which would increase interest expense or the cost of capital, (8) the cancellation or non-renewal of the Company's primary insurance policies, as many customers retain services based on the provider's ability to provide adequate insurance including performance bonds and proof of adequate insurance, (9) any catastrophic uninsured or underinsured claims against the Company, which also might include insurance companies financially incapable of paying claims,</w:t>
      </w:r>
    </w:p>
    <w:p>
      <w:pPr>
        <w:spacing w:after="0" w:line="185" w:lineRule="exact"/>
        <w:rPr>
          <w:sz w:val="20"/>
          <w:szCs w:val="20"/>
          <w:color w:val="auto"/>
        </w:rPr>
      </w:pPr>
    </w:p>
    <w:p>
      <w:pPr>
        <w:ind w:left="2" w:right="3159" w:hanging="2"/>
        <w:spacing w:after="0" w:line="241" w:lineRule="auto"/>
        <w:tabs>
          <w:tab w:leader="none" w:pos="57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inability to recruit and hire entry level personnel due to labor shortages, and (11) other material factors that are disclosed from time-to-time in the Company's public filings with the United States Securities and Exchange Commission, such as reports on Forms 8-K, 10-K and 10-Q.</w:t>
      </w:r>
    </w:p>
    <w:p>
      <w:pPr>
        <w:spacing w:after="0" w:line="371" w:lineRule="exact"/>
        <w:rPr>
          <w:sz w:val="20"/>
          <w:szCs w:val="20"/>
          <w:color w:val="auto"/>
        </w:rPr>
      </w:pPr>
    </w:p>
    <w:p>
      <w:pPr>
        <w:ind w:left="3902"/>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1"/>
          </w:cols>
          <w:pgMar w:left="238" w:top="66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Submission of Matters to a Vote of Stockholders.</w:t>
      </w:r>
    </w:p>
    <w:p>
      <w:pPr>
        <w:spacing w:after="0" w:line="188" w:lineRule="exact"/>
        <w:rPr>
          <w:sz w:val="20"/>
          <w:szCs w:val="20"/>
          <w:color w:val="auto"/>
        </w:rPr>
      </w:pPr>
    </w:p>
    <w:p>
      <w:pPr>
        <w:ind w:right="5079" w:firstLine="475"/>
        <w:spacing w:after="0" w:line="239" w:lineRule="auto"/>
        <w:tabs>
          <w:tab w:leader="none" w:pos="76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Annual Meeting of Stockholders was held on March 17, 1998.</w:t>
      </w:r>
    </w:p>
    <w:p>
      <w:pPr>
        <w:spacing w:after="0" w:line="189" w:lineRule="exact"/>
        <w:rPr>
          <w:rFonts w:ascii="Courier New" w:cs="Courier New" w:eastAsia="Courier New" w:hAnsi="Courier New"/>
          <w:sz w:val="16"/>
          <w:szCs w:val="16"/>
          <w:color w:val="auto"/>
        </w:rPr>
      </w:pPr>
    </w:p>
    <w:p>
      <w:pPr>
        <w:ind w:right="2779" w:firstLine="475"/>
        <w:spacing w:after="0" w:line="271" w:lineRule="auto"/>
        <w:tabs>
          <w:tab w:leader="none" w:pos="76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directors nominated by management were elected by a vote of stockholders: Luke S. Helms, Henry L. Kotkins, Jr., and William E. Walsh.</w:t>
      </w:r>
    </w:p>
    <w:p>
      <w:pPr>
        <w:spacing w:after="0" w:line="166" w:lineRule="exact"/>
        <w:rPr>
          <w:sz w:val="20"/>
          <w:szCs w:val="20"/>
          <w:color w:val="auto"/>
        </w:rPr>
      </w:pPr>
    </w:p>
    <w:p>
      <w:pPr>
        <w:jc w:val="both"/>
        <w:ind w:right="2679"/>
        <w:spacing w:after="0"/>
        <w:rPr>
          <w:sz w:val="20"/>
          <w:szCs w:val="20"/>
          <w:color w:val="auto"/>
        </w:rPr>
      </w:pPr>
      <w:r>
        <w:rPr>
          <w:rFonts w:ascii="Courier New" w:cs="Courier New" w:eastAsia="Courier New" w:hAnsi="Courier New"/>
          <w:sz w:val="16"/>
          <w:szCs w:val="16"/>
          <w:color w:val="auto"/>
        </w:rPr>
        <w:t>The following directors remained in office: Maryellen B. Cattani, Esq., John F. Egan, Charles T. Horngren, Linda Chavez, Martinn H. Mandles, Theodore Rosenberg and William W. Steele.</w:t>
      </w:r>
    </w:p>
    <w:p>
      <w:pPr>
        <w:spacing w:after="0" w:line="37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 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Against</w:t>
            </w: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2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or</w:t>
            </w:r>
          </w:p>
        </w:tc>
        <w:tc>
          <w:tcPr>
            <w:tcW w:w="144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Broker</w:t>
            </w:r>
          </w:p>
        </w:tc>
      </w:tr>
      <w:tr>
        <w:trPr>
          <w:trHeight w:val="183"/>
        </w:trPr>
        <w:tc>
          <w:tcPr>
            <w:tcW w:w="2200" w:type="dxa"/>
            <w:vAlign w:val="bottom"/>
          </w:tcPr>
          <w:p>
            <w:pPr>
              <w:spacing w:after="0"/>
              <w:rPr>
                <w:sz w:val="20"/>
                <w:szCs w:val="20"/>
                <w:color w:val="auto"/>
              </w:rPr>
            </w:pPr>
            <w:r>
              <w:rPr>
                <w:rFonts w:ascii="Courier New" w:cs="Courier New" w:eastAsia="Courier New" w:hAnsi="Courier New"/>
                <w:sz w:val="16"/>
                <w:szCs w:val="16"/>
                <w:color w:val="auto"/>
              </w:rPr>
              <w:t>Nominee:</w:t>
            </w: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For</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Withheld</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Abstentions</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w w:val="96"/>
              </w:rPr>
              <w:t>Nonvotes</w:t>
            </w:r>
          </w:p>
        </w:tc>
      </w:tr>
      <w:tr>
        <w:trPr>
          <w:trHeight w:val="367"/>
        </w:trPr>
        <w:tc>
          <w:tcPr>
            <w:tcW w:w="2200" w:type="dxa"/>
            <w:vAlign w:val="bottom"/>
          </w:tcPr>
          <w:p>
            <w:pPr>
              <w:spacing w:after="0"/>
              <w:rPr>
                <w:sz w:val="20"/>
                <w:szCs w:val="20"/>
                <w:color w:val="auto"/>
              </w:rPr>
            </w:pPr>
            <w:r>
              <w:rPr>
                <w:rFonts w:ascii="Courier New" w:cs="Courier New" w:eastAsia="Courier New" w:hAnsi="Courier New"/>
                <w:sz w:val="16"/>
                <w:szCs w:val="16"/>
                <w:color w:val="auto"/>
              </w:rPr>
              <w:t>Luke S. Helms</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17,111,584</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25,663</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w:t>
            </w:r>
          </w:p>
        </w:tc>
      </w:tr>
      <w:tr>
        <w:trPr>
          <w:trHeight w:val="183"/>
        </w:trPr>
        <w:tc>
          <w:tcPr>
            <w:tcW w:w="2200" w:type="dxa"/>
            <w:vAlign w:val="bottom"/>
          </w:tcPr>
          <w:p>
            <w:pPr>
              <w:spacing w:after="0"/>
              <w:rPr>
                <w:sz w:val="20"/>
                <w:szCs w:val="20"/>
                <w:color w:val="auto"/>
              </w:rPr>
            </w:pPr>
            <w:r>
              <w:rPr>
                <w:rFonts w:ascii="Courier New" w:cs="Courier New" w:eastAsia="Courier New" w:hAnsi="Courier New"/>
                <w:sz w:val="16"/>
                <w:szCs w:val="16"/>
                <w:color w:val="auto"/>
              </w:rPr>
              <w:t>Henry L. Kotkins, Jr.</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17,113,364</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23,883</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w:t>
            </w:r>
          </w:p>
        </w:tc>
      </w:tr>
      <w:tr>
        <w:trPr>
          <w:trHeight w:val="183"/>
        </w:trPr>
        <w:tc>
          <w:tcPr>
            <w:tcW w:w="2200" w:type="dxa"/>
            <w:vAlign w:val="bottom"/>
          </w:tcPr>
          <w:p>
            <w:pPr>
              <w:spacing w:after="0"/>
              <w:rPr>
                <w:sz w:val="20"/>
                <w:szCs w:val="20"/>
                <w:color w:val="auto"/>
              </w:rPr>
            </w:pPr>
            <w:r>
              <w:rPr>
                <w:rFonts w:ascii="Courier New" w:cs="Courier New" w:eastAsia="Courier New" w:hAnsi="Courier New"/>
                <w:sz w:val="16"/>
                <w:szCs w:val="16"/>
                <w:color w:val="auto"/>
              </w:rPr>
              <w:t>William E. Walsh</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17,097,460</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39,787</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186" w:lineRule="exact"/>
        <w:rPr>
          <w:sz w:val="20"/>
          <w:szCs w:val="20"/>
          <w:color w:val="auto"/>
        </w:rPr>
      </w:pPr>
    </w:p>
    <w:p>
      <w:pPr>
        <w:ind w:left="960" w:hanging="485"/>
        <w:spacing w:after="0"/>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88" w:lineRule="exact"/>
        <w:rPr>
          <w:rFonts w:ascii="Courier New" w:cs="Courier New" w:eastAsia="Courier New" w:hAnsi="Courier New"/>
          <w:sz w:val="16"/>
          <w:szCs w:val="16"/>
          <w:color w:val="auto"/>
        </w:rPr>
      </w:pPr>
    </w:p>
    <w:p>
      <w:pPr>
        <w:jc w:val="both"/>
        <w:ind w:left="960" w:right="5639"/>
        <w:spacing w:after="0" w:line="26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Exhibit 27.1 - Financial Data Schedule Exhibit 27.2 - Financial Data Schedule Exhibit 27.3 - Financial Data Schedule</w:t>
      </w:r>
    </w:p>
    <w:p>
      <w:pPr>
        <w:spacing w:after="0" w:line="170" w:lineRule="exact"/>
        <w:rPr>
          <w:rFonts w:ascii="Courier New" w:cs="Courier New" w:eastAsia="Courier New" w:hAnsi="Courier New"/>
          <w:sz w:val="16"/>
          <w:szCs w:val="16"/>
          <w:color w:val="auto"/>
        </w:rPr>
      </w:pPr>
    </w:p>
    <w:p>
      <w:pPr>
        <w:ind w:left="960" w:right="2679" w:hanging="485"/>
        <w:spacing w:after="0" w:line="241"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 ABM Industries Incorporated filed a Current Report on Form 8-K, dated March 17, 1998, relating to the approval by the board of directors of a replacement stockholders rights plan, and the declaration of a dividend of one right for each share of common stock outstanding at the close of business on April 22, 1998.</w:t>
      </w:r>
    </w:p>
    <w:p>
      <w:pPr>
        <w:spacing w:after="0" w:line="37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65" w:right="1440" w:bottom="1440" w:gutter="0" w:footer="0" w:header="0"/>
        </w:sectPr>
      </w:pPr>
    </w:p>
    <w:bookmarkStart w:id="19" w:name="page20"/>
    <w:bookmarkEnd w:id="19"/>
    <w:p>
      <w:pPr>
        <w:ind w:left="3240"/>
        <w:spacing w:after="0"/>
        <w:rPr>
          <w:sz w:val="20"/>
          <w:szCs w:val="20"/>
          <w:color w:val="auto"/>
        </w:rPr>
      </w:pPr>
      <w:r>
        <w:rPr>
          <w:rFonts w:ascii="Courier New" w:cs="Courier New" w:eastAsia="Courier New" w:hAnsi="Courier New"/>
          <w:sz w:val="16"/>
          <w:szCs w:val="16"/>
          <w:color w:val="auto"/>
        </w:rPr>
        <w:t>SIGNATURES</w:t>
      </w:r>
    </w:p>
    <w:p>
      <w:pPr>
        <w:spacing w:after="0" w:line="372" w:lineRule="exact"/>
        <w:rPr>
          <w:sz w:val="20"/>
          <w:szCs w:val="20"/>
          <w:color w:val="auto"/>
        </w:rPr>
      </w:pPr>
    </w:p>
    <w:p>
      <w:pPr>
        <w:jc w:val="both"/>
        <w:ind w:right="3359"/>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6"/>
          <w:szCs w:val="16"/>
          <w:color w:val="auto"/>
        </w:rPr>
        <w:t>ABM Industries Incorporated</w:t>
      </w:r>
    </w:p>
    <w:p>
      <w:pPr>
        <w:sectPr>
          <w:pgSz w:w="11900" w:h="16838" w:orient="portrait"/>
          <w:cols w:equalWidth="0" w:num="1">
            <w:col w:w="10219"/>
          </w:cols>
          <w:pgMar w:left="240" w:top="848" w:right="1440" w:bottom="1440" w:gutter="0" w:footer="0" w:header="0"/>
        </w:sect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12,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 David H. Hebble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Vice President, Principal</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Financial Officer</w:t>
      </w:r>
    </w:p>
    <w:p>
      <w:pPr>
        <w:spacing w:after="0" w:line="200" w:lineRule="exact"/>
        <w:rPr>
          <w:sz w:val="20"/>
          <w:szCs w:val="20"/>
          <w:color w:val="auto"/>
        </w:rPr>
      </w:pPr>
    </w:p>
    <w:p>
      <w:pPr>
        <w:sectPr>
          <w:pgSz w:w="11900" w:h="16838" w:orient="portrait"/>
          <w:cols w:equalWidth="0" w:num="2">
            <w:col w:w="2900" w:space="720"/>
            <w:col w:w="6599"/>
          </w:cols>
          <w:pgMar w:left="240" w:top="848" w:right="1440" w:bottom="1440" w:gutter="0" w:footer="0" w:header="0"/>
          <w:type w:val="continuous"/>
        </w:sectPr>
      </w:pPr>
    </w:p>
    <w:p>
      <w:pPr>
        <w:spacing w:after="0" w:line="35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48" w:right="1440" w:bottom="1440" w:gutter="0" w:footer="0" w:header="0"/>
          <w:type w:val="continuous"/>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36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6-MOS</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OCT-31-1998</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APR-30-1998</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1,750</w:t>
      </w: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240,168</w:t>
      </w: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22,285</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303,128</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75,851</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49,297</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479,068</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156,357</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6,400</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254</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212,941</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479,068</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727,781</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727,781</w:t>
      </w:r>
    </w:p>
    <w:p>
      <w:pPr>
        <w:spacing w:after="0" w:line="2"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6"/>
          <w:szCs w:val="16"/>
          <w:color w:val="auto"/>
        </w:rPr>
        <w:t>633,022</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633,022</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1,839</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21,949</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9,109</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12,840</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12,840</w:t>
      </w:r>
    </w:p>
    <w:p>
      <w:pPr>
        <w:spacing w:after="0" w:line="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0.60</w:t>
      </w:r>
    </w:p>
    <w:p>
      <w:pPr>
        <w:spacing w:after="0" w:line="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0.58</w:t>
      </w:r>
    </w:p>
    <w:p>
      <w:pPr>
        <w:sectPr>
          <w:pgSz w:w="11900" w:h="16838" w:orient="portrait"/>
          <w:cols w:equalWidth="0" w:num="1">
            <w:col w:w="10119"/>
          </w:cols>
          <w:pgMar w:left="340" w:top="139" w:right="1440" w:bottom="1440" w:gutter="0" w:footer="0" w:header="0"/>
        </w:sectPr>
      </w:pPr>
    </w:p>
    <w:bookmarkStart w:id="22" w:name="page23"/>
    <w:bookmarkEnd w:id="2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369"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68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2280" w:type="dxa"/>
            <w:vAlign w:val="bottom"/>
          </w:tcPr>
          <w:p>
            <w:pPr>
              <w:ind w:left="1520"/>
              <w:spacing w:after="0"/>
              <w:rPr>
                <w:sz w:val="20"/>
                <w:szCs w:val="20"/>
                <w:color w:val="auto"/>
              </w:rPr>
            </w:pPr>
            <w:r>
              <w:rPr>
                <w:rFonts w:ascii="Courier New" w:cs="Courier New" w:eastAsia="Courier New" w:hAnsi="Courier New"/>
                <w:sz w:val="16"/>
                <w:szCs w:val="16"/>
                <w:color w:val="auto"/>
              </w:rPr>
              <w:t>3-MOS</w:t>
            </w:r>
          </w:p>
        </w:tc>
        <w:tc>
          <w:tcPr>
            <w:tcW w:w="2300" w:type="dxa"/>
            <w:vAlign w:val="bottom"/>
          </w:tcPr>
          <w:p>
            <w:pPr>
              <w:ind w:left="1540"/>
              <w:spacing w:after="0"/>
              <w:rPr>
                <w:sz w:val="20"/>
                <w:szCs w:val="20"/>
                <w:color w:val="auto"/>
              </w:rPr>
            </w:pPr>
            <w:r>
              <w:rPr>
                <w:rFonts w:ascii="Courier New" w:cs="Courier New" w:eastAsia="Courier New" w:hAnsi="Courier New"/>
                <w:sz w:val="16"/>
                <w:szCs w:val="16"/>
                <w:color w:val="auto"/>
              </w:rPr>
              <w:t>6-MOS</w:t>
            </w:r>
          </w:p>
        </w:tc>
        <w:tc>
          <w:tcPr>
            <w:tcW w:w="2280" w:type="dxa"/>
            <w:vAlign w:val="bottom"/>
          </w:tcPr>
          <w:p>
            <w:pPr>
              <w:ind w:left="1520"/>
              <w:spacing w:after="0"/>
              <w:rPr>
                <w:sz w:val="20"/>
                <w:szCs w:val="20"/>
                <w:color w:val="auto"/>
              </w:rPr>
            </w:pPr>
            <w:r>
              <w:rPr>
                <w:rFonts w:ascii="Courier New" w:cs="Courier New" w:eastAsia="Courier New" w:hAnsi="Courier New"/>
                <w:sz w:val="16"/>
                <w:szCs w:val="16"/>
                <w:color w:val="auto"/>
              </w:rPr>
              <w:t>9-MOS</w:t>
            </w:r>
          </w:p>
        </w:tc>
        <w:tc>
          <w:tcPr>
            <w:tcW w:w="2180" w:type="dxa"/>
            <w:vAlign w:val="bottom"/>
          </w:tcPr>
          <w:p>
            <w:pPr>
              <w:spacing w:after="0"/>
              <w:rPr>
                <w:sz w:val="15"/>
                <w:szCs w:val="15"/>
                <w:color w:val="auto"/>
              </w:rPr>
            </w:pPr>
          </w:p>
        </w:tc>
      </w:tr>
      <w:tr>
        <w:trPr>
          <w:trHeight w:val="183"/>
        </w:trPr>
        <w:tc>
          <w:tcPr>
            <w:tcW w:w="68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Courier New" w:cs="Courier New" w:eastAsia="Courier New" w:hAnsi="Courier New"/>
                <w:sz w:val="16"/>
                <w:szCs w:val="16"/>
                <w:color w:val="auto"/>
              </w:rPr>
              <w:t>OCT-31-1997</w:t>
            </w:r>
          </w:p>
        </w:tc>
        <w:tc>
          <w:tcPr>
            <w:tcW w:w="2300" w:type="dxa"/>
            <w:vAlign w:val="bottom"/>
          </w:tcPr>
          <w:p>
            <w:pPr>
              <w:spacing w:after="0"/>
              <w:rPr>
                <w:sz w:val="20"/>
                <w:szCs w:val="20"/>
                <w:color w:val="auto"/>
              </w:rPr>
            </w:pPr>
            <w:r>
              <w:rPr>
                <w:rFonts w:ascii="Courier New" w:cs="Courier New" w:eastAsia="Courier New" w:hAnsi="Courier New"/>
                <w:sz w:val="16"/>
                <w:szCs w:val="16"/>
                <w:color w:val="auto"/>
              </w:rPr>
              <w:t>OCT-31-1997</w:t>
            </w:r>
          </w:p>
        </w:tc>
        <w:tc>
          <w:tcPr>
            <w:tcW w:w="2280" w:type="dxa"/>
            <w:vAlign w:val="bottom"/>
          </w:tcPr>
          <w:p>
            <w:pPr>
              <w:spacing w:after="0"/>
              <w:rPr>
                <w:sz w:val="20"/>
                <w:szCs w:val="20"/>
                <w:color w:val="auto"/>
              </w:rPr>
            </w:pPr>
            <w:r>
              <w:rPr>
                <w:rFonts w:ascii="Courier New" w:cs="Courier New" w:eastAsia="Courier New" w:hAnsi="Courier New"/>
                <w:sz w:val="16"/>
                <w:szCs w:val="16"/>
                <w:color w:val="auto"/>
              </w:rPr>
              <w:t>OCT-31-1997</w:t>
            </w: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OCT-31-1997</w:t>
            </w:r>
          </w:p>
        </w:tc>
      </w:tr>
      <w:tr>
        <w:trPr>
          <w:trHeight w:val="183"/>
        </w:trPr>
        <w:tc>
          <w:tcPr>
            <w:tcW w:w="680" w:type="dxa"/>
            <w:vAlign w:val="bottom"/>
          </w:tcPr>
          <w:p>
            <w:pPr>
              <w:spacing w:after="0"/>
              <w:rPr>
                <w:sz w:val="15"/>
                <w:szCs w:val="15"/>
                <w:color w:val="auto"/>
              </w:rPr>
            </w:pPr>
          </w:p>
        </w:tc>
        <w:tc>
          <w:tcPr>
            <w:tcW w:w="2280" w:type="dxa"/>
            <w:vAlign w:val="bottom"/>
          </w:tcPr>
          <w:p>
            <w:pPr>
              <w:ind w:left="480"/>
              <w:spacing w:after="0"/>
              <w:rPr>
                <w:sz w:val="20"/>
                <w:szCs w:val="20"/>
                <w:color w:val="auto"/>
              </w:rPr>
            </w:pPr>
            <w:r>
              <w:rPr>
                <w:rFonts w:ascii="Courier New" w:cs="Courier New" w:eastAsia="Courier New" w:hAnsi="Courier New"/>
                <w:sz w:val="16"/>
                <w:szCs w:val="16"/>
                <w:color w:val="auto"/>
              </w:rPr>
              <w:t>OCT-31-1997</w:t>
            </w:r>
          </w:p>
        </w:tc>
        <w:tc>
          <w:tcPr>
            <w:tcW w:w="23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JAN-31-1997</w:t>
            </w:r>
          </w:p>
        </w:tc>
        <w:tc>
          <w:tcPr>
            <w:tcW w:w="2280" w:type="dxa"/>
            <w:vAlign w:val="bottom"/>
          </w:tcPr>
          <w:p>
            <w:pPr>
              <w:ind w:left="480"/>
              <w:spacing w:after="0"/>
              <w:rPr>
                <w:sz w:val="20"/>
                <w:szCs w:val="20"/>
                <w:color w:val="auto"/>
              </w:rPr>
            </w:pPr>
            <w:r>
              <w:rPr>
                <w:rFonts w:ascii="Courier New" w:cs="Courier New" w:eastAsia="Courier New" w:hAnsi="Courier New"/>
                <w:sz w:val="16"/>
                <w:szCs w:val="16"/>
                <w:color w:val="auto"/>
              </w:rPr>
              <w:t>APR-30-1997</w:t>
            </w:r>
          </w:p>
        </w:tc>
        <w:tc>
          <w:tcPr>
            <w:tcW w:w="2180" w:type="dxa"/>
            <w:vAlign w:val="bottom"/>
          </w:tcPr>
          <w:p>
            <w:pPr>
              <w:ind w:left="480"/>
              <w:spacing w:after="0"/>
              <w:rPr>
                <w:sz w:val="20"/>
                <w:szCs w:val="20"/>
                <w:color w:val="auto"/>
              </w:rPr>
            </w:pPr>
            <w:r>
              <w:rPr>
                <w:rFonts w:ascii="Courier New" w:cs="Courier New" w:eastAsia="Courier New" w:hAnsi="Courier New"/>
                <w:sz w:val="16"/>
                <w:szCs w:val="16"/>
                <w:color w:val="auto"/>
              </w:rPr>
              <w:t>JUL-31-1997</w:t>
            </w:r>
          </w:p>
        </w:tc>
      </w:tr>
      <w:tr>
        <w:trPr>
          <w:trHeight w:val="183"/>
        </w:trPr>
        <w:tc>
          <w:tcPr>
            <w:tcW w:w="680" w:type="dxa"/>
            <w:vAlign w:val="bottom"/>
          </w:tcPr>
          <w:p>
            <w:pPr>
              <w:spacing w:after="0"/>
              <w:rPr>
                <w:sz w:val="15"/>
                <w:szCs w:val="15"/>
                <w:color w:val="auto"/>
              </w:rPr>
            </w:pPr>
          </w:p>
        </w:tc>
        <w:tc>
          <w:tcPr>
            <w:tcW w:w="2280" w:type="dxa"/>
            <w:vAlign w:val="bottom"/>
          </w:tcPr>
          <w:p>
            <w:pPr>
              <w:ind w:left="1620"/>
              <w:spacing w:after="0"/>
              <w:rPr>
                <w:sz w:val="20"/>
                <w:szCs w:val="20"/>
                <w:color w:val="auto"/>
              </w:rPr>
            </w:pPr>
            <w:r>
              <w:rPr>
                <w:rFonts w:ascii="Courier New" w:cs="Courier New" w:eastAsia="Courier New" w:hAnsi="Courier New"/>
                <w:sz w:val="16"/>
                <w:szCs w:val="16"/>
                <w:color w:val="auto"/>
              </w:rPr>
              <w:t>1,783</w:t>
            </w:r>
          </w:p>
        </w:tc>
        <w:tc>
          <w:tcPr>
            <w:tcW w:w="2300" w:type="dxa"/>
            <w:vAlign w:val="bottom"/>
          </w:tcPr>
          <w:p>
            <w:pPr>
              <w:ind w:left="1620"/>
              <w:spacing w:after="0"/>
              <w:rPr>
                <w:sz w:val="20"/>
                <w:szCs w:val="20"/>
                <w:color w:val="auto"/>
              </w:rPr>
            </w:pPr>
            <w:r>
              <w:rPr>
                <w:rFonts w:ascii="Courier New" w:cs="Courier New" w:eastAsia="Courier New" w:hAnsi="Courier New"/>
                <w:sz w:val="16"/>
                <w:szCs w:val="16"/>
                <w:color w:val="auto"/>
              </w:rPr>
              <w:t>6,361</w:t>
            </w:r>
          </w:p>
        </w:tc>
        <w:tc>
          <w:tcPr>
            <w:tcW w:w="2280" w:type="dxa"/>
            <w:vAlign w:val="bottom"/>
          </w:tcPr>
          <w:p>
            <w:pPr>
              <w:ind w:left="1620"/>
              <w:spacing w:after="0"/>
              <w:rPr>
                <w:sz w:val="20"/>
                <w:szCs w:val="20"/>
                <w:color w:val="auto"/>
              </w:rPr>
            </w:pPr>
            <w:r>
              <w:rPr>
                <w:rFonts w:ascii="Courier New" w:cs="Courier New" w:eastAsia="Courier New" w:hAnsi="Courier New"/>
                <w:sz w:val="16"/>
                <w:szCs w:val="16"/>
                <w:color w:val="auto"/>
              </w:rPr>
              <w:t>1,498</w:t>
            </w:r>
          </w:p>
        </w:tc>
        <w:tc>
          <w:tcPr>
            <w:tcW w:w="2180" w:type="dxa"/>
            <w:vAlign w:val="bottom"/>
          </w:tcPr>
          <w:p>
            <w:pPr>
              <w:ind w:left="1620"/>
              <w:spacing w:after="0"/>
              <w:rPr>
                <w:sz w:val="20"/>
                <w:szCs w:val="20"/>
                <w:color w:val="auto"/>
              </w:rPr>
            </w:pPr>
            <w:r>
              <w:rPr>
                <w:rFonts w:ascii="Courier New" w:cs="Courier New" w:eastAsia="Courier New" w:hAnsi="Courier New"/>
                <w:sz w:val="16"/>
                <w:szCs w:val="16"/>
                <w:color w:val="auto"/>
              </w:rPr>
              <w:t>1,665</w:t>
            </w:r>
          </w:p>
        </w:tc>
      </w:tr>
      <w:tr>
        <w:trPr>
          <w:trHeight w:val="183"/>
        </w:trPr>
        <w:tc>
          <w:tcPr>
            <w:tcW w:w="680" w:type="dxa"/>
            <w:vAlign w:val="bottom"/>
          </w:tcPr>
          <w:p>
            <w:pPr>
              <w:spacing w:after="0"/>
              <w:rPr>
                <w:sz w:val="15"/>
                <w:szCs w:val="15"/>
                <w:color w:val="auto"/>
              </w:rPr>
            </w:pPr>
          </w:p>
        </w:tc>
        <w:tc>
          <w:tcPr>
            <w:tcW w:w="22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0</w:t>
            </w:r>
          </w:p>
        </w:tc>
        <w:tc>
          <w:tcPr>
            <w:tcW w:w="23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0</w:t>
            </w:r>
          </w:p>
        </w:tc>
        <w:tc>
          <w:tcPr>
            <w:tcW w:w="22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0</w:t>
            </w:r>
          </w:p>
        </w:tc>
        <w:tc>
          <w:tcPr>
            <w:tcW w:w="218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0</w:t>
            </w:r>
          </w:p>
        </w:tc>
      </w:tr>
      <w:tr>
        <w:trPr>
          <w:trHeight w:val="183"/>
        </w:trPr>
        <w:tc>
          <w:tcPr>
            <w:tcW w:w="680" w:type="dxa"/>
            <w:vAlign w:val="bottom"/>
          </w:tcPr>
          <w:p>
            <w:pPr>
              <w:spacing w:after="0"/>
              <w:rPr>
                <w:sz w:val="15"/>
                <w:szCs w:val="15"/>
                <w:color w:val="auto"/>
              </w:rPr>
            </w:pPr>
          </w:p>
        </w:tc>
        <w:tc>
          <w:tcPr>
            <w:tcW w:w="22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240,387</w:t>
            </w:r>
          </w:p>
        </w:tc>
        <w:tc>
          <w:tcPr>
            <w:tcW w:w="2300" w:type="dxa"/>
            <w:vAlign w:val="bottom"/>
          </w:tcPr>
          <w:p>
            <w:pPr>
              <w:ind w:left="760"/>
              <w:spacing w:after="0"/>
              <w:rPr>
                <w:sz w:val="20"/>
                <w:szCs w:val="20"/>
                <w:color w:val="auto"/>
              </w:rPr>
            </w:pPr>
            <w:r>
              <w:rPr>
                <w:rFonts w:ascii="Courier New" w:cs="Courier New" w:eastAsia="Courier New" w:hAnsi="Courier New"/>
                <w:sz w:val="16"/>
                <w:szCs w:val="16"/>
                <w:color w:val="auto"/>
              </w:rPr>
              <w:t>185,352</w:t>
            </w:r>
          </w:p>
        </w:tc>
        <w:tc>
          <w:tcPr>
            <w:tcW w:w="2280" w:type="dxa"/>
            <w:vAlign w:val="bottom"/>
          </w:tcPr>
          <w:p>
            <w:pPr>
              <w:ind w:left="760"/>
              <w:spacing w:after="0"/>
              <w:rPr>
                <w:sz w:val="20"/>
                <w:szCs w:val="20"/>
                <w:color w:val="auto"/>
              </w:rPr>
            </w:pPr>
            <w:r>
              <w:rPr>
                <w:rFonts w:ascii="Courier New" w:cs="Courier New" w:eastAsia="Courier New" w:hAnsi="Courier New"/>
                <w:sz w:val="16"/>
                <w:szCs w:val="16"/>
                <w:color w:val="auto"/>
              </w:rPr>
              <w:t>191,300</w:t>
            </w:r>
          </w:p>
        </w:tc>
        <w:tc>
          <w:tcPr>
            <w:tcW w:w="2180" w:type="dxa"/>
            <w:vAlign w:val="bottom"/>
          </w:tcPr>
          <w:p>
            <w:pPr>
              <w:ind w:left="760"/>
              <w:spacing w:after="0"/>
              <w:rPr>
                <w:sz w:val="20"/>
                <w:szCs w:val="20"/>
                <w:color w:val="auto"/>
              </w:rPr>
            </w:pPr>
            <w:r>
              <w:rPr>
                <w:rFonts w:ascii="Courier New" w:cs="Courier New" w:eastAsia="Courier New" w:hAnsi="Courier New"/>
                <w:sz w:val="16"/>
                <w:szCs w:val="16"/>
                <w:color w:val="auto"/>
              </w:rPr>
              <w:t>197,562</w:t>
            </w:r>
          </w:p>
        </w:tc>
      </w:tr>
      <w:tr>
        <w:trPr>
          <w:trHeight w:val="183"/>
        </w:trPr>
        <w:tc>
          <w:tcPr>
            <w:tcW w:w="680" w:type="dxa"/>
            <w:vAlign w:val="bottom"/>
          </w:tcPr>
          <w:p>
            <w:pPr>
              <w:spacing w:after="0"/>
              <w:rPr>
                <w:sz w:val="15"/>
                <w:szCs w:val="15"/>
                <w:color w:val="auto"/>
              </w:rPr>
            </w:pPr>
          </w:p>
        </w:tc>
        <w:tc>
          <w:tcPr>
            <w:tcW w:w="2280" w:type="dxa"/>
            <w:vAlign w:val="bottom"/>
          </w:tcPr>
          <w:p>
            <w:pPr>
              <w:ind w:left="1040"/>
              <w:spacing w:after="0"/>
              <w:rPr>
                <w:sz w:val="20"/>
                <w:szCs w:val="20"/>
                <w:color w:val="auto"/>
              </w:rPr>
            </w:pPr>
            <w:r>
              <w:rPr>
                <w:rFonts w:ascii="Courier New" w:cs="Courier New" w:eastAsia="Courier New" w:hAnsi="Courier New"/>
                <w:sz w:val="16"/>
                <w:szCs w:val="16"/>
                <w:color w:val="auto"/>
              </w:rPr>
              <w:t>5,923</w:t>
            </w:r>
          </w:p>
        </w:tc>
        <w:tc>
          <w:tcPr>
            <w:tcW w:w="23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0</w:t>
            </w:r>
          </w:p>
        </w:tc>
        <w:tc>
          <w:tcPr>
            <w:tcW w:w="22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0</w:t>
            </w:r>
          </w:p>
        </w:tc>
        <w:tc>
          <w:tcPr>
            <w:tcW w:w="218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0</w:t>
            </w:r>
          </w:p>
        </w:tc>
      </w:tr>
      <w:tr>
        <w:trPr>
          <w:trHeight w:val="183"/>
        </w:trPr>
        <w:tc>
          <w:tcPr>
            <w:tcW w:w="680" w:type="dxa"/>
            <w:vAlign w:val="bottom"/>
          </w:tcPr>
          <w:p>
            <w:pPr>
              <w:spacing w:after="0"/>
              <w:rPr>
                <w:sz w:val="15"/>
                <w:szCs w:val="15"/>
                <w:color w:val="auto"/>
              </w:rPr>
            </w:pPr>
          </w:p>
        </w:tc>
        <w:tc>
          <w:tcPr>
            <w:tcW w:w="2280" w:type="dxa"/>
            <w:vAlign w:val="bottom"/>
          </w:tcPr>
          <w:p>
            <w:pPr>
              <w:ind w:left="1040"/>
              <w:spacing w:after="0"/>
              <w:rPr>
                <w:sz w:val="20"/>
                <w:szCs w:val="20"/>
                <w:color w:val="auto"/>
              </w:rPr>
            </w:pPr>
            <w:r>
              <w:rPr>
                <w:rFonts w:ascii="Courier New" w:cs="Courier New" w:eastAsia="Courier New" w:hAnsi="Courier New"/>
                <w:sz w:val="16"/>
                <w:szCs w:val="16"/>
                <w:color w:val="auto"/>
              </w:rPr>
              <w:t>21,197</w:t>
            </w:r>
          </w:p>
        </w:tc>
        <w:tc>
          <w:tcPr>
            <w:tcW w:w="2300" w:type="dxa"/>
            <w:vAlign w:val="bottom"/>
          </w:tcPr>
          <w:p>
            <w:pPr>
              <w:ind w:left="1060"/>
              <w:spacing w:after="0"/>
              <w:rPr>
                <w:sz w:val="20"/>
                <w:szCs w:val="20"/>
                <w:color w:val="auto"/>
              </w:rPr>
            </w:pPr>
            <w:r>
              <w:rPr>
                <w:rFonts w:ascii="Courier New" w:cs="Courier New" w:eastAsia="Courier New" w:hAnsi="Courier New"/>
                <w:sz w:val="16"/>
                <w:szCs w:val="16"/>
                <w:color w:val="auto"/>
              </w:rPr>
              <w:t>19,207</w:t>
            </w:r>
          </w:p>
        </w:tc>
        <w:tc>
          <w:tcPr>
            <w:tcW w:w="2280" w:type="dxa"/>
            <w:vAlign w:val="bottom"/>
          </w:tcPr>
          <w:p>
            <w:pPr>
              <w:ind w:left="1040"/>
              <w:spacing w:after="0"/>
              <w:rPr>
                <w:sz w:val="20"/>
                <w:szCs w:val="20"/>
                <w:color w:val="auto"/>
              </w:rPr>
            </w:pPr>
            <w:r>
              <w:rPr>
                <w:rFonts w:ascii="Courier New" w:cs="Courier New" w:eastAsia="Courier New" w:hAnsi="Courier New"/>
                <w:sz w:val="16"/>
                <w:szCs w:val="16"/>
                <w:color w:val="auto"/>
              </w:rPr>
              <w:t>20,134</w:t>
            </w:r>
          </w:p>
        </w:tc>
        <w:tc>
          <w:tcPr>
            <w:tcW w:w="2180" w:type="dxa"/>
            <w:vAlign w:val="bottom"/>
          </w:tcPr>
          <w:p>
            <w:pPr>
              <w:ind w:left="1060"/>
              <w:spacing w:after="0"/>
              <w:rPr>
                <w:sz w:val="20"/>
                <w:szCs w:val="20"/>
                <w:color w:val="auto"/>
              </w:rPr>
            </w:pPr>
            <w:r>
              <w:rPr>
                <w:rFonts w:ascii="Courier New" w:cs="Courier New" w:eastAsia="Courier New" w:hAnsi="Courier New"/>
                <w:sz w:val="16"/>
                <w:szCs w:val="16"/>
                <w:color w:val="auto"/>
              </w:rPr>
              <w:t>19,772</w:t>
            </w:r>
          </w:p>
        </w:tc>
      </w:tr>
      <w:tr>
        <w:trPr>
          <w:trHeight w:val="183"/>
        </w:trPr>
        <w:tc>
          <w:tcPr>
            <w:tcW w:w="680" w:type="dxa"/>
            <w:vAlign w:val="bottom"/>
          </w:tcPr>
          <w:p>
            <w:pPr>
              <w:spacing w:after="0"/>
              <w:rPr>
                <w:sz w:val="15"/>
                <w:szCs w:val="15"/>
                <w:color w:val="auto"/>
              </w:rPr>
            </w:pPr>
          </w:p>
        </w:tc>
        <w:tc>
          <w:tcPr>
            <w:tcW w:w="2280" w:type="dxa"/>
            <w:vAlign w:val="bottom"/>
          </w:tcPr>
          <w:p>
            <w:pPr>
              <w:ind w:left="480"/>
              <w:spacing w:after="0"/>
              <w:rPr>
                <w:sz w:val="20"/>
                <w:szCs w:val="20"/>
                <w:color w:val="auto"/>
              </w:rPr>
            </w:pPr>
            <w:r>
              <w:rPr>
                <w:rFonts w:ascii="Courier New" w:cs="Courier New" w:eastAsia="Courier New" w:hAnsi="Courier New"/>
                <w:sz w:val="16"/>
                <w:szCs w:val="16"/>
                <w:color w:val="auto"/>
              </w:rPr>
              <w:t>294,417</w:t>
            </w:r>
          </w:p>
        </w:tc>
        <w:tc>
          <w:tcPr>
            <w:tcW w:w="2300" w:type="dxa"/>
            <w:vAlign w:val="bottom"/>
          </w:tcPr>
          <w:p>
            <w:pPr>
              <w:jc w:val="center"/>
              <w:ind w:right="581"/>
              <w:spacing w:after="0"/>
              <w:rPr>
                <w:sz w:val="20"/>
                <w:szCs w:val="20"/>
                <w:color w:val="auto"/>
              </w:rPr>
            </w:pPr>
            <w:r>
              <w:rPr>
                <w:rFonts w:ascii="Courier New" w:cs="Courier New" w:eastAsia="Courier New" w:hAnsi="Courier New"/>
                <w:sz w:val="16"/>
                <w:szCs w:val="16"/>
                <w:color w:val="auto"/>
              </w:rPr>
              <w:t>244,349</w:t>
            </w:r>
          </w:p>
        </w:tc>
        <w:tc>
          <w:tcPr>
            <w:tcW w:w="2280" w:type="dxa"/>
            <w:vAlign w:val="bottom"/>
          </w:tcPr>
          <w:p>
            <w:pPr>
              <w:ind w:left="480"/>
              <w:spacing w:after="0"/>
              <w:rPr>
                <w:sz w:val="20"/>
                <w:szCs w:val="20"/>
                <w:color w:val="auto"/>
              </w:rPr>
            </w:pPr>
            <w:r>
              <w:rPr>
                <w:rFonts w:ascii="Courier New" w:cs="Courier New" w:eastAsia="Courier New" w:hAnsi="Courier New"/>
                <w:sz w:val="16"/>
                <w:szCs w:val="16"/>
                <w:color w:val="auto"/>
              </w:rPr>
              <w:t>248,582</w:t>
            </w:r>
          </w:p>
        </w:tc>
        <w:tc>
          <w:tcPr>
            <w:tcW w:w="2180" w:type="dxa"/>
            <w:vAlign w:val="bottom"/>
          </w:tcPr>
          <w:p>
            <w:pPr>
              <w:ind w:left="480"/>
              <w:spacing w:after="0"/>
              <w:rPr>
                <w:sz w:val="20"/>
                <w:szCs w:val="20"/>
                <w:color w:val="auto"/>
              </w:rPr>
            </w:pPr>
            <w:r>
              <w:rPr>
                <w:rFonts w:ascii="Courier New" w:cs="Courier New" w:eastAsia="Courier New" w:hAnsi="Courier New"/>
                <w:sz w:val="16"/>
                <w:szCs w:val="16"/>
                <w:color w:val="auto"/>
              </w:rPr>
              <w:t>253,757</w:t>
            </w:r>
          </w:p>
        </w:tc>
      </w:tr>
      <w:tr>
        <w:trPr>
          <w:trHeight w:val="183"/>
        </w:trPr>
        <w:tc>
          <w:tcPr>
            <w:tcW w:w="680" w:type="dxa"/>
            <w:vAlign w:val="bottom"/>
          </w:tcPr>
          <w:p>
            <w:pPr>
              <w:spacing w:after="0"/>
              <w:rPr>
                <w:sz w:val="15"/>
                <w:szCs w:val="15"/>
                <w:color w:val="auto"/>
              </w:rPr>
            </w:pPr>
          </w:p>
        </w:tc>
        <w:tc>
          <w:tcPr>
            <w:tcW w:w="2280" w:type="dxa"/>
            <w:vAlign w:val="bottom"/>
          </w:tcPr>
          <w:p>
            <w:pPr>
              <w:ind w:left="1520"/>
              <w:spacing w:after="0"/>
              <w:rPr>
                <w:sz w:val="20"/>
                <w:szCs w:val="20"/>
                <w:color w:val="auto"/>
              </w:rPr>
            </w:pPr>
            <w:r>
              <w:rPr>
                <w:rFonts w:ascii="Courier New" w:cs="Courier New" w:eastAsia="Courier New" w:hAnsi="Courier New"/>
                <w:sz w:val="16"/>
                <w:szCs w:val="16"/>
                <w:color w:val="auto"/>
              </w:rPr>
              <w:t>72,518</w:t>
            </w:r>
          </w:p>
        </w:tc>
        <w:tc>
          <w:tcPr>
            <w:tcW w:w="2300" w:type="dxa"/>
            <w:vAlign w:val="bottom"/>
          </w:tcPr>
          <w:p>
            <w:pPr>
              <w:ind w:left="1540"/>
              <w:spacing w:after="0"/>
              <w:rPr>
                <w:sz w:val="20"/>
                <w:szCs w:val="20"/>
                <w:color w:val="auto"/>
              </w:rPr>
            </w:pPr>
            <w:r>
              <w:rPr>
                <w:rFonts w:ascii="Courier New" w:cs="Courier New" w:eastAsia="Courier New" w:hAnsi="Courier New"/>
                <w:sz w:val="16"/>
                <w:szCs w:val="16"/>
                <w:color w:val="auto"/>
              </w:rPr>
              <w:t>64,072</w:t>
            </w:r>
          </w:p>
        </w:tc>
        <w:tc>
          <w:tcPr>
            <w:tcW w:w="2280" w:type="dxa"/>
            <w:vAlign w:val="bottom"/>
          </w:tcPr>
          <w:p>
            <w:pPr>
              <w:ind w:left="1520"/>
              <w:spacing w:after="0"/>
              <w:rPr>
                <w:sz w:val="20"/>
                <w:szCs w:val="20"/>
                <w:color w:val="auto"/>
              </w:rPr>
            </w:pPr>
            <w:r>
              <w:rPr>
                <w:rFonts w:ascii="Courier New" w:cs="Courier New" w:eastAsia="Courier New" w:hAnsi="Courier New"/>
                <w:sz w:val="16"/>
                <w:szCs w:val="16"/>
                <w:color w:val="auto"/>
              </w:rPr>
              <w:t>65,660</w:t>
            </w:r>
          </w:p>
        </w:tc>
        <w:tc>
          <w:tcPr>
            <w:tcW w:w="2180" w:type="dxa"/>
            <w:vAlign w:val="bottom"/>
          </w:tcPr>
          <w:p>
            <w:pPr>
              <w:ind w:left="1540"/>
              <w:spacing w:after="0"/>
              <w:rPr>
                <w:sz w:val="20"/>
                <w:szCs w:val="20"/>
                <w:color w:val="auto"/>
              </w:rPr>
            </w:pPr>
            <w:r>
              <w:rPr>
                <w:rFonts w:ascii="Courier New" w:cs="Courier New" w:eastAsia="Courier New" w:hAnsi="Courier New"/>
                <w:sz w:val="16"/>
                <w:szCs w:val="16"/>
                <w:color w:val="auto"/>
              </w:rPr>
              <w:t>68,799</w:t>
            </w:r>
          </w:p>
        </w:tc>
      </w:tr>
      <w:tr>
        <w:trPr>
          <w:trHeight w:val="183"/>
        </w:trPr>
        <w:tc>
          <w:tcPr>
            <w:tcW w:w="680" w:type="dxa"/>
            <w:vAlign w:val="bottom"/>
          </w:tcPr>
          <w:p>
            <w:pPr>
              <w:spacing w:after="0"/>
              <w:rPr>
                <w:sz w:val="15"/>
                <w:szCs w:val="15"/>
                <w:color w:val="auto"/>
              </w:rPr>
            </w:pPr>
          </w:p>
        </w:tc>
        <w:tc>
          <w:tcPr>
            <w:tcW w:w="22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45,934</w:t>
            </w:r>
          </w:p>
        </w:tc>
        <w:tc>
          <w:tcPr>
            <w:tcW w:w="2300" w:type="dxa"/>
            <w:vAlign w:val="bottom"/>
          </w:tcPr>
          <w:p>
            <w:pPr>
              <w:ind w:left="760"/>
              <w:spacing w:after="0"/>
              <w:rPr>
                <w:sz w:val="20"/>
                <w:szCs w:val="20"/>
                <w:color w:val="auto"/>
              </w:rPr>
            </w:pPr>
            <w:r>
              <w:rPr>
                <w:rFonts w:ascii="Courier New" w:cs="Courier New" w:eastAsia="Courier New" w:hAnsi="Courier New"/>
                <w:sz w:val="16"/>
                <w:szCs w:val="16"/>
                <w:color w:val="auto"/>
              </w:rPr>
              <w:t>41,445</w:t>
            </w:r>
          </w:p>
        </w:tc>
        <w:tc>
          <w:tcPr>
            <w:tcW w:w="2280" w:type="dxa"/>
            <w:vAlign w:val="bottom"/>
          </w:tcPr>
          <w:p>
            <w:pPr>
              <w:ind w:left="760"/>
              <w:spacing w:after="0"/>
              <w:rPr>
                <w:sz w:val="20"/>
                <w:szCs w:val="20"/>
                <w:color w:val="auto"/>
              </w:rPr>
            </w:pPr>
            <w:r>
              <w:rPr>
                <w:rFonts w:ascii="Courier New" w:cs="Courier New" w:eastAsia="Courier New" w:hAnsi="Courier New"/>
                <w:sz w:val="16"/>
                <w:szCs w:val="16"/>
                <w:color w:val="auto"/>
              </w:rPr>
              <w:t>42,256</w:t>
            </w:r>
          </w:p>
        </w:tc>
        <w:tc>
          <w:tcPr>
            <w:tcW w:w="2180" w:type="dxa"/>
            <w:vAlign w:val="bottom"/>
          </w:tcPr>
          <w:p>
            <w:pPr>
              <w:ind w:left="760"/>
              <w:spacing w:after="0"/>
              <w:rPr>
                <w:sz w:val="20"/>
                <w:szCs w:val="20"/>
                <w:color w:val="auto"/>
              </w:rPr>
            </w:pPr>
            <w:r>
              <w:rPr>
                <w:rFonts w:ascii="Courier New" w:cs="Courier New" w:eastAsia="Courier New" w:hAnsi="Courier New"/>
                <w:sz w:val="16"/>
                <w:szCs w:val="16"/>
                <w:color w:val="auto"/>
              </w:rPr>
              <w:t>44,085</w:t>
            </w:r>
          </w:p>
        </w:tc>
      </w:tr>
      <w:tr>
        <w:trPr>
          <w:trHeight w:val="183"/>
        </w:trPr>
        <w:tc>
          <w:tcPr>
            <w:tcW w:w="680" w:type="dxa"/>
            <w:vAlign w:val="bottom"/>
          </w:tcPr>
          <w:p>
            <w:pPr>
              <w:spacing w:after="0"/>
              <w:rPr>
                <w:sz w:val="15"/>
                <w:szCs w:val="15"/>
                <w:color w:val="auto"/>
              </w:rPr>
            </w:pPr>
          </w:p>
        </w:tc>
        <w:tc>
          <w:tcPr>
            <w:tcW w:w="2280" w:type="dxa"/>
            <w:vAlign w:val="bottom"/>
          </w:tcPr>
          <w:p>
            <w:pPr>
              <w:ind w:left="660"/>
              <w:spacing w:after="0"/>
              <w:rPr>
                <w:sz w:val="20"/>
                <w:szCs w:val="20"/>
                <w:color w:val="auto"/>
              </w:rPr>
            </w:pPr>
            <w:r>
              <w:rPr>
                <w:rFonts w:ascii="Courier New" w:cs="Courier New" w:eastAsia="Courier New" w:hAnsi="Courier New"/>
                <w:sz w:val="16"/>
                <w:szCs w:val="16"/>
                <w:color w:val="auto"/>
              </w:rPr>
              <w:t>467,152</w:t>
            </w:r>
          </w:p>
        </w:tc>
        <w:tc>
          <w:tcPr>
            <w:tcW w:w="230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294,892</w:t>
            </w:r>
          </w:p>
        </w:tc>
        <w:tc>
          <w:tcPr>
            <w:tcW w:w="2280" w:type="dxa"/>
            <w:vAlign w:val="bottom"/>
          </w:tcPr>
          <w:p>
            <w:pPr>
              <w:ind w:left="660"/>
              <w:spacing w:after="0"/>
              <w:rPr>
                <w:sz w:val="20"/>
                <w:szCs w:val="20"/>
                <w:color w:val="auto"/>
              </w:rPr>
            </w:pPr>
            <w:r>
              <w:rPr>
                <w:rFonts w:ascii="Courier New" w:cs="Courier New" w:eastAsia="Courier New" w:hAnsi="Courier New"/>
                <w:sz w:val="16"/>
                <w:szCs w:val="16"/>
                <w:color w:val="auto"/>
              </w:rPr>
              <w:t>402,343</w:t>
            </w:r>
          </w:p>
        </w:tc>
        <w:tc>
          <w:tcPr>
            <w:tcW w:w="2180" w:type="dxa"/>
            <w:vAlign w:val="bottom"/>
          </w:tcPr>
          <w:p>
            <w:pPr>
              <w:ind w:left="680"/>
              <w:spacing w:after="0"/>
              <w:rPr>
                <w:sz w:val="20"/>
                <w:szCs w:val="20"/>
                <w:color w:val="auto"/>
              </w:rPr>
            </w:pPr>
            <w:r>
              <w:rPr>
                <w:rFonts w:ascii="Courier New" w:cs="Courier New" w:eastAsia="Courier New" w:hAnsi="Courier New"/>
                <w:sz w:val="16"/>
                <w:szCs w:val="16"/>
                <w:color w:val="auto"/>
              </w:rPr>
              <w:t>409,469</w:t>
            </w:r>
          </w:p>
        </w:tc>
      </w:tr>
      <w:tr>
        <w:trPr>
          <w:trHeight w:val="183"/>
        </w:trPr>
        <w:tc>
          <w:tcPr>
            <w:tcW w:w="680" w:type="dxa"/>
            <w:vAlign w:val="bottom"/>
          </w:tcPr>
          <w:p>
            <w:pPr>
              <w:spacing w:after="0"/>
              <w:rPr>
                <w:sz w:val="15"/>
                <w:szCs w:val="15"/>
                <w:color w:val="auto"/>
              </w:rPr>
            </w:pPr>
          </w:p>
        </w:tc>
        <w:tc>
          <w:tcPr>
            <w:tcW w:w="2280" w:type="dxa"/>
            <w:vAlign w:val="bottom"/>
          </w:tcPr>
          <w:p>
            <w:pPr>
              <w:jc w:val="right"/>
              <w:ind w:right="1541"/>
              <w:spacing w:after="0"/>
              <w:rPr>
                <w:sz w:val="20"/>
                <w:szCs w:val="20"/>
                <w:color w:val="auto"/>
              </w:rPr>
            </w:pPr>
            <w:r>
              <w:rPr>
                <w:rFonts w:ascii="Courier New" w:cs="Courier New" w:eastAsia="Courier New" w:hAnsi="Courier New"/>
                <w:sz w:val="16"/>
                <w:szCs w:val="16"/>
                <w:color w:val="auto"/>
                <w:w w:val="95"/>
              </w:rPr>
              <w:t>156,660</w:t>
            </w:r>
          </w:p>
        </w:tc>
        <w:tc>
          <w:tcPr>
            <w:tcW w:w="2300" w:type="dxa"/>
            <w:vAlign w:val="bottom"/>
          </w:tcPr>
          <w:p>
            <w:pPr>
              <w:jc w:val="right"/>
              <w:ind w:right="1541"/>
              <w:spacing w:after="0"/>
              <w:rPr>
                <w:sz w:val="20"/>
                <w:szCs w:val="20"/>
                <w:color w:val="auto"/>
              </w:rPr>
            </w:pPr>
            <w:r>
              <w:rPr>
                <w:rFonts w:ascii="Courier New" w:cs="Courier New" w:eastAsia="Courier New" w:hAnsi="Courier New"/>
                <w:sz w:val="16"/>
                <w:szCs w:val="16"/>
                <w:color w:val="auto"/>
                <w:w w:val="98"/>
              </w:rPr>
              <w:t>121,622</w:t>
            </w:r>
          </w:p>
        </w:tc>
        <w:tc>
          <w:tcPr>
            <w:tcW w:w="2280" w:type="dxa"/>
            <w:vAlign w:val="bottom"/>
          </w:tcPr>
          <w:p>
            <w:pPr>
              <w:jc w:val="right"/>
              <w:ind w:right="1541"/>
              <w:spacing w:after="0"/>
              <w:rPr>
                <w:sz w:val="20"/>
                <w:szCs w:val="20"/>
                <w:color w:val="auto"/>
              </w:rPr>
            </w:pPr>
            <w:r>
              <w:rPr>
                <w:rFonts w:ascii="Courier New" w:cs="Courier New" w:eastAsia="Courier New" w:hAnsi="Courier New"/>
                <w:sz w:val="16"/>
                <w:szCs w:val="16"/>
                <w:color w:val="auto"/>
                <w:w w:val="95"/>
              </w:rPr>
              <w:t>125,485</w:t>
            </w:r>
          </w:p>
        </w:tc>
        <w:tc>
          <w:tcPr>
            <w:tcW w:w="2180" w:type="dxa"/>
            <w:vAlign w:val="bottom"/>
          </w:tcPr>
          <w:p>
            <w:pPr>
              <w:jc w:val="right"/>
              <w:ind w:right="1421"/>
              <w:spacing w:after="0"/>
              <w:rPr>
                <w:sz w:val="20"/>
                <w:szCs w:val="20"/>
                <w:color w:val="auto"/>
              </w:rPr>
            </w:pPr>
            <w:r>
              <w:rPr>
                <w:rFonts w:ascii="Courier New" w:cs="Courier New" w:eastAsia="Courier New" w:hAnsi="Courier New"/>
                <w:sz w:val="16"/>
                <w:szCs w:val="16"/>
                <w:color w:val="auto"/>
                <w:w w:val="98"/>
              </w:rPr>
              <w:t>120,200</w:t>
            </w:r>
          </w:p>
        </w:tc>
      </w:tr>
      <w:tr>
        <w:trPr>
          <w:trHeight w:val="183"/>
        </w:trPr>
        <w:tc>
          <w:tcPr>
            <w:tcW w:w="680" w:type="dxa"/>
            <w:vAlign w:val="bottom"/>
          </w:tcPr>
          <w:p>
            <w:pPr>
              <w:spacing w:after="0"/>
              <w:rPr>
                <w:sz w:val="15"/>
                <w:szCs w:val="15"/>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6"/>
                <w:szCs w:val="16"/>
                <w:color w:val="auto"/>
              </w:rPr>
              <w:t>38,402</w:t>
            </w:r>
          </w:p>
        </w:tc>
        <w:tc>
          <w:tcPr>
            <w:tcW w:w="23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0</w:t>
            </w:r>
          </w:p>
        </w:tc>
        <w:tc>
          <w:tcPr>
            <w:tcW w:w="2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2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r>
      <w:tr>
        <w:trPr>
          <w:trHeight w:val="183"/>
        </w:trPr>
        <w:tc>
          <w:tcPr>
            <w:tcW w:w="680" w:type="dxa"/>
            <w:vAlign w:val="bottom"/>
          </w:tcPr>
          <w:p>
            <w:pPr>
              <w:spacing w:after="0"/>
              <w:rPr>
                <w:sz w:val="15"/>
                <w:szCs w:val="15"/>
                <w:color w:val="auto"/>
              </w:rPr>
            </w:pPr>
          </w:p>
        </w:tc>
        <w:tc>
          <w:tcPr>
            <w:tcW w:w="2280" w:type="dxa"/>
            <w:vAlign w:val="bottom"/>
          </w:tcPr>
          <w:p>
            <w:pPr>
              <w:jc w:val="right"/>
              <w:ind w:right="1541"/>
              <w:spacing w:after="0"/>
              <w:rPr>
                <w:sz w:val="20"/>
                <w:szCs w:val="20"/>
                <w:color w:val="auto"/>
              </w:rPr>
            </w:pPr>
            <w:r>
              <w:rPr>
                <w:rFonts w:ascii="Courier New" w:cs="Courier New" w:eastAsia="Courier New" w:hAnsi="Courier New"/>
                <w:sz w:val="16"/>
                <w:szCs w:val="16"/>
                <w:color w:val="auto"/>
              </w:rPr>
              <w:t>0</w:t>
            </w:r>
          </w:p>
        </w:tc>
        <w:tc>
          <w:tcPr>
            <w:tcW w:w="2300" w:type="dxa"/>
            <w:vAlign w:val="bottom"/>
          </w:tcPr>
          <w:p>
            <w:pPr>
              <w:jc w:val="right"/>
              <w:ind w:right="1541"/>
              <w:spacing w:after="0"/>
              <w:rPr>
                <w:sz w:val="20"/>
                <w:szCs w:val="20"/>
                <w:color w:val="auto"/>
              </w:rPr>
            </w:pPr>
            <w:r>
              <w:rPr>
                <w:rFonts w:ascii="Courier New" w:cs="Courier New" w:eastAsia="Courier New" w:hAnsi="Courier New"/>
                <w:sz w:val="16"/>
                <w:szCs w:val="16"/>
                <w:color w:val="auto"/>
              </w:rPr>
              <w:t>0</w:t>
            </w:r>
          </w:p>
        </w:tc>
        <w:tc>
          <w:tcPr>
            <w:tcW w:w="2280" w:type="dxa"/>
            <w:vAlign w:val="bottom"/>
          </w:tcPr>
          <w:p>
            <w:pPr>
              <w:jc w:val="right"/>
              <w:ind w:right="1541"/>
              <w:spacing w:after="0"/>
              <w:rPr>
                <w:sz w:val="20"/>
                <w:szCs w:val="20"/>
                <w:color w:val="auto"/>
              </w:rPr>
            </w:pPr>
            <w:r>
              <w:rPr>
                <w:rFonts w:ascii="Courier New" w:cs="Courier New" w:eastAsia="Courier New" w:hAnsi="Courier New"/>
                <w:sz w:val="16"/>
                <w:szCs w:val="16"/>
                <w:color w:val="auto"/>
              </w:rPr>
              <w:t>0</w:t>
            </w:r>
          </w:p>
        </w:tc>
        <w:tc>
          <w:tcPr>
            <w:tcW w:w="2180" w:type="dxa"/>
            <w:vAlign w:val="bottom"/>
          </w:tcPr>
          <w:p>
            <w:pPr>
              <w:jc w:val="right"/>
              <w:ind w:right="1421"/>
              <w:spacing w:after="0"/>
              <w:rPr>
                <w:sz w:val="20"/>
                <w:szCs w:val="20"/>
                <w:color w:val="auto"/>
              </w:rPr>
            </w:pPr>
            <w:r>
              <w:rPr>
                <w:rFonts w:ascii="Courier New" w:cs="Courier New" w:eastAsia="Courier New" w:hAnsi="Courier New"/>
                <w:sz w:val="16"/>
                <w:szCs w:val="16"/>
                <w:color w:val="auto"/>
              </w:rPr>
              <w:t>0</w:t>
            </w:r>
          </w:p>
        </w:tc>
      </w:tr>
      <w:tr>
        <w:trPr>
          <w:trHeight w:val="183"/>
        </w:trPr>
        <w:tc>
          <w:tcPr>
            <w:tcW w:w="680" w:type="dxa"/>
            <w:vAlign w:val="bottom"/>
          </w:tcPr>
          <w:p>
            <w:pPr>
              <w:spacing w:after="0"/>
              <w:rPr>
                <w:sz w:val="15"/>
                <w:szCs w:val="15"/>
                <w:color w:val="auto"/>
              </w:rPr>
            </w:pPr>
          </w:p>
        </w:tc>
        <w:tc>
          <w:tcPr>
            <w:tcW w:w="2280" w:type="dxa"/>
            <w:vAlign w:val="bottom"/>
          </w:tcPr>
          <w:p>
            <w:pPr>
              <w:ind w:left="1140"/>
              <w:spacing w:after="0"/>
              <w:rPr>
                <w:sz w:val="20"/>
                <w:szCs w:val="20"/>
                <w:color w:val="auto"/>
              </w:rPr>
            </w:pPr>
            <w:r>
              <w:rPr>
                <w:rFonts w:ascii="Courier New" w:cs="Courier New" w:eastAsia="Courier New" w:hAnsi="Courier New"/>
                <w:sz w:val="16"/>
                <w:szCs w:val="16"/>
                <w:color w:val="auto"/>
              </w:rPr>
              <w:t>6,400</w:t>
            </w:r>
          </w:p>
        </w:tc>
        <w:tc>
          <w:tcPr>
            <w:tcW w:w="2300" w:type="dxa"/>
            <w:vAlign w:val="bottom"/>
          </w:tcPr>
          <w:p>
            <w:pPr>
              <w:ind w:left="1160"/>
              <w:spacing w:after="0"/>
              <w:rPr>
                <w:sz w:val="20"/>
                <w:szCs w:val="20"/>
                <w:color w:val="auto"/>
              </w:rPr>
            </w:pPr>
            <w:r>
              <w:rPr>
                <w:rFonts w:ascii="Courier New" w:cs="Courier New" w:eastAsia="Courier New" w:hAnsi="Courier New"/>
                <w:sz w:val="16"/>
                <w:szCs w:val="16"/>
                <w:color w:val="auto"/>
              </w:rPr>
              <w:t>6,400</w:t>
            </w:r>
          </w:p>
        </w:tc>
        <w:tc>
          <w:tcPr>
            <w:tcW w:w="2280" w:type="dxa"/>
            <w:vAlign w:val="bottom"/>
          </w:tcPr>
          <w:p>
            <w:pPr>
              <w:ind w:left="1140"/>
              <w:spacing w:after="0"/>
              <w:rPr>
                <w:sz w:val="20"/>
                <w:szCs w:val="20"/>
                <w:color w:val="auto"/>
              </w:rPr>
            </w:pPr>
            <w:r>
              <w:rPr>
                <w:rFonts w:ascii="Courier New" w:cs="Courier New" w:eastAsia="Courier New" w:hAnsi="Courier New"/>
                <w:sz w:val="16"/>
                <w:szCs w:val="16"/>
                <w:color w:val="auto"/>
              </w:rPr>
              <w:t>6,400</w:t>
            </w:r>
          </w:p>
        </w:tc>
        <w:tc>
          <w:tcPr>
            <w:tcW w:w="2180" w:type="dxa"/>
            <w:vAlign w:val="bottom"/>
          </w:tcPr>
          <w:p>
            <w:pPr>
              <w:ind w:left="1140"/>
              <w:spacing w:after="0"/>
              <w:rPr>
                <w:sz w:val="20"/>
                <w:szCs w:val="20"/>
                <w:color w:val="auto"/>
              </w:rPr>
            </w:pPr>
            <w:r>
              <w:rPr>
                <w:rFonts w:ascii="Courier New" w:cs="Courier New" w:eastAsia="Courier New" w:hAnsi="Courier New"/>
                <w:sz w:val="16"/>
                <w:szCs w:val="16"/>
                <w:color w:val="auto"/>
              </w:rPr>
              <w:t>6,400</w:t>
            </w:r>
          </w:p>
        </w:tc>
      </w:tr>
      <w:tr>
        <w:trPr>
          <w:trHeight w:val="183"/>
        </w:trPr>
        <w:tc>
          <w:tcPr>
            <w:tcW w:w="680" w:type="dxa"/>
            <w:vAlign w:val="bottom"/>
          </w:tcPr>
          <w:p>
            <w:pPr>
              <w:spacing w:after="0"/>
              <w:rPr>
                <w:sz w:val="15"/>
                <w:szCs w:val="15"/>
                <w:color w:val="auto"/>
              </w:rPr>
            </w:pPr>
          </w:p>
        </w:tc>
        <w:tc>
          <w:tcPr>
            <w:tcW w:w="2280" w:type="dxa"/>
            <w:vAlign w:val="bottom"/>
          </w:tcPr>
          <w:p>
            <w:pPr>
              <w:ind w:left="1620"/>
              <w:spacing w:after="0"/>
              <w:rPr>
                <w:sz w:val="20"/>
                <w:szCs w:val="20"/>
                <w:color w:val="auto"/>
              </w:rPr>
            </w:pPr>
            <w:r>
              <w:rPr>
                <w:rFonts w:ascii="Courier New" w:cs="Courier New" w:eastAsia="Courier New" w:hAnsi="Courier New"/>
                <w:sz w:val="16"/>
                <w:szCs w:val="16"/>
                <w:color w:val="auto"/>
              </w:rPr>
              <w:t>205</w:t>
            </w:r>
          </w:p>
        </w:tc>
        <w:tc>
          <w:tcPr>
            <w:tcW w:w="2300" w:type="dxa"/>
            <w:vAlign w:val="bottom"/>
          </w:tcPr>
          <w:p>
            <w:pPr>
              <w:ind w:left="1620"/>
              <w:spacing w:after="0"/>
              <w:rPr>
                <w:sz w:val="20"/>
                <w:szCs w:val="20"/>
                <w:color w:val="auto"/>
              </w:rPr>
            </w:pPr>
            <w:r>
              <w:rPr>
                <w:rFonts w:ascii="Courier New" w:cs="Courier New" w:eastAsia="Courier New" w:hAnsi="Courier New"/>
                <w:sz w:val="16"/>
                <w:szCs w:val="16"/>
                <w:color w:val="auto"/>
              </w:rPr>
              <w:t>200</w:t>
            </w:r>
          </w:p>
        </w:tc>
        <w:tc>
          <w:tcPr>
            <w:tcW w:w="2280" w:type="dxa"/>
            <w:vAlign w:val="bottom"/>
          </w:tcPr>
          <w:p>
            <w:pPr>
              <w:ind w:left="1620"/>
              <w:spacing w:after="0"/>
              <w:rPr>
                <w:sz w:val="20"/>
                <w:szCs w:val="20"/>
                <w:color w:val="auto"/>
              </w:rPr>
            </w:pPr>
            <w:r>
              <w:rPr>
                <w:rFonts w:ascii="Courier New" w:cs="Courier New" w:eastAsia="Courier New" w:hAnsi="Courier New"/>
                <w:sz w:val="16"/>
                <w:szCs w:val="16"/>
                <w:color w:val="auto"/>
              </w:rPr>
              <w:t>201</w:t>
            </w:r>
          </w:p>
        </w:tc>
        <w:tc>
          <w:tcPr>
            <w:tcW w:w="2180" w:type="dxa"/>
            <w:vAlign w:val="bottom"/>
          </w:tcPr>
          <w:p>
            <w:pPr>
              <w:ind w:left="1620"/>
              <w:spacing w:after="0"/>
              <w:rPr>
                <w:sz w:val="20"/>
                <w:szCs w:val="20"/>
                <w:color w:val="auto"/>
              </w:rPr>
            </w:pPr>
            <w:r>
              <w:rPr>
                <w:rFonts w:ascii="Courier New" w:cs="Courier New" w:eastAsia="Courier New" w:hAnsi="Courier New"/>
                <w:sz w:val="16"/>
                <w:szCs w:val="16"/>
                <w:color w:val="auto"/>
              </w:rPr>
              <w:t>203</w:t>
            </w:r>
          </w:p>
        </w:tc>
      </w:tr>
      <w:tr>
        <w:trPr>
          <w:trHeight w:val="183"/>
        </w:trPr>
        <w:tc>
          <w:tcPr>
            <w:tcW w:w="680" w:type="dxa"/>
            <w:vAlign w:val="bottom"/>
          </w:tcPr>
          <w:p>
            <w:pPr>
              <w:spacing w:after="0"/>
              <w:rPr>
                <w:sz w:val="15"/>
                <w:szCs w:val="15"/>
                <w:color w:val="auto"/>
              </w:rPr>
            </w:pPr>
          </w:p>
        </w:tc>
        <w:tc>
          <w:tcPr>
            <w:tcW w:w="2280" w:type="dxa"/>
            <w:vAlign w:val="bottom"/>
          </w:tcPr>
          <w:p>
            <w:pPr>
              <w:ind w:left="1040"/>
              <w:spacing w:after="0"/>
              <w:rPr>
                <w:sz w:val="20"/>
                <w:szCs w:val="20"/>
                <w:color w:val="auto"/>
              </w:rPr>
            </w:pPr>
            <w:r>
              <w:rPr>
                <w:rFonts w:ascii="Courier New" w:cs="Courier New" w:eastAsia="Courier New" w:hAnsi="Courier New"/>
                <w:sz w:val="16"/>
                <w:szCs w:val="16"/>
                <w:color w:val="auto"/>
              </w:rPr>
              <w:t>197,608</w:t>
            </w:r>
          </w:p>
        </w:tc>
        <w:tc>
          <w:tcPr>
            <w:tcW w:w="2300" w:type="dxa"/>
            <w:vAlign w:val="bottom"/>
          </w:tcPr>
          <w:p>
            <w:pPr>
              <w:ind w:left="1060"/>
              <w:spacing w:after="0"/>
              <w:rPr>
                <w:sz w:val="20"/>
                <w:szCs w:val="20"/>
                <w:color w:val="auto"/>
              </w:rPr>
            </w:pPr>
            <w:r>
              <w:rPr>
                <w:rFonts w:ascii="Courier New" w:cs="Courier New" w:eastAsia="Courier New" w:hAnsi="Courier New"/>
                <w:sz w:val="16"/>
                <w:szCs w:val="16"/>
                <w:color w:val="auto"/>
              </w:rPr>
              <w:t>174,883</w:t>
            </w:r>
          </w:p>
        </w:tc>
        <w:tc>
          <w:tcPr>
            <w:tcW w:w="2280" w:type="dxa"/>
            <w:vAlign w:val="bottom"/>
          </w:tcPr>
          <w:p>
            <w:pPr>
              <w:ind w:left="1040"/>
              <w:spacing w:after="0"/>
              <w:rPr>
                <w:sz w:val="20"/>
                <w:szCs w:val="20"/>
                <w:color w:val="auto"/>
              </w:rPr>
            </w:pPr>
            <w:r>
              <w:rPr>
                <w:rFonts w:ascii="Courier New" w:cs="Courier New" w:eastAsia="Courier New" w:hAnsi="Courier New"/>
                <w:sz w:val="16"/>
                <w:szCs w:val="16"/>
                <w:color w:val="auto"/>
              </w:rPr>
              <w:t>180,721</w:t>
            </w:r>
          </w:p>
        </w:tc>
        <w:tc>
          <w:tcPr>
            <w:tcW w:w="2180" w:type="dxa"/>
            <w:vAlign w:val="bottom"/>
          </w:tcPr>
          <w:p>
            <w:pPr>
              <w:ind w:left="1060"/>
              <w:spacing w:after="0"/>
              <w:rPr>
                <w:sz w:val="20"/>
                <w:szCs w:val="20"/>
                <w:color w:val="auto"/>
              </w:rPr>
            </w:pPr>
            <w:r>
              <w:rPr>
                <w:rFonts w:ascii="Courier New" w:cs="Courier New" w:eastAsia="Courier New" w:hAnsi="Courier New"/>
                <w:sz w:val="16"/>
                <w:szCs w:val="16"/>
                <w:color w:val="auto"/>
              </w:rPr>
              <w:t>188,303</w:t>
            </w:r>
          </w:p>
        </w:tc>
      </w:tr>
      <w:tr>
        <w:trPr>
          <w:trHeight w:val="183"/>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467,152</w:t>
            </w:r>
          </w:p>
        </w:tc>
        <w:tc>
          <w:tcPr>
            <w:tcW w:w="2280" w:type="dxa"/>
            <w:vAlign w:val="bottom"/>
          </w:tcPr>
          <w:p>
            <w:pPr>
              <w:ind w:left="1620"/>
              <w:spacing w:after="0"/>
              <w:rPr>
                <w:sz w:val="20"/>
                <w:szCs w:val="20"/>
                <w:color w:val="auto"/>
              </w:rPr>
            </w:pPr>
            <w:r>
              <w:rPr>
                <w:rFonts w:ascii="Courier New" w:cs="Courier New" w:eastAsia="Courier New" w:hAnsi="Courier New"/>
                <w:sz w:val="16"/>
                <w:szCs w:val="16"/>
                <w:color w:val="auto"/>
                <w:w w:val="95"/>
              </w:rPr>
              <w:t>394,892</w:t>
            </w:r>
          </w:p>
        </w:tc>
        <w:tc>
          <w:tcPr>
            <w:tcW w:w="2300" w:type="dxa"/>
            <w:vAlign w:val="bottom"/>
          </w:tcPr>
          <w:p>
            <w:pPr>
              <w:ind w:left="1620"/>
              <w:spacing w:after="0"/>
              <w:rPr>
                <w:sz w:val="20"/>
                <w:szCs w:val="20"/>
                <w:color w:val="auto"/>
              </w:rPr>
            </w:pPr>
            <w:r>
              <w:rPr>
                <w:rFonts w:ascii="Courier New" w:cs="Courier New" w:eastAsia="Courier New" w:hAnsi="Courier New"/>
                <w:sz w:val="16"/>
                <w:szCs w:val="16"/>
                <w:color w:val="auto"/>
                <w:w w:val="98"/>
              </w:rPr>
              <w:t>402,343</w:t>
            </w:r>
          </w:p>
        </w:tc>
        <w:tc>
          <w:tcPr>
            <w:tcW w:w="2280" w:type="dxa"/>
            <w:vAlign w:val="bottom"/>
          </w:tcPr>
          <w:p>
            <w:pPr>
              <w:ind w:left="1620"/>
              <w:spacing w:after="0"/>
              <w:rPr>
                <w:sz w:val="20"/>
                <w:szCs w:val="20"/>
                <w:color w:val="auto"/>
              </w:rPr>
            </w:pPr>
            <w:r>
              <w:rPr>
                <w:rFonts w:ascii="Courier New" w:cs="Courier New" w:eastAsia="Courier New" w:hAnsi="Courier New"/>
                <w:sz w:val="16"/>
                <w:szCs w:val="16"/>
                <w:color w:val="auto"/>
                <w:w w:val="95"/>
              </w:rPr>
              <w:t>409,469</w:t>
            </w:r>
          </w:p>
        </w:tc>
        <w:tc>
          <w:tcPr>
            <w:tcW w:w="2180" w:type="dxa"/>
            <w:vAlign w:val="bottom"/>
          </w:tcPr>
          <w:p>
            <w:pPr>
              <w:spacing w:after="0"/>
              <w:rPr>
                <w:sz w:val="15"/>
                <w:szCs w:val="15"/>
                <w:color w:val="auto"/>
              </w:rPr>
            </w:pPr>
          </w:p>
        </w:tc>
      </w:tr>
      <w:tr>
        <w:trPr>
          <w:trHeight w:val="183"/>
        </w:trPr>
        <w:tc>
          <w:tcPr>
            <w:tcW w:w="680" w:type="dxa"/>
            <w:vAlign w:val="bottom"/>
          </w:tcPr>
          <w:p>
            <w:pPr>
              <w:spacing w:after="0"/>
              <w:rPr>
                <w:sz w:val="15"/>
                <w:szCs w:val="15"/>
                <w:color w:val="auto"/>
              </w:rPr>
            </w:pPr>
          </w:p>
        </w:tc>
        <w:tc>
          <w:tcPr>
            <w:tcW w:w="2280" w:type="dxa"/>
            <w:vAlign w:val="bottom"/>
          </w:tcPr>
          <w:p>
            <w:pPr>
              <w:ind w:left="1140"/>
              <w:spacing w:after="0"/>
              <w:rPr>
                <w:sz w:val="20"/>
                <w:szCs w:val="20"/>
                <w:color w:val="auto"/>
              </w:rPr>
            </w:pPr>
            <w:r>
              <w:rPr>
                <w:rFonts w:ascii="Courier New" w:cs="Courier New" w:eastAsia="Courier New" w:hAnsi="Courier New"/>
                <w:sz w:val="16"/>
                <w:szCs w:val="16"/>
                <w:color w:val="auto"/>
              </w:rPr>
              <w:t>1,252,472</w:t>
            </w:r>
          </w:p>
        </w:tc>
        <w:tc>
          <w:tcPr>
            <w:tcW w:w="23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291,638</w:t>
            </w:r>
          </w:p>
        </w:tc>
        <w:tc>
          <w:tcPr>
            <w:tcW w:w="2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585,947</w:t>
            </w:r>
          </w:p>
        </w:tc>
        <w:tc>
          <w:tcPr>
            <w:tcW w:w="2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894,418</w:t>
            </w:r>
          </w:p>
        </w:tc>
      </w:tr>
      <w:tr>
        <w:trPr>
          <w:trHeight w:val="183"/>
        </w:trPr>
        <w:tc>
          <w:tcPr>
            <w:tcW w:w="680" w:type="dxa"/>
            <w:vAlign w:val="bottom"/>
          </w:tcPr>
          <w:p>
            <w:pPr>
              <w:spacing w:after="0"/>
              <w:rPr>
                <w:sz w:val="15"/>
                <w:szCs w:val="15"/>
                <w:color w:val="auto"/>
              </w:rPr>
            </w:pPr>
          </w:p>
        </w:tc>
        <w:tc>
          <w:tcPr>
            <w:tcW w:w="2280" w:type="dxa"/>
            <w:vAlign w:val="bottom"/>
          </w:tcPr>
          <w:p>
            <w:pPr>
              <w:ind w:left="280"/>
              <w:spacing w:after="0"/>
              <w:rPr>
                <w:sz w:val="20"/>
                <w:szCs w:val="20"/>
                <w:color w:val="auto"/>
              </w:rPr>
            </w:pPr>
            <w:r>
              <w:rPr>
                <w:rFonts w:ascii="Courier New" w:cs="Courier New" w:eastAsia="Courier New" w:hAnsi="Courier New"/>
                <w:sz w:val="16"/>
                <w:szCs w:val="16"/>
                <w:color w:val="auto"/>
              </w:rPr>
              <w:t>1,252,472</w:t>
            </w:r>
          </w:p>
        </w:tc>
        <w:tc>
          <w:tcPr>
            <w:tcW w:w="2300" w:type="dxa"/>
            <w:vAlign w:val="bottom"/>
          </w:tcPr>
          <w:p>
            <w:pPr>
              <w:jc w:val="center"/>
              <w:ind w:right="581"/>
              <w:spacing w:after="0"/>
              <w:rPr>
                <w:sz w:val="20"/>
                <w:szCs w:val="20"/>
                <w:color w:val="auto"/>
              </w:rPr>
            </w:pPr>
            <w:r>
              <w:rPr>
                <w:rFonts w:ascii="Courier New" w:cs="Courier New" w:eastAsia="Courier New" w:hAnsi="Courier New"/>
                <w:sz w:val="16"/>
                <w:szCs w:val="16"/>
                <w:color w:val="auto"/>
              </w:rPr>
              <w:t>291,638</w:t>
            </w:r>
          </w:p>
        </w:tc>
        <w:tc>
          <w:tcPr>
            <w:tcW w:w="2280" w:type="dxa"/>
            <w:vAlign w:val="bottom"/>
          </w:tcPr>
          <w:p>
            <w:pPr>
              <w:ind w:left="480"/>
              <w:spacing w:after="0"/>
              <w:rPr>
                <w:sz w:val="20"/>
                <w:szCs w:val="20"/>
                <w:color w:val="auto"/>
              </w:rPr>
            </w:pPr>
            <w:r>
              <w:rPr>
                <w:rFonts w:ascii="Courier New" w:cs="Courier New" w:eastAsia="Courier New" w:hAnsi="Courier New"/>
                <w:sz w:val="16"/>
                <w:szCs w:val="16"/>
                <w:color w:val="auto"/>
              </w:rPr>
              <w:t>585,947</w:t>
            </w:r>
          </w:p>
        </w:tc>
        <w:tc>
          <w:tcPr>
            <w:tcW w:w="2180" w:type="dxa"/>
            <w:vAlign w:val="bottom"/>
          </w:tcPr>
          <w:p>
            <w:pPr>
              <w:ind w:left="480"/>
              <w:spacing w:after="0"/>
              <w:rPr>
                <w:sz w:val="20"/>
                <w:szCs w:val="20"/>
                <w:color w:val="auto"/>
              </w:rPr>
            </w:pPr>
            <w:r>
              <w:rPr>
                <w:rFonts w:ascii="Courier New" w:cs="Courier New" w:eastAsia="Courier New" w:hAnsi="Courier New"/>
                <w:sz w:val="16"/>
                <w:szCs w:val="16"/>
                <w:color w:val="auto"/>
              </w:rPr>
              <w:t>894,418</w:t>
            </w:r>
          </w:p>
        </w:tc>
      </w:tr>
      <w:tr>
        <w:trPr>
          <w:trHeight w:val="183"/>
        </w:trPr>
        <w:tc>
          <w:tcPr>
            <w:tcW w:w="680" w:type="dxa"/>
            <w:vAlign w:val="bottom"/>
          </w:tcPr>
          <w:p>
            <w:pPr>
              <w:spacing w:after="0"/>
              <w:rPr>
                <w:sz w:val="15"/>
                <w:szCs w:val="15"/>
                <w:color w:val="auto"/>
              </w:rPr>
            </w:pPr>
          </w:p>
        </w:tc>
        <w:tc>
          <w:tcPr>
            <w:tcW w:w="2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1,076,078</w:t>
            </w:r>
          </w:p>
        </w:tc>
        <w:tc>
          <w:tcPr>
            <w:tcW w:w="2300" w:type="dxa"/>
            <w:vAlign w:val="bottom"/>
          </w:tcPr>
          <w:p>
            <w:pPr>
              <w:ind w:left="1540"/>
              <w:spacing w:after="0"/>
              <w:rPr>
                <w:sz w:val="20"/>
                <w:szCs w:val="20"/>
                <w:color w:val="auto"/>
              </w:rPr>
            </w:pPr>
            <w:r>
              <w:rPr>
                <w:rFonts w:ascii="Courier New" w:cs="Courier New" w:eastAsia="Courier New" w:hAnsi="Courier New"/>
                <w:sz w:val="16"/>
                <w:szCs w:val="16"/>
                <w:color w:val="auto"/>
              </w:rPr>
              <w:t>252,751</w:t>
            </w:r>
          </w:p>
        </w:tc>
        <w:tc>
          <w:tcPr>
            <w:tcW w:w="2280" w:type="dxa"/>
            <w:vAlign w:val="bottom"/>
          </w:tcPr>
          <w:p>
            <w:pPr>
              <w:ind w:left="1520"/>
              <w:spacing w:after="0"/>
              <w:rPr>
                <w:sz w:val="20"/>
                <w:szCs w:val="20"/>
                <w:color w:val="auto"/>
              </w:rPr>
            </w:pPr>
            <w:r>
              <w:rPr>
                <w:rFonts w:ascii="Courier New" w:cs="Courier New" w:eastAsia="Courier New" w:hAnsi="Courier New"/>
                <w:sz w:val="16"/>
                <w:szCs w:val="16"/>
                <w:color w:val="auto"/>
              </w:rPr>
              <w:t>506,006</w:t>
            </w:r>
          </w:p>
        </w:tc>
        <w:tc>
          <w:tcPr>
            <w:tcW w:w="2180" w:type="dxa"/>
            <w:vAlign w:val="bottom"/>
          </w:tcPr>
          <w:p>
            <w:pPr>
              <w:ind w:left="1540"/>
              <w:spacing w:after="0"/>
              <w:rPr>
                <w:sz w:val="20"/>
                <w:szCs w:val="20"/>
                <w:color w:val="auto"/>
              </w:rPr>
            </w:pPr>
            <w:r>
              <w:rPr>
                <w:rFonts w:ascii="Courier New" w:cs="Courier New" w:eastAsia="Courier New" w:hAnsi="Courier New"/>
                <w:sz w:val="16"/>
                <w:szCs w:val="16"/>
                <w:color w:val="auto"/>
                <w:w w:val="92"/>
              </w:rPr>
              <w:t>770,744</w:t>
            </w:r>
          </w:p>
        </w:tc>
      </w:tr>
      <w:tr>
        <w:trPr>
          <w:trHeight w:val="183"/>
        </w:trPr>
        <w:tc>
          <w:tcPr>
            <w:tcW w:w="680" w:type="dxa"/>
            <w:vAlign w:val="bottom"/>
          </w:tcPr>
          <w:p>
            <w:pPr>
              <w:spacing w:after="0"/>
              <w:rPr>
                <w:sz w:val="15"/>
                <w:szCs w:val="15"/>
                <w:color w:val="auto"/>
              </w:rPr>
            </w:pPr>
          </w:p>
        </w:tc>
        <w:tc>
          <w:tcPr>
            <w:tcW w:w="22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1,076,078</w:t>
            </w:r>
          </w:p>
        </w:tc>
        <w:tc>
          <w:tcPr>
            <w:tcW w:w="2300" w:type="dxa"/>
            <w:vAlign w:val="bottom"/>
          </w:tcPr>
          <w:p>
            <w:pPr>
              <w:ind w:left="760"/>
              <w:spacing w:after="0"/>
              <w:rPr>
                <w:sz w:val="20"/>
                <w:szCs w:val="20"/>
                <w:color w:val="auto"/>
              </w:rPr>
            </w:pPr>
            <w:r>
              <w:rPr>
                <w:rFonts w:ascii="Courier New" w:cs="Courier New" w:eastAsia="Courier New" w:hAnsi="Courier New"/>
                <w:sz w:val="16"/>
                <w:szCs w:val="16"/>
                <w:color w:val="auto"/>
              </w:rPr>
              <w:t>252,751</w:t>
            </w:r>
          </w:p>
        </w:tc>
        <w:tc>
          <w:tcPr>
            <w:tcW w:w="2280" w:type="dxa"/>
            <w:vAlign w:val="bottom"/>
          </w:tcPr>
          <w:p>
            <w:pPr>
              <w:ind w:left="760"/>
              <w:spacing w:after="0"/>
              <w:rPr>
                <w:sz w:val="20"/>
                <w:szCs w:val="20"/>
                <w:color w:val="auto"/>
              </w:rPr>
            </w:pPr>
            <w:r>
              <w:rPr>
                <w:rFonts w:ascii="Courier New" w:cs="Courier New" w:eastAsia="Courier New" w:hAnsi="Courier New"/>
                <w:sz w:val="16"/>
                <w:szCs w:val="16"/>
                <w:color w:val="auto"/>
              </w:rPr>
              <w:t>506,006</w:t>
            </w:r>
          </w:p>
        </w:tc>
        <w:tc>
          <w:tcPr>
            <w:tcW w:w="2180" w:type="dxa"/>
            <w:vAlign w:val="bottom"/>
          </w:tcPr>
          <w:p>
            <w:pPr>
              <w:ind w:left="760"/>
              <w:spacing w:after="0"/>
              <w:rPr>
                <w:sz w:val="20"/>
                <w:szCs w:val="20"/>
                <w:color w:val="auto"/>
              </w:rPr>
            </w:pPr>
            <w:r>
              <w:rPr>
                <w:rFonts w:ascii="Courier New" w:cs="Courier New" w:eastAsia="Courier New" w:hAnsi="Courier New"/>
                <w:sz w:val="16"/>
                <w:szCs w:val="16"/>
                <w:color w:val="auto"/>
              </w:rPr>
              <w:t>770,744</w:t>
            </w:r>
          </w:p>
        </w:tc>
      </w:tr>
      <w:tr>
        <w:trPr>
          <w:trHeight w:val="183"/>
        </w:trPr>
        <w:tc>
          <w:tcPr>
            <w:tcW w:w="680" w:type="dxa"/>
            <w:vAlign w:val="bottom"/>
          </w:tcPr>
          <w:p>
            <w:pPr>
              <w:spacing w:after="0"/>
              <w:rPr>
                <w:sz w:val="15"/>
                <w:szCs w:val="15"/>
                <w:color w:val="auto"/>
              </w:rPr>
            </w:pPr>
          </w:p>
        </w:tc>
        <w:tc>
          <w:tcPr>
            <w:tcW w:w="2280" w:type="dxa"/>
            <w:vAlign w:val="bottom"/>
          </w:tcPr>
          <w:p>
            <w:pPr>
              <w:ind w:left="1040"/>
              <w:spacing w:after="0"/>
              <w:rPr>
                <w:sz w:val="20"/>
                <w:szCs w:val="20"/>
                <w:color w:val="auto"/>
              </w:rPr>
            </w:pPr>
            <w:r>
              <w:rPr>
                <w:rFonts w:ascii="Courier New" w:cs="Courier New" w:eastAsia="Courier New" w:hAnsi="Courier New"/>
                <w:sz w:val="16"/>
                <w:szCs w:val="16"/>
                <w:color w:val="auto"/>
              </w:rPr>
              <w:t>0</w:t>
            </w:r>
          </w:p>
        </w:tc>
        <w:tc>
          <w:tcPr>
            <w:tcW w:w="2300" w:type="dxa"/>
            <w:vAlign w:val="bottom"/>
          </w:tcPr>
          <w:p>
            <w:pPr>
              <w:ind w:left="1060"/>
              <w:spacing w:after="0"/>
              <w:rPr>
                <w:sz w:val="20"/>
                <w:szCs w:val="20"/>
                <w:color w:val="auto"/>
              </w:rPr>
            </w:pPr>
            <w:r>
              <w:rPr>
                <w:rFonts w:ascii="Courier New" w:cs="Courier New" w:eastAsia="Courier New" w:hAnsi="Courier New"/>
                <w:sz w:val="16"/>
                <w:szCs w:val="16"/>
                <w:color w:val="auto"/>
              </w:rPr>
              <w:t>0</w:t>
            </w:r>
          </w:p>
        </w:tc>
        <w:tc>
          <w:tcPr>
            <w:tcW w:w="2280" w:type="dxa"/>
            <w:vAlign w:val="bottom"/>
          </w:tcPr>
          <w:p>
            <w:pPr>
              <w:ind w:left="1040"/>
              <w:spacing w:after="0"/>
              <w:rPr>
                <w:sz w:val="20"/>
                <w:szCs w:val="20"/>
                <w:color w:val="auto"/>
              </w:rPr>
            </w:pPr>
            <w:r>
              <w:rPr>
                <w:rFonts w:ascii="Courier New" w:cs="Courier New" w:eastAsia="Courier New" w:hAnsi="Courier New"/>
                <w:sz w:val="16"/>
                <w:szCs w:val="16"/>
                <w:color w:val="auto"/>
              </w:rPr>
              <w:t>0</w:t>
            </w:r>
          </w:p>
        </w:tc>
        <w:tc>
          <w:tcPr>
            <w:tcW w:w="2180" w:type="dxa"/>
            <w:vAlign w:val="bottom"/>
          </w:tcPr>
          <w:p>
            <w:pPr>
              <w:ind w:left="1060"/>
              <w:spacing w:after="0"/>
              <w:rPr>
                <w:sz w:val="20"/>
                <w:szCs w:val="20"/>
                <w:color w:val="auto"/>
              </w:rPr>
            </w:pPr>
            <w:r>
              <w:rPr>
                <w:rFonts w:ascii="Courier New" w:cs="Courier New" w:eastAsia="Courier New" w:hAnsi="Courier New"/>
                <w:sz w:val="16"/>
                <w:szCs w:val="16"/>
                <w:color w:val="auto"/>
              </w:rPr>
              <w:t>0</w:t>
            </w:r>
          </w:p>
        </w:tc>
      </w:tr>
      <w:tr>
        <w:trPr>
          <w:trHeight w:val="183"/>
        </w:trPr>
        <w:tc>
          <w:tcPr>
            <w:tcW w:w="680" w:type="dxa"/>
            <w:vAlign w:val="bottom"/>
          </w:tcPr>
          <w:p>
            <w:pPr>
              <w:spacing w:after="0"/>
              <w:rPr>
                <w:sz w:val="15"/>
                <w:szCs w:val="15"/>
                <w:color w:val="auto"/>
              </w:rPr>
            </w:pPr>
          </w:p>
        </w:tc>
        <w:tc>
          <w:tcPr>
            <w:tcW w:w="2280" w:type="dxa"/>
            <w:vAlign w:val="bottom"/>
          </w:tcPr>
          <w:p>
            <w:pPr>
              <w:ind w:left="660"/>
              <w:spacing w:after="0"/>
              <w:rPr>
                <w:sz w:val="20"/>
                <w:szCs w:val="20"/>
                <w:color w:val="auto"/>
              </w:rPr>
            </w:pPr>
            <w:r>
              <w:rPr>
                <w:rFonts w:ascii="Courier New" w:cs="Courier New" w:eastAsia="Courier New" w:hAnsi="Courier New"/>
                <w:sz w:val="16"/>
                <w:szCs w:val="16"/>
                <w:color w:val="auto"/>
              </w:rPr>
              <w:t>2,968</w:t>
            </w:r>
          </w:p>
        </w:tc>
        <w:tc>
          <w:tcPr>
            <w:tcW w:w="2300" w:type="dxa"/>
            <w:vAlign w:val="bottom"/>
          </w:tcPr>
          <w:p>
            <w:pPr>
              <w:ind w:left="1060"/>
              <w:spacing w:after="0"/>
              <w:rPr>
                <w:sz w:val="20"/>
                <w:szCs w:val="20"/>
                <w:color w:val="auto"/>
              </w:rPr>
            </w:pPr>
            <w:r>
              <w:rPr>
                <w:rFonts w:ascii="Courier New" w:cs="Courier New" w:eastAsia="Courier New" w:hAnsi="Courier New"/>
                <w:sz w:val="16"/>
                <w:szCs w:val="16"/>
                <w:color w:val="auto"/>
              </w:rPr>
              <w:t>0</w:t>
            </w:r>
          </w:p>
        </w:tc>
        <w:tc>
          <w:tcPr>
            <w:tcW w:w="2280" w:type="dxa"/>
            <w:vAlign w:val="bottom"/>
          </w:tcPr>
          <w:p>
            <w:pPr>
              <w:ind w:left="1040"/>
              <w:spacing w:after="0"/>
              <w:rPr>
                <w:sz w:val="20"/>
                <w:szCs w:val="20"/>
                <w:color w:val="auto"/>
              </w:rPr>
            </w:pPr>
            <w:r>
              <w:rPr>
                <w:rFonts w:ascii="Courier New" w:cs="Courier New" w:eastAsia="Courier New" w:hAnsi="Courier New"/>
                <w:sz w:val="16"/>
                <w:szCs w:val="16"/>
                <w:color w:val="auto"/>
              </w:rPr>
              <w:t>0</w:t>
            </w:r>
          </w:p>
        </w:tc>
        <w:tc>
          <w:tcPr>
            <w:tcW w:w="2180" w:type="dxa"/>
            <w:vAlign w:val="bottom"/>
          </w:tcPr>
          <w:p>
            <w:pPr>
              <w:ind w:left="1060"/>
              <w:spacing w:after="0"/>
              <w:rPr>
                <w:sz w:val="20"/>
                <w:szCs w:val="20"/>
                <w:color w:val="auto"/>
              </w:rPr>
            </w:pPr>
            <w:r>
              <w:rPr>
                <w:rFonts w:ascii="Courier New" w:cs="Courier New" w:eastAsia="Courier New" w:hAnsi="Courier New"/>
                <w:sz w:val="16"/>
                <w:szCs w:val="16"/>
                <w:color w:val="auto"/>
              </w:rPr>
              <w:t>0</w:t>
            </w:r>
          </w:p>
        </w:tc>
      </w:tr>
      <w:tr>
        <w:trPr>
          <w:trHeight w:val="183"/>
        </w:trPr>
        <w:tc>
          <w:tcPr>
            <w:tcW w:w="680" w:type="dxa"/>
            <w:vAlign w:val="bottom"/>
          </w:tcPr>
          <w:p>
            <w:pPr>
              <w:spacing w:after="0"/>
              <w:rPr>
                <w:sz w:val="15"/>
                <w:szCs w:val="15"/>
                <w:color w:val="auto"/>
              </w:rPr>
            </w:pPr>
          </w:p>
        </w:tc>
        <w:tc>
          <w:tcPr>
            <w:tcW w:w="2280" w:type="dxa"/>
            <w:vAlign w:val="bottom"/>
          </w:tcPr>
          <w:p>
            <w:pPr>
              <w:ind w:left="480"/>
              <w:spacing w:after="0"/>
              <w:rPr>
                <w:sz w:val="20"/>
                <w:szCs w:val="20"/>
                <w:color w:val="auto"/>
              </w:rPr>
            </w:pPr>
            <w:r>
              <w:rPr>
                <w:rFonts w:ascii="Courier New" w:cs="Courier New" w:eastAsia="Courier New" w:hAnsi="Courier New"/>
                <w:sz w:val="16"/>
                <w:szCs w:val="16"/>
                <w:color w:val="auto"/>
              </w:rPr>
              <w:t>2,675</w:t>
            </w:r>
          </w:p>
        </w:tc>
        <w:tc>
          <w:tcPr>
            <w:tcW w:w="2300" w:type="dxa"/>
            <w:vAlign w:val="bottom"/>
          </w:tcPr>
          <w:p>
            <w:pPr>
              <w:jc w:val="center"/>
              <w:ind w:right="581"/>
              <w:spacing w:after="0"/>
              <w:rPr>
                <w:sz w:val="20"/>
                <w:szCs w:val="20"/>
                <w:color w:val="auto"/>
              </w:rPr>
            </w:pPr>
            <w:r>
              <w:rPr>
                <w:rFonts w:ascii="Courier New" w:cs="Courier New" w:eastAsia="Courier New" w:hAnsi="Courier New"/>
                <w:sz w:val="16"/>
                <w:szCs w:val="16"/>
                <w:color w:val="auto"/>
                <w:w w:val="97"/>
              </w:rPr>
              <w:t>897</w:t>
            </w:r>
          </w:p>
        </w:tc>
        <w:tc>
          <w:tcPr>
            <w:tcW w:w="2280" w:type="dxa"/>
            <w:vAlign w:val="bottom"/>
          </w:tcPr>
          <w:p>
            <w:pPr>
              <w:ind w:left="480"/>
              <w:spacing w:after="0"/>
              <w:rPr>
                <w:sz w:val="20"/>
                <w:szCs w:val="20"/>
                <w:color w:val="auto"/>
              </w:rPr>
            </w:pPr>
            <w:r>
              <w:rPr>
                <w:rFonts w:ascii="Courier New" w:cs="Courier New" w:eastAsia="Courier New" w:hAnsi="Courier New"/>
                <w:sz w:val="16"/>
                <w:szCs w:val="16"/>
                <w:color w:val="auto"/>
              </w:rPr>
              <w:t>1,693</w:t>
            </w:r>
          </w:p>
        </w:tc>
        <w:tc>
          <w:tcPr>
            <w:tcW w:w="2180" w:type="dxa"/>
            <w:vAlign w:val="bottom"/>
          </w:tcPr>
          <w:p>
            <w:pPr>
              <w:ind w:left="480"/>
              <w:spacing w:after="0"/>
              <w:rPr>
                <w:sz w:val="20"/>
                <w:szCs w:val="20"/>
                <w:color w:val="auto"/>
              </w:rPr>
            </w:pPr>
            <w:r>
              <w:rPr>
                <w:rFonts w:ascii="Courier New" w:cs="Courier New" w:eastAsia="Courier New" w:hAnsi="Courier New"/>
                <w:sz w:val="16"/>
                <w:szCs w:val="16"/>
                <w:color w:val="auto"/>
              </w:rPr>
              <w:t>2,667</w:t>
            </w:r>
          </w:p>
        </w:tc>
      </w:tr>
      <w:tr>
        <w:trPr>
          <w:trHeight w:val="183"/>
        </w:trPr>
        <w:tc>
          <w:tcPr>
            <w:tcW w:w="680" w:type="dxa"/>
            <w:vAlign w:val="bottom"/>
          </w:tcPr>
          <w:p>
            <w:pPr>
              <w:spacing w:after="0"/>
              <w:rPr>
                <w:sz w:val="15"/>
                <w:szCs w:val="15"/>
                <w:color w:val="auto"/>
              </w:rPr>
            </w:pPr>
          </w:p>
        </w:tc>
        <w:tc>
          <w:tcPr>
            <w:tcW w:w="2280" w:type="dxa"/>
            <w:vAlign w:val="bottom"/>
          </w:tcPr>
          <w:p>
            <w:pPr>
              <w:ind w:left="660"/>
              <w:spacing w:after="0"/>
              <w:rPr>
                <w:sz w:val="20"/>
                <w:szCs w:val="20"/>
                <w:color w:val="auto"/>
              </w:rPr>
            </w:pPr>
            <w:r>
              <w:rPr>
                <w:rFonts w:ascii="Courier New" w:cs="Courier New" w:eastAsia="Courier New" w:hAnsi="Courier New"/>
                <w:sz w:val="16"/>
                <w:szCs w:val="16"/>
                <w:color w:val="auto"/>
              </w:rPr>
              <w:t>46,964</w:t>
            </w:r>
          </w:p>
        </w:tc>
        <w:tc>
          <w:tcPr>
            <w:tcW w:w="2300" w:type="dxa"/>
            <w:vAlign w:val="bottom"/>
          </w:tcPr>
          <w:p>
            <w:pPr>
              <w:ind w:left="760"/>
              <w:spacing w:after="0"/>
              <w:rPr>
                <w:sz w:val="20"/>
                <w:szCs w:val="20"/>
                <w:color w:val="auto"/>
              </w:rPr>
            </w:pPr>
            <w:r>
              <w:rPr>
                <w:rFonts w:ascii="Courier New" w:cs="Courier New" w:eastAsia="Courier New" w:hAnsi="Courier New"/>
                <w:sz w:val="16"/>
                <w:szCs w:val="16"/>
                <w:color w:val="auto"/>
              </w:rPr>
              <w:t>8,345</w:t>
            </w:r>
          </w:p>
        </w:tc>
        <w:tc>
          <w:tcPr>
            <w:tcW w:w="2280" w:type="dxa"/>
            <w:vAlign w:val="bottom"/>
          </w:tcPr>
          <w:p>
            <w:pPr>
              <w:ind w:left="660"/>
              <w:spacing w:after="0"/>
              <w:rPr>
                <w:sz w:val="20"/>
                <w:szCs w:val="20"/>
                <w:color w:val="auto"/>
              </w:rPr>
            </w:pPr>
            <w:r>
              <w:rPr>
                <w:rFonts w:ascii="Courier New" w:cs="Courier New" w:eastAsia="Courier New" w:hAnsi="Courier New"/>
                <w:sz w:val="16"/>
                <w:szCs w:val="16"/>
                <w:color w:val="auto"/>
              </w:rPr>
              <w:t>18,430</w:t>
            </w:r>
          </w:p>
        </w:tc>
        <w:tc>
          <w:tcPr>
            <w:tcW w:w="2180" w:type="dxa"/>
            <w:vAlign w:val="bottom"/>
          </w:tcPr>
          <w:p>
            <w:pPr>
              <w:ind w:left="680"/>
              <w:spacing w:after="0"/>
              <w:rPr>
                <w:sz w:val="20"/>
                <w:szCs w:val="20"/>
                <w:color w:val="auto"/>
              </w:rPr>
            </w:pPr>
            <w:r>
              <w:rPr>
                <w:rFonts w:ascii="Courier New" w:cs="Courier New" w:eastAsia="Courier New" w:hAnsi="Courier New"/>
                <w:sz w:val="16"/>
                <w:szCs w:val="16"/>
                <w:color w:val="auto"/>
              </w:rPr>
              <w:t>31,336</w:t>
            </w:r>
          </w:p>
        </w:tc>
      </w:tr>
      <w:tr>
        <w:trPr>
          <w:trHeight w:val="183"/>
        </w:trPr>
        <w:tc>
          <w:tcPr>
            <w:tcW w:w="680" w:type="dxa"/>
            <w:vAlign w:val="bottom"/>
          </w:tcPr>
          <w:p>
            <w:pPr>
              <w:spacing w:after="0"/>
              <w:rPr>
                <w:sz w:val="15"/>
                <w:szCs w:val="15"/>
                <w:color w:val="auto"/>
              </w:rPr>
            </w:pPr>
          </w:p>
        </w:tc>
        <w:tc>
          <w:tcPr>
            <w:tcW w:w="22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19,725</w:t>
            </w:r>
          </w:p>
        </w:tc>
        <w:tc>
          <w:tcPr>
            <w:tcW w:w="2300" w:type="dxa"/>
            <w:vAlign w:val="bottom"/>
          </w:tcPr>
          <w:p>
            <w:pPr>
              <w:ind w:left="1060"/>
              <w:spacing w:after="0"/>
              <w:rPr>
                <w:sz w:val="20"/>
                <w:szCs w:val="20"/>
                <w:color w:val="auto"/>
              </w:rPr>
            </w:pPr>
            <w:r>
              <w:rPr>
                <w:rFonts w:ascii="Courier New" w:cs="Courier New" w:eastAsia="Courier New" w:hAnsi="Courier New"/>
                <w:sz w:val="16"/>
                <w:szCs w:val="16"/>
                <w:color w:val="auto"/>
              </w:rPr>
              <w:t>3,505</w:t>
            </w:r>
          </w:p>
        </w:tc>
        <w:tc>
          <w:tcPr>
            <w:tcW w:w="2280" w:type="dxa"/>
            <w:vAlign w:val="bottom"/>
          </w:tcPr>
          <w:p>
            <w:pPr>
              <w:ind w:left="1040"/>
              <w:spacing w:after="0"/>
              <w:rPr>
                <w:sz w:val="20"/>
                <w:szCs w:val="20"/>
                <w:color w:val="auto"/>
              </w:rPr>
            </w:pPr>
            <w:r>
              <w:rPr>
                <w:rFonts w:ascii="Courier New" w:cs="Courier New" w:eastAsia="Courier New" w:hAnsi="Courier New"/>
                <w:sz w:val="16"/>
                <w:szCs w:val="16"/>
                <w:color w:val="auto"/>
              </w:rPr>
              <w:t>7,741</w:t>
            </w:r>
          </w:p>
        </w:tc>
        <w:tc>
          <w:tcPr>
            <w:tcW w:w="218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13,161</w:t>
            </w:r>
          </w:p>
        </w:tc>
      </w:tr>
      <w:tr>
        <w:trPr>
          <w:trHeight w:val="183"/>
        </w:trPr>
        <w:tc>
          <w:tcPr>
            <w:tcW w:w="680" w:type="dxa"/>
            <w:vAlign w:val="bottom"/>
          </w:tcPr>
          <w:p>
            <w:pPr>
              <w:spacing w:after="0"/>
              <w:rPr>
                <w:sz w:val="15"/>
                <w:szCs w:val="15"/>
                <w:color w:val="auto"/>
              </w:rPr>
            </w:pPr>
          </w:p>
        </w:tc>
        <w:tc>
          <w:tcPr>
            <w:tcW w:w="2280" w:type="dxa"/>
            <w:vAlign w:val="bottom"/>
          </w:tcPr>
          <w:p>
            <w:pPr>
              <w:ind w:left="280"/>
              <w:spacing w:after="0"/>
              <w:rPr>
                <w:sz w:val="20"/>
                <w:szCs w:val="20"/>
                <w:color w:val="auto"/>
              </w:rPr>
            </w:pPr>
            <w:r>
              <w:rPr>
                <w:rFonts w:ascii="Courier New" w:cs="Courier New" w:eastAsia="Courier New" w:hAnsi="Courier New"/>
                <w:sz w:val="16"/>
                <w:szCs w:val="16"/>
                <w:color w:val="auto"/>
              </w:rPr>
              <w:t>27,239</w:t>
            </w:r>
          </w:p>
        </w:tc>
        <w:tc>
          <w:tcPr>
            <w:tcW w:w="2300" w:type="dxa"/>
            <w:vAlign w:val="bottom"/>
          </w:tcPr>
          <w:p>
            <w:pPr>
              <w:ind w:left="380"/>
              <w:spacing w:after="0"/>
              <w:rPr>
                <w:sz w:val="20"/>
                <w:szCs w:val="20"/>
                <w:color w:val="auto"/>
              </w:rPr>
            </w:pPr>
            <w:r>
              <w:rPr>
                <w:rFonts w:ascii="Courier New" w:cs="Courier New" w:eastAsia="Courier New" w:hAnsi="Courier New"/>
                <w:sz w:val="16"/>
                <w:szCs w:val="16"/>
                <w:color w:val="auto"/>
              </w:rPr>
              <w:t>4,840</w:t>
            </w:r>
          </w:p>
        </w:tc>
        <w:tc>
          <w:tcPr>
            <w:tcW w:w="2280" w:type="dxa"/>
            <w:vAlign w:val="bottom"/>
          </w:tcPr>
          <w:p>
            <w:pPr>
              <w:ind w:left="280"/>
              <w:spacing w:after="0"/>
              <w:rPr>
                <w:sz w:val="20"/>
                <w:szCs w:val="20"/>
                <w:color w:val="auto"/>
              </w:rPr>
            </w:pPr>
            <w:r>
              <w:rPr>
                <w:rFonts w:ascii="Courier New" w:cs="Courier New" w:eastAsia="Courier New" w:hAnsi="Courier New"/>
                <w:sz w:val="16"/>
                <w:szCs w:val="16"/>
                <w:color w:val="auto"/>
              </w:rPr>
              <w:t>10,689</w:t>
            </w:r>
          </w:p>
        </w:tc>
        <w:tc>
          <w:tcPr>
            <w:tcW w:w="2180" w:type="dxa"/>
            <w:vAlign w:val="bottom"/>
          </w:tcPr>
          <w:p>
            <w:pPr>
              <w:ind w:left="300"/>
              <w:spacing w:after="0"/>
              <w:rPr>
                <w:sz w:val="20"/>
                <w:szCs w:val="20"/>
                <w:color w:val="auto"/>
              </w:rPr>
            </w:pPr>
            <w:r>
              <w:rPr>
                <w:rFonts w:ascii="Courier New" w:cs="Courier New" w:eastAsia="Courier New" w:hAnsi="Courier New"/>
                <w:sz w:val="16"/>
                <w:szCs w:val="16"/>
                <w:color w:val="auto"/>
              </w:rPr>
              <w:t>18,175</w:t>
            </w:r>
          </w:p>
        </w:tc>
      </w:tr>
      <w:tr>
        <w:trPr>
          <w:trHeight w:val="183"/>
        </w:trPr>
        <w:tc>
          <w:tcPr>
            <w:tcW w:w="680" w:type="dxa"/>
            <w:vAlign w:val="bottom"/>
          </w:tcPr>
          <w:p>
            <w:pPr>
              <w:spacing w:after="0"/>
              <w:rPr>
                <w:sz w:val="15"/>
                <w:szCs w:val="15"/>
                <w:color w:val="auto"/>
              </w:rPr>
            </w:pPr>
          </w:p>
        </w:tc>
        <w:tc>
          <w:tcPr>
            <w:tcW w:w="22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0</w:t>
            </w:r>
          </w:p>
        </w:tc>
        <w:tc>
          <w:tcPr>
            <w:tcW w:w="230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0</w:t>
            </w:r>
          </w:p>
        </w:tc>
        <w:tc>
          <w:tcPr>
            <w:tcW w:w="2280" w:type="dxa"/>
            <w:vAlign w:val="bottom"/>
          </w:tcPr>
          <w:p>
            <w:pPr>
              <w:ind w:left="1240"/>
              <w:spacing w:after="0"/>
              <w:rPr>
                <w:sz w:val="20"/>
                <w:szCs w:val="20"/>
                <w:color w:val="auto"/>
              </w:rPr>
            </w:pPr>
            <w:r>
              <w:rPr>
                <w:rFonts w:ascii="Courier New" w:cs="Courier New" w:eastAsia="Courier New" w:hAnsi="Courier New"/>
                <w:sz w:val="16"/>
                <w:szCs w:val="16"/>
                <w:color w:val="auto"/>
              </w:rPr>
              <w:t>0</w:t>
            </w:r>
          </w:p>
        </w:tc>
        <w:tc>
          <w:tcPr>
            <w:tcW w:w="2180" w:type="dxa"/>
            <w:vAlign w:val="bottom"/>
          </w:tcPr>
          <w:p>
            <w:pPr>
              <w:ind w:left="1240"/>
              <w:spacing w:after="0"/>
              <w:rPr>
                <w:sz w:val="20"/>
                <w:szCs w:val="20"/>
                <w:color w:val="auto"/>
              </w:rPr>
            </w:pPr>
            <w:r>
              <w:rPr>
                <w:rFonts w:ascii="Courier New" w:cs="Courier New" w:eastAsia="Courier New" w:hAnsi="Courier New"/>
                <w:sz w:val="16"/>
                <w:szCs w:val="16"/>
                <w:color w:val="auto"/>
              </w:rPr>
              <w:t>0</w:t>
            </w:r>
          </w:p>
        </w:tc>
      </w:tr>
      <w:tr>
        <w:trPr>
          <w:trHeight w:val="183"/>
        </w:trPr>
        <w:tc>
          <w:tcPr>
            <w:tcW w:w="680" w:type="dxa"/>
            <w:vAlign w:val="bottom"/>
          </w:tcPr>
          <w:p>
            <w:pPr>
              <w:spacing w:after="0"/>
              <w:rPr>
                <w:sz w:val="15"/>
                <w:szCs w:val="15"/>
                <w:color w:val="auto"/>
              </w:rPr>
            </w:pPr>
          </w:p>
        </w:tc>
        <w:tc>
          <w:tcPr>
            <w:tcW w:w="2280" w:type="dxa"/>
            <w:vAlign w:val="bottom"/>
          </w:tcPr>
          <w:p>
            <w:pPr>
              <w:ind w:left="1140"/>
              <w:spacing w:after="0"/>
              <w:rPr>
                <w:sz w:val="20"/>
                <w:szCs w:val="20"/>
                <w:color w:val="auto"/>
              </w:rPr>
            </w:pPr>
            <w:r>
              <w:rPr>
                <w:rFonts w:ascii="Courier New" w:cs="Courier New" w:eastAsia="Courier New" w:hAnsi="Courier New"/>
                <w:sz w:val="16"/>
                <w:szCs w:val="16"/>
                <w:color w:val="auto"/>
              </w:rPr>
              <w:t>0</w:t>
            </w:r>
          </w:p>
        </w:tc>
        <w:tc>
          <w:tcPr>
            <w:tcW w:w="2300" w:type="dxa"/>
            <w:vAlign w:val="bottom"/>
          </w:tcPr>
          <w:p>
            <w:pPr>
              <w:ind w:left="1160"/>
              <w:spacing w:after="0"/>
              <w:rPr>
                <w:sz w:val="20"/>
                <w:szCs w:val="20"/>
                <w:color w:val="auto"/>
              </w:rPr>
            </w:pPr>
            <w:r>
              <w:rPr>
                <w:rFonts w:ascii="Courier New" w:cs="Courier New" w:eastAsia="Courier New" w:hAnsi="Courier New"/>
                <w:sz w:val="16"/>
                <w:szCs w:val="16"/>
                <w:color w:val="auto"/>
              </w:rPr>
              <w:t>0</w:t>
            </w:r>
          </w:p>
        </w:tc>
        <w:tc>
          <w:tcPr>
            <w:tcW w:w="2280" w:type="dxa"/>
            <w:vAlign w:val="bottom"/>
          </w:tcPr>
          <w:p>
            <w:pPr>
              <w:ind w:left="1140"/>
              <w:spacing w:after="0"/>
              <w:rPr>
                <w:sz w:val="20"/>
                <w:szCs w:val="20"/>
                <w:color w:val="auto"/>
              </w:rPr>
            </w:pPr>
            <w:r>
              <w:rPr>
                <w:rFonts w:ascii="Courier New" w:cs="Courier New" w:eastAsia="Courier New" w:hAnsi="Courier New"/>
                <w:sz w:val="16"/>
                <w:szCs w:val="16"/>
                <w:color w:val="auto"/>
              </w:rPr>
              <w:t>0</w:t>
            </w:r>
          </w:p>
        </w:tc>
        <w:tc>
          <w:tcPr>
            <w:tcW w:w="2180" w:type="dxa"/>
            <w:vAlign w:val="bottom"/>
          </w:tcPr>
          <w:p>
            <w:pPr>
              <w:ind w:left="1140"/>
              <w:spacing w:after="0"/>
              <w:rPr>
                <w:sz w:val="20"/>
                <w:szCs w:val="20"/>
                <w:color w:val="auto"/>
              </w:rPr>
            </w:pPr>
            <w:r>
              <w:rPr>
                <w:rFonts w:ascii="Courier New" w:cs="Courier New" w:eastAsia="Courier New" w:hAnsi="Courier New"/>
                <w:sz w:val="16"/>
                <w:szCs w:val="16"/>
                <w:color w:val="auto"/>
              </w:rPr>
              <w:t>0</w:t>
            </w:r>
          </w:p>
        </w:tc>
      </w:tr>
      <w:tr>
        <w:trPr>
          <w:trHeight w:val="183"/>
        </w:trPr>
        <w:tc>
          <w:tcPr>
            <w:tcW w:w="680" w:type="dxa"/>
            <w:vAlign w:val="bottom"/>
          </w:tcPr>
          <w:p>
            <w:pPr>
              <w:spacing w:after="0"/>
              <w:rPr>
                <w:sz w:val="15"/>
                <w:szCs w:val="15"/>
                <w:color w:val="auto"/>
              </w:rPr>
            </w:pPr>
          </w:p>
        </w:tc>
        <w:tc>
          <w:tcPr>
            <w:tcW w:w="2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w:t>
            </w:r>
          </w:p>
        </w:tc>
        <w:tc>
          <w:tcPr>
            <w:tcW w:w="2300" w:type="dxa"/>
            <w:vAlign w:val="bottom"/>
          </w:tcPr>
          <w:p>
            <w:pPr>
              <w:ind w:left="1720"/>
              <w:spacing w:after="0"/>
              <w:rPr>
                <w:sz w:val="20"/>
                <w:szCs w:val="20"/>
                <w:color w:val="auto"/>
              </w:rPr>
            </w:pPr>
            <w:r>
              <w:rPr>
                <w:rFonts w:ascii="Courier New" w:cs="Courier New" w:eastAsia="Courier New" w:hAnsi="Courier New"/>
                <w:sz w:val="16"/>
                <w:szCs w:val="16"/>
                <w:color w:val="auto"/>
              </w:rPr>
              <w:t>0</w:t>
            </w:r>
          </w:p>
        </w:tc>
        <w:tc>
          <w:tcPr>
            <w:tcW w:w="2280" w:type="dxa"/>
            <w:vAlign w:val="bottom"/>
          </w:tcPr>
          <w:p>
            <w:pPr>
              <w:ind w:left="1720"/>
              <w:spacing w:after="0"/>
              <w:rPr>
                <w:sz w:val="20"/>
                <w:szCs w:val="20"/>
                <w:color w:val="auto"/>
              </w:rPr>
            </w:pPr>
            <w:r>
              <w:rPr>
                <w:rFonts w:ascii="Courier New" w:cs="Courier New" w:eastAsia="Courier New" w:hAnsi="Courier New"/>
                <w:sz w:val="16"/>
                <w:szCs w:val="16"/>
                <w:color w:val="auto"/>
              </w:rPr>
              <w:t>0</w:t>
            </w:r>
          </w:p>
        </w:tc>
        <w:tc>
          <w:tcPr>
            <w:tcW w:w="2180" w:type="dxa"/>
            <w:vAlign w:val="bottom"/>
          </w:tcPr>
          <w:p>
            <w:pPr>
              <w:ind w:left="1720"/>
              <w:spacing w:after="0"/>
              <w:rPr>
                <w:sz w:val="20"/>
                <w:szCs w:val="20"/>
                <w:color w:val="auto"/>
              </w:rPr>
            </w:pPr>
            <w:r>
              <w:rPr>
                <w:rFonts w:ascii="Courier New" w:cs="Courier New" w:eastAsia="Courier New" w:hAnsi="Courier New"/>
                <w:sz w:val="16"/>
                <w:szCs w:val="16"/>
                <w:color w:val="auto"/>
              </w:rPr>
              <w:t>0</w:t>
            </w:r>
          </w:p>
        </w:tc>
      </w:tr>
      <w:tr>
        <w:trPr>
          <w:trHeight w:val="183"/>
        </w:trPr>
        <w:tc>
          <w:tcPr>
            <w:tcW w:w="680" w:type="dxa"/>
            <w:vAlign w:val="bottom"/>
          </w:tcPr>
          <w:p>
            <w:pPr>
              <w:spacing w:after="0"/>
              <w:rPr>
                <w:sz w:val="15"/>
                <w:szCs w:val="15"/>
                <w:color w:val="auto"/>
              </w:rPr>
            </w:pPr>
          </w:p>
        </w:tc>
        <w:tc>
          <w:tcPr>
            <w:tcW w:w="22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27,239</w:t>
            </w:r>
          </w:p>
        </w:tc>
        <w:tc>
          <w:tcPr>
            <w:tcW w:w="2300" w:type="dxa"/>
            <w:vAlign w:val="bottom"/>
          </w:tcPr>
          <w:p>
            <w:pPr>
              <w:ind w:left="1060"/>
              <w:spacing w:after="0"/>
              <w:rPr>
                <w:sz w:val="20"/>
                <w:szCs w:val="20"/>
                <w:color w:val="auto"/>
              </w:rPr>
            </w:pPr>
            <w:r>
              <w:rPr>
                <w:rFonts w:ascii="Courier New" w:cs="Courier New" w:eastAsia="Courier New" w:hAnsi="Courier New"/>
                <w:sz w:val="16"/>
                <w:szCs w:val="16"/>
                <w:color w:val="auto"/>
              </w:rPr>
              <w:t>4,840</w:t>
            </w:r>
          </w:p>
        </w:tc>
        <w:tc>
          <w:tcPr>
            <w:tcW w:w="22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10,689</w:t>
            </w:r>
          </w:p>
        </w:tc>
        <w:tc>
          <w:tcPr>
            <w:tcW w:w="218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18,175</w:t>
            </w:r>
          </w:p>
        </w:tc>
      </w:tr>
      <w:tr>
        <w:trPr>
          <w:trHeight w:val="183"/>
        </w:trPr>
        <w:tc>
          <w:tcPr>
            <w:tcW w:w="680" w:type="dxa"/>
            <w:vAlign w:val="bottom"/>
          </w:tcPr>
          <w:p>
            <w:pPr>
              <w:spacing w:after="0"/>
              <w:rPr>
                <w:sz w:val="15"/>
                <w:szCs w:val="15"/>
                <w:color w:val="auto"/>
              </w:rPr>
            </w:pPr>
          </w:p>
        </w:tc>
        <w:tc>
          <w:tcPr>
            <w:tcW w:w="2280" w:type="dxa"/>
            <w:vAlign w:val="bottom"/>
          </w:tcPr>
          <w:p>
            <w:pPr>
              <w:ind w:left="1040"/>
              <w:spacing w:after="0"/>
              <w:rPr>
                <w:sz w:val="20"/>
                <w:szCs w:val="20"/>
                <w:color w:val="auto"/>
              </w:rPr>
            </w:pPr>
            <w:r>
              <w:rPr>
                <w:rFonts w:ascii="Courier New" w:cs="Courier New" w:eastAsia="Courier New" w:hAnsi="Courier New"/>
                <w:sz w:val="16"/>
                <w:szCs w:val="16"/>
                <w:color w:val="auto"/>
              </w:rPr>
              <w:t>1.33</w:t>
            </w:r>
          </w:p>
        </w:tc>
        <w:tc>
          <w:tcPr>
            <w:tcW w:w="2300" w:type="dxa"/>
            <w:vAlign w:val="bottom"/>
          </w:tcPr>
          <w:p>
            <w:pPr>
              <w:ind w:left="1060"/>
              <w:spacing w:after="0"/>
              <w:rPr>
                <w:sz w:val="20"/>
                <w:szCs w:val="20"/>
                <w:color w:val="auto"/>
              </w:rPr>
            </w:pPr>
            <w:r>
              <w:rPr>
                <w:rFonts w:ascii="Courier New" w:cs="Courier New" w:eastAsia="Courier New" w:hAnsi="Courier New"/>
                <w:sz w:val="16"/>
                <w:szCs w:val="16"/>
                <w:color w:val="auto"/>
              </w:rPr>
              <w:t>0.24</w:t>
            </w:r>
          </w:p>
        </w:tc>
        <w:tc>
          <w:tcPr>
            <w:tcW w:w="2280" w:type="dxa"/>
            <w:vAlign w:val="bottom"/>
          </w:tcPr>
          <w:p>
            <w:pPr>
              <w:ind w:left="1040"/>
              <w:spacing w:after="0"/>
              <w:rPr>
                <w:sz w:val="20"/>
                <w:szCs w:val="20"/>
                <w:color w:val="auto"/>
              </w:rPr>
            </w:pPr>
            <w:r>
              <w:rPr>
                <w:rFonts w:ascii="Courier New" w:cs="Courier New" w:eastAsia="Courier New" w:hAnsi="Courier New"/>
                <w:sz w:val="16"/>
                <w:szCs w:val="16"/>
                <w:color w:val="auto"/>
              </w:rPr>
              <w:t>0.52</w:t>
            </w:r>
          </w:p>
        </w:tc>
        <w:tc>
          <w:tcPr>
            <w:tcW w:w="2180" w:type="dxa"/>
            <w:vAlign w:val="bottom"/>
          </w:tcPr>
          <w:p>
            <w:pPr>
              <w:ind w:left="1060"/>
              <w:spacing w:after="0"/>
              <w:rPr>
                <w:sz w:val="20"/>
                <w:szCs w:val="20"/>
                <w:color w:val="auto"/>
              </w:rPr>
            </w:pPr>
            <w:r>
              <w:rPr>
                <w:rFonts w:ascii="Courier New" w:cs="Courier New" w:eastAsia="Courier New" w:hAnsi="Courier New"/>
                <w:sz w:val="16"/>
                <w:szCs w:val="16"/>
                <w:color w:val="auto"/>
              </w:rPr>
              <w:t>0.89</w:t>
            </w:r>
          </w:p>
        </w:tc>
      </w:tr>
      <w:tr>
        <w:trPr>
          <w:trHeight w:val="183"/>
        </w:trPr>
        <w:tc>
          <w:tcPr>
            <w:tcW w:w="680" w:type="dxa"/>
            <w:vAlign w:val="bottom"/>
          </w:tcPr>
          <w:p>
            <w:pPr>
              <w:spacing w:after="0"/>
              <w:rPr>
                <w:sz w:val="15"/>
                <w:szCs w:val="15"/>
                <w:color w:val="auto"/>
              </w:rPr>
            </w:pPr>
          </w:p>
        </w:tc>
        <w:tc>
          <w:tcPr>
            <w:tcW w:w="2280" w:type="dxa"/>
            <w:vAlign w:val="bottom"/>
          </w:tcPr>
          <w:p>
            <w:pPr>
              <w:ind w:left="1040"/>
              <w:spacing w:after="0"/>
              <w:rPr>
                <w:sz w:val="20"/>
                <w:szCs w:val="20"/>
                <w:color w:val="auto"/>
              </w:rPr>
            </w:pPr>
            <w:r>
              <w:rPr>
                <w:rFonts w:ascii="Courier New" w:cs="Courier New" w:eastAsia="Courier New" w:hAnsi="Courier New"/>
                <w:sz w:val="16"/>
                <w:szCs w:val="16"/>
                <w:color w:val="auto"/>
              </w:rPr>
              <w:t>1.22</w:t>
            </w:r>
          </w:p>
        </w:tc>
        <w:tc>
          <w:tcPr>
            <w:tcW w:w="2300" w:type="dxa"/>
            <w:vAlign w:val="bottom"/>
          </w:tcPr>
          <w:p>
            <w:pPr>
              <w:ind w:left="1060"/>
              <w:spacing w:after="0"/>
              <w:rPr>
                <w:sz w:val="20"/>
                <w:szCs w:val="20"/>
                <w:color w:val="auto"/>
              </w:rPr>
            </w:pPr>
            <w:r>
              <w:rPr>
                <w:rFonts w:ascii="Courier New" w:cs="Courier New" w:eastAsia="Courier New" w:hAnsi="Courier New"/>
                <w:sz w:val="16"/>
                <w:szCs w:val="16"/>
                <w:color w:val="auto"/>
              </w:rPr>
              <w:t>0.22</w:t>
            </w:r>
          </w:p>
        </w:tc>
        <w:tc>
          <w:tcPr>
            <w:tcW w:w="2280" w:type="dxa"/>
            <w:vAlign w:val="bottom"/>
          </w:tcPr>
          <w:p>
            <w:pPr>
              <w:ind w:left="1040"/>
              <w:spacing w:after="0"/>
              <w:rPr>
                <w:sz w:val="20"/>
                <w:szCs w:val="20"/>
                <w:color w:val="auto"/>
              </w:rPr>
            </w:pPr>
            <w:r>
              <w:rPr>
                <w:rFonts w:ascii="Courier New" w:cs="Courier New" w:eastAsia="Courier New" w:hAnsi="Courier New"/>
                <w:sz w:val="16"/>
                <w:szCs w:val="16"/>
                <w:color w:val="auto"/>
              </w:rPr>
              <w:t>0.48</w:t>
            </w:r>
          </w:p>
        </w:tc>
        <w:tc>
          <w:tcPr>
            <w:tcW w:w="2180" w:type="dxa"/>
            <w:vAlign w:val="bottom"/>
          </w:tcPr>
          <w:p>
            <w:pPr>
              <w:ind w:left="1060"/>
              <w:spacing w:after="0"/>
              <w:rPr>
                <w:sz w:val="20"/>
                <w:szCs w:val="20"/>
                <w:color w:val="auto"/>
              </w:rPr>
            </w:pPr>
            <w:r>
              <w:rPr>
                <w:rFonts w:ascii="Courier New" w:cs="Courier New" w:eastAsia="Courier New" w:hAnsi="Courier New"/>
                <w:sz w:val="16"/>
                <w:szCs w:val="16"/>
                <w:color w:val="auto"/>
              </w:rPr>
              <w:t>0.82</w:t>
            </w:r>
          </w:p>
        </w:tc>
      </w:tr>
    </w:tbl>
    <w:p>
      <w:pPr>
        <w:sectPr>
          <w:pgSz w:w="11900" w:h="16838" w:orient="portrait"/>
          <w:cols w:equalWidth="0" w:num="1">
            <w:col w:w="11420"/>
          </w:cols>
          <w:pgMar w:left="340" w:top="139" w:right="139" w:bottom="1440" w:gutter="0" w:footer="0" w:header="0"/>
        </w:sectPr>
      </w:pPr>
    </w:p>
    <w:bookmarkStart w:id="24" w:name="page25"/>
    <w:bookmarkEnd w:id="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36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YEAR</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OCT-31-1996</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OCT-31-1996</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1,567</w:t>
      </w: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183,716</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4,442</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16,492</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233,755</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62,601</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40,031</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379,770</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113,798</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6,400</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195</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164,098</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379,770</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1,086,925</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1,086,925</w:t>
      </w:r>
    </w:p>
    <w:p>
      <w:pPr>
        <w:spacing w:after="0" w:line="2"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6"/>
          <w:szCs w:val="16"/>
          <w:color w:val="auto"/>
        </w:rPr>
        <w:t>940,296</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940,296</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2,039</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2,581</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38,105</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16,385</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21,720</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21,720</w:t>
      </w:r>
    </w:p>
    <w:p>
      <w:pPr>
        <w:spacing w:after="0" w:line="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1.11</w:t>
      </w:r>
    </w:p>
    <w:p>
      <w:pPr>
        <w:spacing w:after="0" w:line="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1.05</w:t>
      </w:r>
    </w:p>
    <w:sectPr>
      <w:pgSz w:w="11900" w:h="16838" w:orient="portrait"/>
      <w:cols w:equalWidth="0" w:num="1">
        <w:col w:w="10119"/>
      </w:cols>
      <w:pgMar w:left="3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2"/>
    </w:lvl>
  </w:abstractNum>
  <w:abstractNum w:abstractNumId="9">
    <w:nsid w:val="1F16E9E8"/>
    <w:multiLevelType w:val="hybridMultilevel"/>
    <w:lvl w:ilvl="0">
      <w:lvlJc w:val="left"/>
      <w:lvlText w:val="(%1)"/>
      <w:numFmt w:val="decimal"/>
      <w:start w:val="10"/>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2019-12-13T15:34:59Z</dcterms:created>
  <dcterms:modified xsi:type="dcterms:W3CDTF">2019-12-13T15:34:59Z</dcterms:modified>
</cp:coreProperties>
</file>