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color w:val="auto"/>
        </w:rPr>
        <w:t>OMB APPROVAL</w:t>
      </w:r>
    </w:p>
    <w:p>
      <w:pPr>
        <w:ind w:left="528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5280" w:type="dxa"/>
        <w:tblCellMar>
          <w:top w:w="0" w:type="dxa"/>
          <w:left w:w="0" w:type="dxa"/>
          <w:bottom w:w="0" w:type="dxa"/>
          <w:right w:w="0" w:type="dxa"/>
        </w:tblCellMar>
      </w:tblP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68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31,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Estimated average burden</w:t>
            </w:r>
          </w:p>
        </w:tc>
        <w:tc>
          <w:tcPr>
            <w:tcW w:w="540" w:type="dxa"/>
            <w:vAlign w:val="bottom"/>
          </w:tcPr>
          <w:p>
            <w:pPr>
              <w:spacing w:after="0"/>
              <w:rPr>
                <w:sz w:val="17"/>
                <w:szCs w:val="17"/>
                <w:color w:val="auto"/>
              </w:rPr>
            </w:pPr>
          </w:p>
        </w:tc>
      </w:tr>
      <w:tr>
        <w:trPr>
          <w:trHeight w:val="203"/>
        </w:trPr>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hours per response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14.90</w:t>
            </w:r>
          </w:p>
        </w:tc>
      </w:tr>
    </w:tbl>
    <w:p>
      <w:pPr>
        <w:ind w:left="5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ABM</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000957100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1998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2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w:t>
            </w:r>
          </w:p>
        </w:tc>
        <w:tc>
          <w:tcPr>
            <w:tcW w:w="1260" w:type="dxa"/>
            <w:vAlign w:val="bottom"/>
          </w:tcPr>
          <w:p>
            <w:pPr>
              <w:spacing w:after="0"/>
              <w:rPr>
                <w:sz w:val="17"/>
                <w:szCs w:val="17"/>
                <w:color w:val="auto"/>
              </w:rPr>
            </w:pPr>
          </w:p>
        </w:tc>
      </w:tr>
      <w:tr>
        <w:trPr>
          <w:trHeight w:val="203"/>
        </w:trPr>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CUSIP No.</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000957100</w:t>
            </w:r>
          </w:p>
        </w:tc>
      </w:tr>
    </w:tbl>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0"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20"/>
                <w:szCs w:val="20"/>
                <w:color w:val="auto"/>
              </w:rPr>
            </w:pPr>
            <w:r>
              <w:rPr>
                <w:rFonts w:ascii="Courier New" w:cs="Courier New" w:eastAsia="Courier New" w:hAnsi="Courier New"/>
                <w:sz w:val="18"/>
                <w:szCs w:val="18"/>
                <w:color w:val="auto"/>
              </w:rPr>
              <w:t>GeoCapital, LLC</w:t>
            </w:r>
          </w:p>
        </w:tc>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rPr>
              <w:t>13-396-4629</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(b)</w:t>
      </w:r>
    </w:p>
    <w:p>
      <w:pPr>
        <w:ind w:left="74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0"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64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 None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380" w:type="dxa"/>
            <w:vAlign w:val="bottom"/>
          </w:tcPr>
          <w:p>
            <w:pPr>
              <w:spacing w:after="0"/>
              <w:rPr>
                <w:sz w:val="17"/>
                <w:szCs w:val="17"/>
                <w:color w:val="auto"/>
              </w:rPr>
            </w:pPr>
          </w:p>
        </w:tc>
        <w:tc>
          <w:tcPr>
            <w:tcW w:w="6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6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________________________________________________________________</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6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 None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 w:type="dxa"/>
            <w:vAlign w:val="bottom"/>
          </w:tcPr>
          <w:p>
            <w:pPr>
              <w:spacing w:after="0"/>
              <w:rPr>
                <w:sz w:val="17"/>
                <w:szCs w:val="17"/>
                <w:color w:val="auto"/>
              </w:rPr>
            </w:pPr>
          </w:p>
        </w:tc>
        <w:tc>
          <w:tcPr>
            <w:tcW w:w="6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6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________________________________________________________________</w:t>
            </w:r>
          </w:p>
        </w:tc>
      </w:tr>
    </w:tbl>
    <w:p>
      <w:pPr>
        <w:spacing w:after="0" w:line="201" w:lineRule="exact"/>
        <w:rPr>
          <w:sz w:val="20"/>
          <w:szCs w:val="20"/>
          <w:color w:val="auto"/>
        </w:rPr>
      </w:pPr>
    </w:p>
    <w:p>
      <w:pPr>
        <w:ind w:left="1900" w:hanging="312"/>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1,772,578</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________________________________________________________________</w:t>
      </w:r>
    </w:p>
    <w:p>
      <w:pPr>
        <w:spacing w:after="0" w:line="200" w:lineRule="exact"/>
        <w:rPr>
          <w:sz w:val="20"/>
          <w:szCs w:val="20"/>
          <w:color w:val="auto"/>
        </w:rPr>
      </w:pPr>
    </w:p>
    <w:p>
      <w:pPr>
        <w:ind w:left="1900" w:hanging="312"/>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4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1" w:lineRule="exact"/>
        <w:rPr>
          <w:sz w:val="20"/>
          <w:szCs w:val="20"/>
          <w:color w:val="auto"/>
        </w:rPr>
      </w:pPr>
    </w:p>
    <w:p>
      <w:pPr>
        <w:spacing w:after="0"/>
        <w:tabs>
          <w:tab w:leader="none" w:pos="400" w:val="left"/>
          <w:tab w:leader="none" w:pos="7040" w:val="left"/>
        </w:tabs>
        <w:rPr>
          <w:sz w:val="20"/>
          <w:szCs w:val="20"/>
          <w:color w:val="auto"/>
        </w:rPr>
      </w:pPr>
      <w:r>
        <w:rPr>
          <w:rFonts w:ascii="Courier New" w:cs="Courier New" w:eastAsia="Courier New" w:hAnsi="Courier New"/>
          <w:sz w:val="18"/>
          <w:szCs w:val="18"/>
          <w:color w:val="auto"/>
        </w:rPr>
        <w:t>9.</w:t>
        <w:tab/>
        <w:t>Aggregate Amount Beneficially Owned by Each Reporting Person</w:t>
      </w:r>
      <w:r>
        <w:rPr>
          <w:sz w:val="20"/>
          <w:szCs w:val="20"/>
          <w:color w:val="auto"/>
        </w:rPr>
        <w:tab/>
      </w:r>
      <w:r>
        <w:rPr>
          <w:rFonts w:ascii="Courier New" w:cs="Courier New" w:eastAsia="Courier New" w:hAnsi="Courier New"/>
          <w:sz w:val="16"/>
          <w:szCs w:val="16"/>
          <w:color w:val="auto"/>
        </w:rPr>
        <w:t>1,772,578</w:t>
      </w:r>
    </w:p>
    <w:p>
      <w:pPr>
        <w:ind w:left="6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41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1" w:lineRule="exact"/>
        <w:rPr>
          <w:rFonts w:ascii="Courier New" w:cs="Courier New" w:eastAsia="Courier New" w:hAnsi="Courier New"/>
          <w:sz w:val="18"/>
          <w:szCs w:val="18"/>
          <w:color w:val="auto"/>
        </w:rPr>
      </w:pP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8.29%</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_______________________________________________________________________________</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2 of 6 pages</w:t>
      </w:r>
    </w:p>
    <w:p>
      <w:pPr>
        <w:sectPr>
          <w:pgSz w:w="11900" w:h="16838" w:orient="portrait"/>
          <w:cols w:equalWidth="0" w:num="1">
            <w:col w:w="10219"/>
          </w:cols>
          <w:pgMar w:left="240" w:top="312" w:right="1440" w:bottom="176"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2640"/>
        <w:spacing w:after="0" w:line="238" w:lineRule="auto"/>
        <w:rPr>
          <w:sz w:val="20"/>
          <w:szCs w:val="20"/>
          <w:color w:val="auto"/>
        </w:rPr>
      </w:pPr>
      <w:r>
        <w:rPr>
          <w:rFonts w:ascii="Courier New" w:cs="Courier New" w:eastAsia="Courier New" w:hAnsi="Courier New"/>
          <w:sz w:val="18"/>
          <w:szCs w:val="18"/>
          <w:color w:val="auto"/>
        </w:rPr>
        <w:t>INSTRUCTIONS FOR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7" w:lineRule="exact"/>
        <w:rPr>
          <w:sz w:val="20"/>
          <w:szCs w:val="20"/>
          <w:color w:val="auto"/>
        </w:rPr>
      </w:pPr>
    </w:p>
    <w:p>
      <w:pPr>
        <w:ind w:left="540" w:right="17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and I.R.S. Identification Numbers of Reporting Persons -- Furnish the full legal name of each person for whom the report is filed -- i.e., each person required to sign the schedule itself -- including each member of a group. Do not include the name of a person required to be identified in the report but who is not a reporting person. Reporting persons that are entities are also requested to furnish their I.R.S. identification numbers, although disclosure of such numbers is voluntary, not mandatory (see "SPECIAL INSTRUCTIONS FOR COMPLYING WITH SCHEDULE 13G" below).</w:t>
      </w:r>
    </w:p>
    <w:p>
      <w:pPr>
        <w:spacing w:after="0" w:line="212"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 please check row 2(a). If the reporting person disclaims membership in a group or describes a relationship with other persons but does not affirm the existence of a group, please check row 2(b) [unless a joint filing pursuant to Rule 13d-1(k)(1) in which case it may not be necessary to check row 2(b)].</w:t>
      </w: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 Furnish citizenship if the named reporting person is a natural person. Otherwise, furnish place of organization.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 (11) Aggregate Amount Beneficially Owned By Each Reporting Person, Etc.</w:t>
      </w:r>
    </w:p>
    <w:p>
      <w:pPr>
        <w:spacing w:after="0" w:line="21" w:lineRule="exact"/>
        <w:rPr>
          <w:sz w:val="20"/>
          <w:szCs w:val="20"/>
          <w:color w:val="auto"/>
        </w:rPr>
      </w:pPr>
    </w:p>
    <w:p>
      <w:pPr>
        <w:ind w:left="540" w:right="1779"/>
        <w:spacing w:after="0" w:line="279" w:lineRule="auto"/>
        <w:rPr>
          <w:sz w:val="20"/>
          <w:szCs w:val="20"/>
          <w:color w:val="auto"/>
        </w:rPr>
      </w:pPr>
      <w:r>
        <w:rPr>
          <w:rFonts w:ascii="Courier New" w:cs="Courier New" w:eastAsia="Courier New" w:hAnsi="Courier New"/>
          <w:sz w:val="16"/>
          <w:szCs w:val="16"/>
          <w:color w:val="auto"/>
        </w:rPr>
        <w:t>-- Rows (5) through (9) inclusive, and (11) are to be completed in accordance with the provisions of Item 4 of Schedule 13G. All percentages are to be rounded off to the nearest tenth (one place after decimal point).</w:t>
      </w:r>
    </w:p>
    <w:p>
      <w:pPr>
        <w:spacing w:after="0" w:line="178" w:lineRule="exact"/>
        <w:rPr>
          <w:sz w:val="20"/>
          <w:szCs w:val="20"/>
          <w:color w:val="auto"/>
        </w:rPr>
      </w:pPr>
    </w:p>
    <w:p>
      <w:pPr>
        <w:ind w:left="540" w:right="177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reported as beneficially owned in row (9) does not include shares as to which beneficial ownership is disclaimed pursuant to Rule 13d-4 (17 CFR 240.13d-4) under the Securities Exchange Act of 1934.</w:t>
      </w:r>
    </w:p>
    <w:p>
      <w:pPr>
        <w:spacing w:after="0" w:line="207" w:lineRule="exact"/>
        <w:rPr>
          <w:sz w:val="20"/>
          <w:szCs w:val="20"/>
          <w:color w:val="auto"/>
        </w:rPr>
      </w:pPr>
    </w:p>
    <w:p>
      <w:pPr>
        <w:ind w:left="540" w:right="1779" w:hanging="532"/>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Please classify each "reporting person" according to the following breakdown (see Item 3 of Schedule 13G) and place the appropriate symbol on the form: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Category</w:t>
            </w:r>
          </w:p>
        </w:tc>
        <w:tc>
          <w:tcPr>
            <w:tcW w:w="2000" w:type="dxa"/>
            <w:vAlign w:val="bottom"/>
          </w:tcPr>
          <w:p>
            <w:pPr>
              <w:jc w:val="center"/>
              <w:ind w:left="1272"/>
              <w:spacing w:after="0"/>
              <w:rPr>
                <w:sz w:val="20"/>
                <w:szCs w:val="20"/>
                <w:color w:val="auto"/>
              </w:rPr>
            </w:pPr>
            <w:r>
              <w:rPr>
                <w:rFonts w:ascii="Courier New" w:cs="Courier New" w:eastAsia="Courier New" w:hAnsi="Courier New"/>
                <w:sz w:val="18"/>
                <w:szCs w:val="18"/>
                <w:color w:val="auto"/>
                <w:w w:val="98"/>
              </w:rPr>
              <w:t>Symbol</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Broker Dealer</w:t>
            </w:r>
          </w:p>
        </w:tc>
        <w:tc>
          <w:tcPr>
            <w:tcW w:w="2000" w:type="dxa"/>
            <w:vAlign w:val="bottom"/>
          </w:tcPr>
          <w:p>
            <w:pPr>
              <w:jc w:val="center"/>
              <w:ind w:left="1272"/>
              <w:spacing w:after="0"/>
              <w:rPr>
                <w:sz w:val="20"/>
                <w:szCs w:val="20"/>
                <w:color w:val="auto"/>
              </w:rPr>
            </w:pPr>
            <w:r>
              <w:rPr>
                <w:rFonts w:ascii="Courier New" w:cs="Courier New" w:eastAsia="Courier New" w:hAnsi="Courier New"/>
                <w:sz w:val="18"/>
                <w:szCs w:val="18"/>
                <w:color w:val="auto"/>
                <w:w w:val="92"/>
              </w:rPr>
              <w:t>BD</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Bank</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IC</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Company</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IV</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Adviser</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IA</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 Plan, Pension Fund,</w:t>
            </w:r>
          </w:p>
        </w:tc>
        <w:tc>
          <w:tcPr>
            <w:tcW w:w="200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or Endowment Fund</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EP</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Holding Company/Control Person</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HC</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Savings Association</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SA</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Church Plan</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CP</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CO</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PN</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IN</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OO</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 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w:t>
      </w:r>
    </w:p>
    <w:p>
      <w:pPr>
        <w:sectPr>
          <w:pgSz w:w="11900" w:h="16838" w:orient="portrait"/>
          <w:cols w:equalWidth="0" w:num="1">
            <w:col w:w="10219"/>
          </w:cols>
          <w:pgMar w:left="240" w:top="312" w:right="1440" w:bottom="0" w:gutter="0" w:footer="0" w:header="0"/>
        </w:sectPr>
      </w:pPr>
    </w:p>
    <w:bookmarkStart w:id="3" w:name="page4"/>
    <w:bookmarkEnd w:id="3"/>
    <w:p>
      <w:pPr>
        <w:ind w:right="1999"/>
        <w:spacing w:after="0" w:line="235" w:lineRule="auto"/>
        <w:rPr>
          <w:sz w:val="20"/>
          <w:szCs w:val="20"/>
          <w:color w:val="auto"/>
        </w:rPr>
      </w:pPr>
      <w:r>
        <w:rPr>
          <w:rFonts w:ascii="Courier New" w:cs="Courier New" w:eastAsia="Courier New" w:hAnsi="Courier New"/>
          <w:sz w:val="18"/>
          <w:szCs w:val="18"/>
          <w:color w:val="auto"/>
        </w:rPr>
        <w:t>Commission's regulations and meet existing Securities Exchange Act rules as to such matters as clarity and size (Securities Exchange Act Rule 12b-12).</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6 pages</w:t>
      </w:r>
    </w:p>
    <w:p>
      <w:pPr>
        <w:sectPr>
          <w:pgSz w:w="11900" w:h="16838" w:orient="portrait"/>
          <w:cols w:equalWidth="0" w:num="1">
            <w:col w:w="10219"/>
          </w:cols>
          <w:pgMar w:left="240" w:top="14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utilize it for a variety of purposes, including referral to other governmental authorities or securities self-regulatory organizations for investigatory purposes or in connection with litigation involving the Federal securities laws or other civil, criminal or regulatory statutes or provisions.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I.R.S. identification numbers, may result in civil or criminal action against the persons involved for violation of the Federal securities laws and rules promulgated thereunder.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left="420" w:right="2099" w:hanging="412"/>
        <w:spacing w:after="0" w:line="268"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filed pursuant to Rule 13d-1(b) containing the information required by this schedule shall be filed not later than February 14 following the calendar year covered by the statement or within the time specified in Rules 13d-1(b)(2) and 13d-2(c). Statements filed pursuant to Rule 13d-1(c) shall be filed within the time specified in Rules 13d-1(c),</w:t>
      </w:r>
    </w:p>
    <w:p>
      <w:pPr>
        <w:ind w:left="42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13d-2(b) and 13d-2(d). Statements filed pursuant to Rule 13d-1(d) shall be filed not later than February 14 following the calendar year covered by the statement pursuant to Rules 13d-1(d) and 13d-2(b).</w:t>
      </w:r>
    </w:p>
    <w:p>
      <w:pPr>
        <w:spacing w:after="0" w:line="208" w:lineRule="exact"/>
        <w:rPr>
          <w:rFonts w:ascii="Courier New" w:cs="Courier New" w:eastAsia="Courier New" w:hAnsi="Courier New"/>
          <w:sz w:val="16"/>
          <w:szCs w:val="16"/>
          <w:color w:val="auto"/>
        </w:rPr>
      </w:pPr>
    </w:p>
    <w:p>
      <w:pPr>
        <w:ind w:left="420" w:right="1779"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a form which is required to be filed by rules under section 13(f) (15 U.S.C. 78m(f))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09"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 the negative, so state.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ABM INDS INC</w:t>
      </w:r>
    </w:p>
    <w:p>
      <w:pPr>
        <w:spacing w:after="0" w:line="206"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50 FREMONT STREET - 26TH FL., SAN FRANCISCO, CA 94105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GEOCAPITAL LLC</w:t>
      </w:r>
    </w:p>
    <w:p>
      <w:pPr>
        <w:spacing w:after="0" w:line="206" w:lineRule="exact"/>
        <w:rPr>
          <w:rFonts w:ascii="Courier New" w:cs="Courier New" w:eastAsia="Courier New" w:hAnsi="Courier New"/>
          <w:sz w:val="18"/>
          <w:szCs w:val="18"/>
          <w:color w:val="auto"/>
        </w:rPr>
      </w:pPr>
    </w:p>
    <w:p>
      <w:pPr>
        <w:ind w:left="960" w:right="1999" w:hanging="425"/>
        <w:spacing w:after="0" w:line="235" w:lineRule="auto"/>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767 FIFTH AVENUE, NEW YORK, NY 10153-4590</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000957100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1779" w:hanging="945"/>
        <w:spacing w:after="0" w:line="235" w:lineRule="auto"/>
        <w:tabs>
          <w:tab w:leader="none" w:pos="9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1480" w:right="2099" w:hanging="945"/>
        <w:spacing w:after="0" w:line="235" w:lineRule="auto"/>
        <w:tabs>
          <w:tab w:leader="none" w:pos="9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480" w:right="2099" w:hanging="945"/>
        <w:spacing w:after="0" w:line="235" w:lineRule="auto"/>
        <w:tabs>
          <w:tab w:leader="none" w:pos="9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ectPr>
          <w:pgSz w:w="11900" w:h="16838" w:orient="portrait"/>
          <w:cols w:equalWidth="0" w:num="1">
            <w:col w:w="10219"/>
          </w:cols>
          <w:pgMar w:left="240" w:top="312" w:right="1440" w:bottom="0" w:gutter="0" w:footer="0" w:header="0"/>
        </w:sectPr>
      </w:pPr>
    </w:p>
    <w:bookmarkStart w:id="5" w:name="page6"/>
    <w:bookmarkEnd w:id="5"/>
    <w:p>
      <w:pPr>
        <w:ind w:left="945" w:right="3679" w:hanging="945"/>
        <w:spacing w:after="0" w:line="235" w:lineRule="auto"/>
        <w:tabs>
          <w:tab w:leader="none" w:pos="4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8" w:lineRule="exact"/>
        <w:rPr>
          <w:rFonts w:ascii="Courier New" w:cs="Courier New" w:eastAsia="Courier New" w:hAnsi="Courier New"/>
          <w:sz w:val="18"/>
          <w:szCs w:val="18"/>
          <w:color w:val="auto"/>
        </w:rPr>
      </w:pPr>
    </w:p>
    <w:p>
      <w:pPr>
        <w:ind w:left="945" w:right="2319" w:hanging="945"/>
        <w:spacing w:after="0" w:line="235" w:lineRule="auto"/>
        <w:tabs>
          <w:tab w:leader="none" w:pos="4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945" w:right="2319" w:hanging="945"/>
        <w:spacing w:after="0" w:line="235" w:lineRule="auto"/>
        <w:tabs>
          <w:tab w:leader="none" w:pos="4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240.13d-1(b)(ii)(G);</w:t>
      </w:r>
    </w:p>
    <w:p>
      <w:pPr>
        <w:spacing w:after="0" w:line="208" w:lineRule="exact"/>
        <w:rPr>
          <w:rFonts w:ascii="Courier New" w:cs="Courier New" w:eastAsia="Courier New" w:hAnsi="Courier New"/>
          <w:sz w:val="18"/>
          <w:szCs w:val="18"/>
          <w:color w:val="auto"/>
        </w:rPr>
      </w:pPr>
    </w:p>
    <w:p>
      <w:pPr>
        <w:ind w:left="945" w:right="2099" w:hanging="945"/>
        <w:spacing w:after="0" w:line="235" w:lineRule="auto"/>
        <w:tabs>
          <w:tab w:leader="none" w:pos="4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945" w:right="2519" w:hanging="945"/>
        <w:spacing w:after="0" w:line="236" w:lineRule="auto"/>
        <w:tabs>
          <w:tab w:leader="none" w:pos="4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0" w:lineRule="exact"/>
        <w:rPr>
          <w:sz w:val="20"/>
          <w:szCs w:val="20"/>
          <w:color w:val="auto"/>
        </w:rPr>
      </w:pPr>
    </w:p>
    <w:p>
      <w:pPr>
        <w:spacing w:after="0" w:line="206" w:lineRule="exact"/>
        <w:rPr>
          <w:sz w:val="20"/>
          <w:szCs w:val="20"/>
          <w:color w:val="auto"/>
        </w:rPr>
      </w:pPr>
    </w:p>
    <w:p>
      <w:pPr>
        <w:ind w:left="2745"/>
        <w:spacing w:after="0"/>
        <w:rPr>
          <w:sz w:val="20"/>
          <w:szCs w:val="20"/>
          <w:color w:val="auto"/>
        </w:rPr>
      </w:pPr>
      <w:r>
        <w:rPr>
          <w:rFonts w:ascii="Courier New" w:cs="Courier New" w:eastAsia="Courier New" w:hAnsi="Courier New"/>
          <w:sz w:val="18"/>
          <w:szCs w:val="18"/>
          <w:color w:val="auto"/>
        </w:rPr>
        <w:t>Page 4 of 6 pages</w:t>
      </w:r>
    </w:p>
    <w:p>
      <w:pPr>
        <w:sectPr>
          <w:pgSz w:w="11900" w:h="16838" w:orient="portrait"/>
          <w:cols w:equalWidth="0" w:num="1">
            <w:col w:w="9684"/>
          </w:cols>
          <w:pgMar w:left="775" w:top="14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5</w:t>
      </w:r>
    </w:p>
    <w:p>
      <w:pPr>
        <w:ind w:left="960" w:hanging="425"/>
        <w:spacing w:after="0" w:line="238"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960" w:hanging="425"/>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1,772,578.</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8.29%.</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1,772,578.</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Section 240.13d-3(d)(1).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a group has filed this schedule pursuant to Section</w:t>
      </w:r>
    </w:p>
    <w:p>
      <w:pPr>
        <w:spacing w:after="0" w:line="238" w:lineRule="auto"/>
        <w:rPr>
          <w:sz w:val="20"/>
          <w:szCs w:val="20"/>
          <w:color w:val="auto"/>
        </w:rPr>
      </w:pPr>
      <w:r>
        <w:rPr>
          <w:rFonts w:ascii="Courier New" w:cs="Courier New" w:eastAsia="Courier New" w:hAnsi="Courier New"/>
          <w:sz w:val="18"/>
          <w:szCs w:val="18"/>
          <w:color w:val="auto"/>
        </w:rPr>
        <w:t>240.13d-1(b)(1)(ii)(J), so indicate under Item 3(j) and attach an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stating the identity and Item 3 classification of each member of the group. If a</w:t>
      </w:r>
    </w:p>
    <w:p>
      <w:pPr>
        <w:spacing w:after="0" w:line="21"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group has filed this schedule pursuant to Section 240.13d-1(c) or Section 240.13d-1(d), attach an exhibit stating the identity of each member of the group.</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779" w:firstLine="535"/>
        <w:spacing w:after="0" w:line="235"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5 of 6 pages</w:t>
      </w:r>
    </w:p>
    <w:p>
      <w:pPr>
        <w:sectPr>
          <w:pgSz w:w="11900" w:h="16838" w:orient="portrait"/>
          <w:cols w:equalWidth="0" w:num="1">
            <w:col w:w="10219"/>
          </w:cols>
          <w:pgMar w:left="240" w:top="312" w:right="1440" w:bottom="379"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sz w:val="20"/>
          <w:szCs w:val="20"/>
          <w:color w:val="auto"/>
        </w:rPr>
      </w:pPr>
    </w:p>
    <w:p>
      <w:pPr>
        <w:ind w:right="2199" w:firstLine="8"/>
        <w:spacing w:after="0" w:line="235"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January 27, 1999</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Irwin Lieber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9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220"/>
        <w:spacing w:after="0"/>
        <w:tabs>
          <w:tab w:leader="none" w:pos="6720" w:val="left"/>
        </w:tabs>
        <w:rPr>
          <w:sz w:val="20"/>
          <w:szCs w:val="20"/>
          <w:color w:val="auto"/>
        </w:rPr>
      </w:pPr>
      <w:r>
        <w:rPr>
          <w:rFonts w:ascii="Courier New" w:cs="Courier New" w:eastAsia="Courier New" w:hAnsi="Courier New"/>
          <w:sz w:val="18"/>
          <w:szCs w:val="18"/>
          <w:color w:val="auto"/>
        </w:rPr>
        <w:t>Irwin Lieber</w:t>
      </w:r>
      <w:r>
        <w:rPr>
          <w:sz w:val="20"/>
          <w:szCs w:val="20"/>
          <w:color w:val="auto"/>
        </w:rPr>
        <w:tab/>
      </w:r>
      <w:r>
        <w:rPr>
          <w:rFonts w:ascii="Courier New" w:cs="Courier New" w:eastAsia="Courier New" w:hAnsi="Courier New"/>
          <w:sz w:val="16"/>
          <w:szCs w:val="16"/>
          <w:color w:val="auto"/>
        </w:rPr>
        <w:t>Chairman &amp; CIO</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w:t>
      </w:r>
    </w:p>
    <w:p>
      <w:pPr>
        <w:jc w:val="center"/>
        <w:ind w:right="1759"/>
        <w:spacing w:after="0" w:line="238" w:lineRule="auto"/>
        <w:rPr>
          <w:sz w:val="20"/>
          <w:szCs w:val="20"/>
          <w:color w:val="auto"/>
        </w:rPr>
      </w:pPr>
      <w:r>
        <w:rPr>
          <w:rFonts w:ascii="Courier New" w:cs="Courier New" w:eastAsia="Courier New" w:hAnsi="Courier New"/>
          <w:sz w:val="18"/>
          <w:szCs w:val="18"/>
          <w:color w:val="auto"/>
        </w:rPr>
        <w:t>CRIMINAL VIOLATIONS (SEE 18 U.S.C. 1001)</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6 pages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0"/>
    </w:lvl>
  </w:abstractNum>
  <w:abstractNum w:abstractNumId="14">
    <w:nsid w:val="257130A3"/>
    <w:multiLevelType w:val="hybridMultilevel"/>
    <w:lvl w:ilvl="0">
      <w:lvlJc w:val="left"/>
      <w:lvlText w:val="(%1)"/>
      <w:numFmt w:val="decimal"/>
      <w:start w:val="12"/>
    </w:lvl>
  </w:abstractNum>
  <w:abstractNum w:abstractNumId="15">
    <w:nsid w:val="62BBD95A"/>
    <w:multiLevelType w:val="hybridMultilevel"/>
    <w:lvl w:ilvl="0">
      <w:lvlJc w:val="left"/>
      <w:lvlText w:val="%1."/>
      <w:numFmt w:val="upp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5"/>
    </w:lvl>
  </w:abstractNum>
  <w:abstractNum w:abstractNumId="20">
    <w:nsid w:val="2443A858"/>
    <w:multiLevelType w:val="hybridMultilevel"/>
    <w:lvl w:ilvl="0">
      <w:lvlJc w:val="left"/>
      <w:lvlText w:val="(%1)"/>
      <w:numFmt w:val="lowerLetter"/>
      <w:start w:val="10"/>
    </w:lvl>
  </w:abstractNum>
  <w:abstractNum w:abstractNumId="21">
    <w:nsid w:val="2D1D5AE9"/>
    <w:multiLevelType w:val="hybridMultilevel"/>
    <w:lvl w:ilvl="0">
      <w:lvlJc w:val="left"/>
      <w:lvlText w:val="(%1)"/>
      <w:numFmt w:val="lowerLetter"/>
      <w:start w:val="1"/>
    </w:lvl>
    <w:lvl w:ilvl="1">
      <w:lvlJc w:val="left"/>
      <w:lvlText w:val="(%2)"/>
      <w:numFmt w:val="lowerRoman"/>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2019-12-13T15:34:27Z</dcterms:created>
  <dcterms:modified xsi:type="dcterms:W3CDTF">2019-12-13T15:34:27Z</dcterms:modified>
</cp:coreProperties>
</file>