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EVP &amp; Chief Operating Officer</w:t>
      </w:r>
    </w:p>
    <w:p>
      <w:pPr>
        <w:spacing w:after="0" w:line="406" w:lineRule="exact"/>
        <w:rPr>
          <w:sz w:val="24"/>
          <w:szCs w:val="24"/>
          <w:color w:val="auto"/>
        </w:rPr>
      </w:pPr>
    </w:p>
    <w:p>
      <w:pPr>
        <w:sectPr>
          <w:pgSz w:w="11900" w:h="16838" w:orient="portrait"/>
          <w:cols w:equalWidth="0" w:num="3">
            <w:col w:w="3360" w:space="720"/>
            <w:col w:w="3400" w:space="5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06/14/2018</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3,342</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19.09</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8"/>
                <w:szCs w:val="18"/>
                <w:color w:val="0000FF"/>
              </w:rPr>
              <w:t>62,186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06/14/2018</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3,342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30.8968</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58,844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19.09</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06/14/2018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6"/>
                <w:szCs w:val="16"/>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3,342</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09/13/2018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vMerge w:val="restart"/>
          </w:tcPr>
          <w:p>
            <w:pPr>
              <w:ind w:left="180"/>
              <w:spacing w:after="0"/>
              <w:rPr>
                <w:sz w:val="20"/>
                <w:szCs w:val="20"/>
                <w:color w:val="auto"/>
              </w:rPr>
            </w:pPr>
            <w:r>
              <w:rPr>
                <w:rFonts w:ascii="Arial" w:cs="Arial" w:eastAsia="Arial" w:hAnsi="Arial"/>
                <w:sz w:val="18"/>
                <w:szCs w:val="18"/>
                <w:color w:val="0000FF"/>
              </w:rPr>
              <w:t>3,342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$30.8944 to $30.9050,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28,150 RSUs and DERS relating to the RSUs, adjusted to reflect the cumulative effect of fractional shares, 1,435 performance shares earned but not vested with respect to TSR performance shares granted on 9/8/2015, and DERs related thereto.</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9/13/2012 and 25% on the anniversary date of each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06/15/2018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2019-12-23T21:49:37Z</dcterms:created>
  <dcterms:modified xsi:type="dcterms:W3CDTF">2019-12-23T21:49:37Z</dcterms:modified>
</cp:coreProperties>
</file>