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b w:val="1"/>
          <w:bCs w:val="1"/>
          <w:color w:val="auto"/>
        </w:rPr>
        <w:t>As filed with the Securities and Exchange Commission on March 27, 2025</w:t>
      </w:r>
    </w:p>
    <w:p>
      <w:pPr>
        <w:spacing w:after="0" w:line="4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2085975</wp:posOffset>
            </wp:positionH>
            <wp:positionV relativeFrom="paragraph">
              <wp:posOffset>117475</wp:posOffset>
            </wp:positionV>
            <wp:extent cx="29705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70530" cy="8255"/>
                    </a:xfrm>
                    <a:prstGeom prst="rect">
                      <a:avLst/>
                    </a:prstGeom>
                    <a:noFill/>
                  </pic:spPr>
                </pic:pic>
              </a:graphicData>
            </a:graphic>
          </wp:anchor>
        </w:drawing>
        <w:drawing>
          <wp:anchor simplePos="0" relativeHeight="251657728" behindDoc="1" locked="0" layoutInCell="0" allowOverlap="1">
            <wp:simplePos x="0" y="0"/>
            <wp:positionH relativeFrom="column">
              <wp:posOffset>2085975</wp:posOffset>
            </wp:positionH>
            <wp:positionV relativeFrom="paragraph">
              <wp:posOffset>134620</wp:posOffset>
            </wp:positionV>
            <wp:extent cx="29705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970530" cy="8255"/>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124460</wp:posOffset>
            </wp:positionV>
            <wp:extent cx="16459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45920" cy="8255"/>
                    </a:xfrm>
                    <a:prstGeom prst="rect">
                      <a:avLst/>
                    </a:prstGeom>
                    <a:noFill/>
                  </pic:spPr>
                </pic:pic>
              </a:graphicData>
            </a:graphic>
          </wp:anchor>
        </w:drawing>
      </w:r>
    </w:p>
    <w:p>
      <w:pPr>
        <w:spacing w:after="0" w:line="2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REGISTRATION STATEMENT</w:t>
      </w:r>
    </w:p>
    <w:p>
      <w:pPr>
        <w:jc w:val="center"/>
        <w:spacing w:after="0"/>
        <w:rPr>
          <w:sz w:val="20"/>
          <w:szCs w:val="20"/>
          <w:color w:val="auto"/>
        </w:rPr>
      </w:pPr>
      <w:r>
        <w:rPr>
          <w:rFonts w:ascii="Times New Roman" w:cs="Times New Roman" w:eastAsia="Times New Roman" w:hAnsi="Times New Roman"/>
          <w:sz w:val="22"/>
          <w:szCs w:val="22"/>
          <w:b w:val="1"/>
          <w:bCs w:val="1"/>
          <w:color w:val="auto"/>
        </w:rPr>
        <w:t>UNDER 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2748280</wp:posOffset>
            </wp:positionH>
            <wp:positionV relativeFrom="paragraph">
              <wp:posOffset>124460</wp:posOffset>
            </wp:positionV>
            <wp:extent cx="16459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45920" cy="8890"/>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ABM Industries Incorporated</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2817495</wp:posOffset>
            </wp:positionH>
            <wp:positionV relativeFrom="paragraph">
              <wp:posOffset>128905</wp:posOffset>
            </wp:positionV>
            <wp:extent cx="1507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07490" cy="889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p>
      <w:pPr>
        <w:spacing w:after="0" w:line="312"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9"/>
          <w:szCs w:val="19"/>
          <w:b w:val="1"/>
          <w:bCs w:val="1"/>
          <w:color w:val="auto"/>
        </w:rPr>
        <w:t>Delaware</w:t>
      </w:r>
    </w:p>
    <w:p>
      <w:pPr>
        <w:spacing w:after="0" w:line="20" w:lineRule="exact"/>
        <w:rPr>
          <w:sz w:val="24"/>
          <w:szCs w:val="24"/>
          <w:color w:val="auto"/>
        </w:rPr>
      </w:pPr>
      <w:r>
        <w:rPr>
          <w:sz w:val="24"/>
          <w:szCs w:val="24"/>
          <w:color w:val="auto"/>
        </w:rPr>
        <w:br w:type="column"/>
      </w:r>
    </w:p>
    <w:p>
      <w:pPr>
        <w:spacing w:after="0" w:line="292" w:lineRule="exact"/>
        <w:rPr>
          <w:sz w:val="24"/>
          <w:szCs w:val="24"/>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94-1369354</w:t>
      </w:r>
    </w:p>
    <w:p>
      <w:pPr>
        <w:spacing w:after="0" w:line="44" w:lineRule="exact"/>
        <w:rPr>
          <w:sz w:val="24"/>
          <w:szCs w:val="24"/>
          <w:color w:val="auto"/>
        </w:rPr>
      </w:pPr>
    </w:p>
    <w:p>
      <w:pPr>
        <w:sectPr>
          <w:pgSz w:w="11900" w:h="16838" w:orient="portrait"/>
          <w:cols w:equalWidth="0" w:num="2">
            <w:col w:w="7240" w:space="720"/>
            <w:col w:w="3280"/>
          </w:cols>
          <w:pgMar w:left="320" w:top="873" w:right="339" w:bottom="1440" w:gutter="0" w:footer="0" w:header="0"/>
          <w:type w:val="continuous"/>
        </w:sectPr>
      </w:pPr>
    </w:p>
    <w:p>
      <w:pPr>
        <w:ind w:left="1800"/>
        <w:spacing w:after="0"/>
        <w:rPr>
          <w:sz w:val="20"/>
          <w:szCs w:val="20"/>
          <w:color w:val="auto"/>
        </w:rPr>
      </w:pPr>
      <w:r>
        <w:rPr>
          <w:rFonts w:ascii="Times New Roman" w:cs="Times New Roman" w:eastAsia="Times New Roman" w:hAnsi="Times New Roman"/>
          <w:sz w:val="16"/>
          <w:szCs w:val="16"/>
          <w:b w:val="1"/>
          <w:bCs w:val="1"/>
          <w:color w:val="auto"/>
        </w:rPr>
        <w:t>(State or other jurisdiction of</w:t>
      </w:r>
    </w:p>
    <w:p>
      <w:pPr>
        <w:spacing w:after="0" w:line="7"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6"/>
          <w:szCs w:val="16"/>
          <w:b w:val="1"/>
          <w:bCs w:val="1"/>
          <w:color w:val="auto"/>
        </w:rPr>
        <w:t>(I.R.S. Employer</w:t>
      </w: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Identification No.)</w:t>
      </w:r>
    </w:p>
    <w:p>
      <w:pPr>
        <w:spacing w:after="0" w:line="92" w:lineRule="exact"/>
        <w:rPr>
          <w:sz w:val="24"/>
          <w:szCs w:val="24"/>
          <w:color w:val="auto"/>
        </w:rPr>
      </w:pPr>
    </w:p>
    <w:p>
      <w:pPr>
        <w:sectPr>
          <w:pgSz w:w="11900" w:h="16838" w:orient="portrait"/>
          <w:cols w:equalWidth="0" w:num="2">
            <w:col w:w="7080" w:space="720"/>
            <w:col w:w="3440"/>
          </w:cols>
          <w:pgMar w:left="320" w:top="873" w:right="339" w:bottom="1440" w:gutter="0" w:footer="0" w:header="0"/>
          <w:type w:val="continuous"/>
        </w:sectPr>
      </w:pPr>
    </w:p>
    <w:p>
      <w:pPr>
        <w:ind w:left="4380"/>
        <w:spacing w:after="0"/>
        <w:rPr>
          <w:sz w:val="20"/>
          <w:szCs w:val="20"/>
          <w:color w:val="auto"/>
        </w:rPr>
      </w:pPr>
      <w:r>
        <w:rPr>
          <w:rFonts w:ascii="Times New Roman" w:cs="Times New Roman" w:eastAsia="Times New Roman" w:hAnsi="Times New Roman"/>
          <w:sz w:val="20"/>
          <w:szCs w:val="20"/>
          <w:b w:val="1"/>
          <w:bCs w:val="1"/>
          <w:color w:val="auto"/>
        </w:rPr>
        <w:t>One Liberty Plaza, 7th Floor</w:t>
      </w:r>
    </w:p>
    <w:p>
      <w:pPr>
        <w:spacing w:after="0" w:line="2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0"/>
          <w:szCs w:val="20"/>
          <w:b w:val="1"/>
          <w:bCs w:val="1"/>
          <w:color w:val="auto"/>
        </w:rPr>
        <w:t>New York, New York 10006</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(Address of Principal Executive Offices)(Zip Code)</w:t>
      </w:r>
    </w:p>
    <w:p>
      <w:pPr>
        <w:sectPr>
          <w:pgSz w:w="11900" w:h="16838" w:orient="portrait"/>
          <w:cols w:equalWidth="0" w:num="1">
            <w:col w:w="11240"/>
          </w:cols>
          <w:pgMar w:left="320" w:top="873" w:right="339" w:bottom="1440" w:gutter="0" w:footer="0" w:header="0"/>
          <w:type w:val="continuous"/>
        </w:sectPr>
      </w:pPr>
    </w:p>
    <w:p>
      <w:pPr>
        <w:spacing w:after="0" w:line="226"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ABM Industries Incorporated 2021 Equity and Incentive Compensation Plan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February 10, 2025)</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(Full title of the plan)</w:t>
      </w: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David R. Goldman</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Vice President and Corporate Secretary</w:t>
      </w:r>
    </w:p>
    <w:p>
      <w:pPr>
        <w:jc w:val="center"/>
        <w:spacing w:after="0"/>
        <w:rPr>
          <w:sz w:val="20"/>
          <w:szCs w:val="20"/>
          <w:color w:val="auto"/>
        </w:rPr>
      </w:pPr>
      <w:r>
        <w:rPr>
          <w:rFonts w:ascii="Times New Roman" w:cs="Times New Roman" w:eastAsia="Times New Roman" w:hAnsi="Times New Roman"/>
          <w:sz w:val="20"/>
          <w:szCs w:val="20"/>
          <w:b w:val="1"/>
          <w:bCs w:val="1"/>
          <w:color w:val="auto"/>
        </w:rPr>
        <w:t>ABM Industries Incorporated</w:t>
      </w:r>
    </w:p>
    <w:p>
      <w:pPr>
        <w:jc w:val="center"/>
        <w:spacing w:after="0"/>
        <w:rPr>
          <w:sz w:val="20"/>
          <w:szCs w:val="20"/>
          <w:color w:val="auto"/>
        </w:rPr>
      </w:pPr>
      <w:r>
        <w:rPr>
          <w:rFonts w:ascii="Times New Roman" w:cs="Times New Roman" w:eastAsia="Times New Roman" w:hAnsi="Times New Roman"/>
          <w:sz w:val="20"/>
          <w:szCs w:val="20"/>
          <w:b w:val="1"/>
          <w:bCs w:val="1"/>
          <w:color w:val="auto"/>
        </w:rPr>
        <w:t>One Liberty Plaza, 7th Floor</w:t>
      </w:r>
    </w:p>
    <w:p>
      <w:pPr>
        <w:jc w:val="center"/>
        <w:spacing w:after="0"/>
        <w:rPr>
          <w:sz w:val="20"/>
          <w:szCs w:val="20"/>
          <w:color w:val="auto"/>
        </w:rPr>
      </w:pPr>
      <w:r>
        <w:rPr>
          <w:rFonts w:ascii="Times New Roman" w:cs="Times New Roman" w:eastAsia="Times New Roman" w:hAnsi="Times New Roman"/>
          <w:sz w:val="20"/>
          <w:szCs w:val="20"/>
          <w:b w:val="1"/>
          <w:bCs w:val="1"/>
          <w:color w:val="auto"/>
        </w:rPr>
        <w:t>New York, NY 10006</w:t>
      </w:r>
    </w:p>
    <w:p>
      <w:pPr>
        <w:jc w:val="center"/>
        <w:spacing w:after="0"/>
        <w:rPr>
          <w:sz w:val="20"/>
          <w:szCs w:val="20"/>
          <w:color w:val="auto"/>
        </w:rPr>
      </w:pPr>
      <w:r>
        <w:rPr>
          <w:rFonts w:ascii="Times New Roman" w:cs="Times New Roman" w:eastAsia="Times New Roman" w:hAnsi="Times New Roman"/>
          <w:sz w:val="20"/>
          <w:szCs w:val="20"/>
          <w:b w:val="1"/>
          <w:bCs w:val="1"/>
          <w:color w:val="auto"/>
        </w:rPr>
        <w:t>(212) 297-0200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(Name, address,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197485</wp:posOffset>
            </wp:positionV>
            <wp:extent cx="1920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i w:val="1"/>
          <w:iCs w:val="1"/>
          <w:color w:val="auto"/>
        </w:rPr>
        <w:t>Copy to:</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Amy I. Pandit</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Jones Day</w:t>
      </w:r>
    </w:p>
    <w:p>
      <w:pPr>
        <w:jc w:val="center"/>
        <w:spacing w:after="0"/>
        <w:rPr>
          <w:sz w:val="20"/>
          <w:szCs w:val="20"/>
          <w:color w:val="auto"/>
        </w:rPr>
      </w:pPr>
      <w:r>
        <w:rPr>
          <w:rFonts w:ascii="Times New Roman" w:cs="Times New Roman" w:eastAsia="Times New Roman" w:hAnsi="Times New Roman"/>
          <w:sz w:val="20"/>
          <w:szCs w:val="20"/>
          <w:b w:val="1"/>
          <w:bCs w:val="1"/>
          <w:color w:val="auto"/>
        </w:rPr>
        <w:t>1221 Peachtree Street, N.E., Suite 400</w:t>
      </w:r>
    </w:p>
    <w:p>
      <w:pPr>
        <w:jc w:val="center"/>
        <w:spacing w:after="0"/>
        <w:rPr>
          <w:sz w:val="20"/>
          <w:szCs w:val="20"/>
          <w:color w:val="auto"/>
        </w:rPr>
      </w:pPr>
      <w:r>
        <w:rPr>
          <w:rFonts w:ascii="Times New Roman" w:cs="Times New Roman" w:eastAsia="Times New Roman" w:hAnsi="Times New Roman"/>
          <w:sz w:val="20"/>
          <w:szCs w:val="20"/>
          <w:b w:val="1"/>
          <w:bCs w:val="1"/>
          <w:color w:val="auto"/>
        </w:rPr>
        <w:t>Atlanta, GA 30361</w:t>
      </w:r>
    </w:p>
    <w:p>
      <w:pPr>
        <w:jc w:val="center"/>
        <w:spacing w:after="0"/>
        <w:rPr>
          <w:sz w:val="20"/>
          <w:szCs w:val="20"/>
          <w:color w:val="auto"/>
        </w:rPr>
      </w:pPr>
      <w:r>
        <w:rPr>
          <w:rFonts w:ascii="Times New Roman" w:cs="Times New Roman" w:eastAsia="Times New Roman" w:hAnsi="Times New Roman"/>
          <w:sz w:val="20"/>
          <w:szCs w:val="20"/>
          <w:b w:val="1"/>
          <w:bCs w:val="1"/>
          <w:color w:val="auto"/>
        </w:rPr>
        <w:t>(404) 581-8611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128905</wp:posOffset>
            </wp:positionV>
            <wp:extent cx="19202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27" w:lineRule="exact"/>
        <w:rPr>
          <w:sz w:val="24"/>
          <w:szCs w:val="24"/>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6" w:lineRule="exact"/>
        <w:rPr>
          <w:sz w:val="24"/>
          <w:szCs w:val="24"/>
          <w:color w:val="auto"/>
        </w:rPr>
      </w:pPr>
    </w:p>
    <w:tbl>
      <w:tblPr>
        <w:tblLayout w:type="fixed"/>
        <w:tblInd w:w="100" w:type="dxa"/>
        <w:tblCellMar>
          <w:top w:w="0" w:type="dxa"/>
          <w:left w:w="0" w:type="dxa"/>
          <w:bottom w:w="0" w:type="dxa"/>
          <w:right w:w="0" w:type="dxa"/>
        </w:tblCellMar>
      </w:tblP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620" w:type="dxa"/>
            <w:vAlign w:val="bottom"/>
          </w:tcPr>
          <w:p>
            <w:pPr>
              <w:ind w:left="80"/>
              <w:spacing w:after="0"/>
              <w:rPr>
                <w:sz w:val="20"/>
                <w:szCs w:val="20"/>
                <w:color w:val="auto"/>
              </w:rPr>
            </w:pPr>
            <w:r>
              <w:rPr>
                <w:rFonts w:ascii="Wingdings" w:cs="Wingdings" w:eastAsia="Wingdings" w:hAnsi="Wingdings"/>
                <w:sz w:val="18"/>
                <w:szCs w:val="18"/>
                <w:b w:val="1"/>
                <w:bCs w:val="1"/>
                <w:color w:val="auto"/>
              </w:rPr>
              <w:t></w:t>
            </w:r>
          </w:p>
        </w:tc>
        <w:tc>
          <w:tcPr>
            <w:tcW w:w="5440" w:type="dxa"/>
            <w:vAlign w:val="bottom"/>
          </w:tcPr>
          <w:p>
            <w:pPr>
              <w:jc w:val="center"/>
              <w:ind w:left="3150"/>
              <w:spacing w:after="0"/>
              <w:rPr>
                <w:sz w:val="20"/>
                <w:szCs w:val="20"/>
                <w:color w:val="auto"/>
              </w:rPr>
            </w:pPr>
            <w:r>
              <w:rPr>
                <w:rFonts w:ascii="Times New Roman" w:cs="Times New Roman" w:eastAsia="Times New Roman" w:hAnsi="Times New Roman"/>
                <w:sz w:val="18"/>
                <w:szCs w:val="18"/>
                <w:color w:val="auto"/>
                <w:w w:val="99"/>
              </w:rPr>
              <w:t>Accelerated filer</w:t>
            </w:r>
          </w:p>
        </w:tc>
        <w:tc>
          <w:tcPr>
            <w:tcW w:w="260" w:type="dxa"/>
            <w:vAlign w:val="bottom"/>
          </w:tcPr>
          <w:p>
            <w:pPr>
              <w:ind w:left="100"/>
              <w:spacing w:after="0"/>
              <w:rPr>
                <w:sz w:val="20"/>
                <w:szCs w:val="20"/>
                <w:color w:val="auto"/>
              </w:rPr>
            </w:pPr>
            <w:r>
              <w:rPr>
                <w:rFonts w:ascii="Wingdings" w:cs="Wingdings" w:eastAsia="Wingdings" w:hAnsi="Wingdings"/>
                <w:sz w:val="18"/>
                <w:szCs w:val="18"/>
                <w:b w:val="1"/>
                <w:bCs w:val="1"/>
                <w:color w:val="auto"/>
                <w:w w:val="86"/>
              </w:rPr>
              <w:t></w:t>
            </w: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620" w:type="dxa"/>
            <w:vAlign w:val="bottom"/>
          </w:tcPr>
          <w:p>
            <w:pPr>
              <w:ind w:left="80"/>
              <w:spacing w:after="0"/>
              <w:rPr>
                <w:sz w:val="20"/>
                <w:szCs w:val="20"/>
                <w:color w:val="auto"/>
              </w:rPr>
            </w:pPr>
            <w:r>
              <w:rPr>
                <w:rFonts w:ascii="Wingdings" w:cs="Wingdings" w:eastAsia="Wingdings" w:hAnsi="Wingdings"/>
                <w:sz w:val="18"/>
                <w:szCs w:val="18"/>
                <w:b w:val="1"/>
                <w:bCs w:val="1"/>
                <w:color w:val="auto"/>
              </w:rPr>
              <w:t></w:t>
            </w:r>
          </w:p>
        </w:tc>
        <w:tc>
          <w:tcPr>
            <w:tcW w:w="54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100"/>
              <w:spacing w:after="0"/>
              <w:rPr>
                <w:sz w:val="20"/>
                <w:szCs w:val="20"/>
                <w:color w:val="auto"/>
              </w:rPr>
            </w:pPr>
            <w:r>
              <w:rPr>
                <w:rFonts w:ascii="Wingdings" w:cs="Wingdings" w:eastAsia="Wingdings" w:hAnsi="Wingdings"/>
                <w:sz w:val="18"/>
                <w:szCs w:val="18"/>
                <w:b w:val="1"/>
                <w:bCs w:val="1"/>
                <w:color w:val="auto"/>
                <w:w w:val="86"/>
              </w:rPr>
              <w:t></w:t>
            </w:r>
          </w:p>
        </w:tc>
      </w:tr>
      <w:tr>
        <w:trPr>
          <w:trHeight w:val="234"/>
        </w:trPr>
        <w:tc>
          <w:tcPr>
            <w:tcW w:w="17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5440" w:type="dxa"/>
            <w:vAlign w:val="bottom"/>
          </w:tcPr>
          <w:p>
            <w:pPr>
              <w:jc w:val="center"/>
              <w:ind w:left="321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100"/>
              <w:spacing w:after="0"/>
              <w:rPr>
                <w:sz w:val="20"/>
                <w:szCs w:val="20"/>
                <w:color w:val="auto"/>
              </w:rPr>
            </w:pPr>
            <w:r>
              <w:rPr>
                <w:rFonts w:ascii="Wingdings" w:cs="Wingdings" w:eastAsia="Wingdings" w:hAnsi="Wingdings"/>
                <w:sz w:val="18"/>
                <w:szCs w:val="18"/>
                <w:b w:val="1"/>
                <w:bCs w:val="1"/>
                <w:color w:val="auto"/>
                <w:w w:val="86"/>
              </w:rPr>
              <w:t></w:t>
            </w:r>
          </w:p>
        </w:tc>
      </w:tr>
    </w:tbl>
    <w:p>
      <w:pPr>
        <w:spacing w:after="0" w:line="198" w:lineRule="exact"/>
        <w:rPr>
          <w:sz w:val="24"/>
          <w:szCs w:val="24"/>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auto"/>
        </w:rPr>
        <w:t></w:t>
      </w: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473075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5"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tab/>
        <w:t>Plan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Registrant Information and Employee Plan Annual Information*</w:t>
      </w:r>
    </w:p>
    <w:p>
      <w:pPr>
        <w:spacing w:after="0" w:line="22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*Information required by Part I to be included in the Section 10(a) prospectus will be sent or given to employees as specified by Rule 428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 is omitted from this Registration Statement in accordance with Rule 428 under the Securities Act and the Note to Part I of Form S-8.</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right="2780" w:firstLine="2794"/>
        <w:spacing w:after="0" w:line="500" w:lineRule="auto"/>
        <w:rPr>
          <w:sz w:val="20"/>
          <w:szCs w:val="20"/>
          <w:color w:val="auto"/>
        </w:rPr>
      </w:pPr>
      <w:r>
        <w:rPr>
          <w:rFonts w:ascii="Times New Roman" w:cs="Times New Roman" w:eastAsia="Times New Roman" w:hAnsi="Times New Roman"/>
          <w:sz w:val="18"/>
          <w:szCs w:val="18"/>
          <w:b w:val="1"/>
          <w:bCs w:val="1"/>
          <w:color w:val="auto"/>
        </w:rPr>
        <w:t>INFORMATION REQUIRED IN THE REGISTRATION STATEMENT Item 3. Incorporation of Documents by Reference</w:t>
      </w:r>
    </w:p>
    <w:p>
      <w:pPr>
        <w:spacing w:after="0" w:line="2" w:lineRule="exact"/>
        <w:rPr>
          <w:sz w:val="20"/>
          <w:szCs w:val="20"/>
          <w:color w:val="auto"/>
        </w:rPr>
      </w:pPr>
    </w:p>
    <w:p>
      <w:pPr>
        <w:ind w:right="240" w:firstLine="360"/>
        <w:spacing w:after="0" w:line="286" w:lineRule="auto"/>
        <w:rPr>
          <w:sz w:val="20"/>
          <w:szCs w:val="20"/>
          <w:color w:val="auto"/>
        </w:rPr>
      </w:pPr>
      <w:r>
        <w:rPr>
          <w:rFonts w:ascii="Times New Roman" w:cs="Times New Roman" w:eastAsia="Times New Roman" w:hAnsi="Times New Roman"/>
          <w:sz w:val="18"/>
          <w:szCs w:val="18"/>
          <w:color w:val="auto"/>
        </w:rPr>
        <w:t>The following documents previously filed by ABM Industries Incorporated (the “</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with the Securities and Exchange Commission (the “</w:t>
      </w:r>
      <w:r>
        <w:rPr>
          <w:rFonts w:ascii="Times New Roman" w:cs="Times New Roman" w:eastAsia="Times New Roman" w:hAnsi="Times New Roman"/>
          <w:sz w:val="18"/>
          <w:szCs w:val="18"/>
          <w:b w:val="1"/>
          <w:bCs w:val="1"/>
          <w:i w:val="1"/>
          <w:iCs w:val="1"/>
          <w:color w:val="auto"/>
        </w:rPr>
        <w:t>Commission</w:t>
      </w:r>
      <w:r>
        <w:rPr>
          <w:rFonts w:ascii="Times New Roman" w:cs="Times New Roman" w:eastAsia="Times New Roman" w:hAnsi="Times New Roman"/>
          <w:sz w:val="18"/>
          <w:szCs w:val="18"/>
          <w:color w:val="auto"/>
        </w:rPr>
        <w:t>”) are incorporated by reference into this Registration Statement:</w:t>
      </w:r>
    </w:p>
    <w:p>
      <w:pPr>
        <w:spacing w:after="0" w:line="159" w:lineRule="exact"/>
        <w:rPr>
          <w:sz w:val="20"/>
          <w:szCs w:val="20"/>
          <w:color w:val="auto"/>
        </w:rPr>
      </w:pPr>
    </w:p>
    <w:p>
      <w:pPr>
        <w:ind w:left="1020" w:hanging="26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r>
        <w:rPr>
          <w:rFonts w:ascii="Times New Roman" w:cs="Times New Roman" w:eastAsia="Times New Roman" w:hAnsi="Times New Roman"/>
          <w:sz w:val="18"/>
          <w:szCs w:val="18"/>
          <w:u w:val="single" w:color="auto"/>
          <w:color w:val="0000FF"/>
        </w:rPr>
        <w:t>Annual Report on Form 10-K for the fiscal year ended October 31, 2024</w:t>
      </w:r>
      <w:r>
        <w:rPr>
          <w:rFonts w:ascii="Times New Roman" w:cs="Times New Roman" w:eastAsia="Times New Roman" w:hAnsi="Times New Roman"/>
          <w:sz w:val="18"/>
          <w:szCs w:val="18"/>
          <w:color w:val="auto"/>
        </w:rPr>
        <w:t>, filed with the Commission on December 19, 2024.</w:t>
      </w:r>
    </w:p>
    <w:p>
      <w:pPr>
        <w:spacing w:after="0" w:line="25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w:t>
      </w:r>
      <w:r>
        <w:rPr>
          <w:rFonts w:ascii="Times New Roman" w:cs="Times New Roman" w:eastAsia="Times New Roman" w:hAnsi="Times New Roman"/>
          <w:sz w:val="18"/>
          <w:szCs w:val="18"/>
          <w:u w:val="single" w:color="auto"/>
          <w:color w:val="0000FF"/>
        </w:rPr>
        <w:t>Quarterly Report on Form 10-Q for the quarter ended January 31, 2025</w:t>
      </w:r>
      <w:r>
        <w:rPr>
          <w:rFonts w:ascii="Times New Roman" w:cs="Times New Roman" w:eastAsia="Times New Roman" w:hAnsi="Times New Roman"/>
          <w:sz w:val="18"/>
          <w:szCs w:val="18"/>
          <w:color w:val="auto"/>
        </w:rPr>
        <w:t>, filed with the Commission on March 12, 2025.</w:t>
      </w:r>
    </w:p>
    <w:p>
      <w:pPr>
        <w:spacing w:after="0" w:line="252"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r>
        <w:rPr>
          <w:rFonts w:ascii="Times New Roman" w:cs="Times New Roman" w:eastAsia="Times New Roman" w:hAnsi="Times New Roman"/>
          <w:sz w:val="18"/>
          <w:szCs w:val="18"/>
          <w:u w:val="single" w:color="auto"/>
          <w:color w:val="0000FF"/>
        </w:rPr>
        <w:t>February 28, 2025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FF"/>
        </w:rPr>
        <w:t>March 12, 2025 (Item 8.01 only)</w:t>
      </w:r>
      <w:r>
        <w:rPr>
          <w:rFonts w:ascii="Times New Roman" w:cs="Times New Roman" w:eastAsia="Times New Roman" w:hAnsi="Times New Roman"/>
          <w:sz w:val="18"/>
          <w:szCs w:val="18"/>
          <w:color w:val="auto"/>
        </w:rPr>
        <w:t>.</w:t>
      </w:r>
    </w:p>
    <w:p>
      <w:pPr>
        <w:spacing w:after="0" w:line="252" w:lineRule="exact"/>
        <w:rPr>
          <w:rFonts w:ascii="Times New Roman" w:cs="Times New Roman" w:eastAsia="Times New Roman" w:hAnsi="Times New Roman"/>
          <w:sz w:val="18"/>
          <w:szCs w:val="18"/>
          <w:color w:val="auto"/>
        </w:rPr>
      </w:pPr>
    </w:p>
    <w:p>
      <w:pPr>
        <w:ind w:right="180" w:firstLine="757"/>
        <w:spacing w:after="0" w:line="282" w:lineRule="auto"/>
        <w:tabs>
          <w:tab w:leader="none" w:pos="1018"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Registrant’s common stock, par value $0.01 per share, contained in </w:t>
      </w:r>
      <w:r>
        <w:rPr>
          <w:rFonts w:ascii="Times New Roman" w:cs="Times New Roman" w:eastAsia="Times New Roman" w:hAnsi="Times New Roman"/>
          <w:sz w:val="18"/>
          <w:szCs w:val="18"/>
          <w:u w:val="single" w:color="auto"/>
          <w:color w:val="0000FF"/>
        </w:rPr>
        <w:t>Exhibit 4.1</w:t>
      </w:r>
      <w:r>
        <w:rPr>
          <w:rFonts w:ascii="Times New Roman" w:cs="Times New Roman" w:eastAsia="Times New Roman" w:hAnsi="Times New Roman"/>
          <w:sz w:val="18"/>
          <w:szCs w:val="18"/>
          <w:color w:val="auto"/>
        </w:rPr>
        <w:t xml:space="preserve"> to the Registrant’s Annual Report on Form 10-K for the fiscal year ended October 31, 2020, including any subsequently filed amendments and reports updating such description.</w:t>
      </w:r>
    </w:p>
    <w:p>
      <w:pPr>
        <w:spacing w:after="0" w:line="162" w:lineRule="exact"/>
        <w:rPr>
          <w:sz w:val="20"/>
          <w:szCs w:val="20"/>
          <w:color w:val="auto"/>
        </w:rPr>
      </w:pPr>
    </w:p>
    <w:p>
      <w:pPr>
        <w:ind w:right="220" w:firstLine="360"/>
        <w:spacing w:after="0" w:line="282" w:lineRule="auto"/>
        <w:rPr>
          <w:sz w:val="20"/>
          <w:szCs w:val="20"/>
          <w:color w:val="auto"/>
        </w:rPr>
      </w:pPr>
      <w:r>
        <w:rPr>
          <w:rFonts w:ascii="Times New Roman" w:cs="Times New Roman" w:eastAsia="Times New Roman" w:hAnsi="Times New Roman"/>
          <w:sz w:val="18"/>
          <w:szCs w:val="18"/>
          <w:color w:val="auto"/>
        </w:rPr>
        <w:t>To the extent that any information contained in any Current Report on Form 8-K, or any exhibit thereto, was furnished to, rather than filed with, the Commission, such information or exhibit is specifically not incorporated by reference.</w:t>
      </w:r>
    </w:p>
    <w:p>
      <w:pPr>
        <w:spacing w:after="0" w:line="162"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All reports and other documents that the Registrant subsequently files with the Commission pursuant to Sections 13(a), 13(c), 14 or 15(d) of the Securities Exchange Act of 1934, as amended (the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after the date of this Registration Statement and prior to the filing of a post-effective amendment that indicates the Registrant has sold all of the securities offered under this Registration Statement or that deregisters the distribution of all such securities then remaining unsold, shall be deemed to be incorporated by reference in this Registration Statement and to be a part hereof from the date that the Registrant files such report or document.</w:t>
      </w:r>
    </w:p>
    <w:p>
      <w:pPr>
        <w:spacing w:after="0" w:line="183" w:lineRule="exact"/>
        <w:rPr>
          <w:sz w:val="20"/>
          <w:szCs w:val="20"/>
          <w:color w:val="auto"/>
        </w:rPr>
      </w:pPr>
    </w:p>
    <w:p>
      <w:pPr>
        <w:ind w:right="120" w:firstLine="360"/>
        <w:spacing w:after="0" w:line="261"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that also is, or is deemed to be, incorporated by reference herein modifies or replaces such statement. Any such statement so modified or replaced shall not be deemed, except as so modified or replaced, to constitute a part of this Registration Statement.</w:t>
      </w:r>
    </w:p>
    <w:p>
      <w:pPr>
        <w:spacing w:after="0" w:line="176"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tab/>
        <w:t>Description of Securities.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775970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2" w:name="page3"/>
    <w:bookmarkEnd w:id="2"/>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5.</w:t>
        <w:tab/>
        <w:t>Interests of Named Experts and Counsel.</w:t>
      </w:r>
    </w:p>
    <w:p>
      <w:pPr>
        <w:spacing w:after="0" w:line="229" w:lineRule="exact"/>
        <w:rPr>
          <w:sz w:val="20"/>
          <w:szCs w:val="20"/>
          <w:color w:val="auto"/>
        </w:rPr>
      </w:pPr>
    </w:p>
    <w:p>
      <w:pPr>
        <w:ind w:right="160" w:firstLine="360"/>
        <w:spacing w:after="0" w:line="282" w:lineRule="auto"/>
        <w:rPr>
          <w:sz w:val="20"/>
          <w:szCs w:val="20"/>
          <w:color w:val="auto"/>
        </w:rPr>
      </w:pPr>
      <w:r>
        <w:rPr>
          <w:rFonts w:ascii="Times New Roman" w:cs="Times New Roman" w:eastAsia="Times New Roman" w:hAnsi="Times New Roman"/>
          <w:sz w:val="18"/>
          <w:szCs w:val="18"/>
          <w:color w:val="auto"/>
        </w:rPr>
        <w:t>Mr. David R. Goldman, who is giving an opinion on the validity of the securities being registered, is Vice President and Corporate Secretary for the Registrant and holds equity compensation awards with respect to common stock of the Registrant. He is eligible to participate in the Plan.</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6.</w:t>
        <w:tab/>
        <w:t>Indemnification of Directors and Officers.</w:t>
      </w:r>
    </w:p>
    <w:p>
      <w:pPr>
        <w:spacing w:after="0" w:line="225"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18"/>
          <w:szCs w:val="18"/>
          <w:color w:val="auto"/>
        </w:rPr>
        <w:t>The Company is a Delaware corporation. Section 145 of the General 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as the same exists or may hereafter be amended, inter alia, provides that a Delaware corporation may indemnify any person who was, or is a party or is threatened to be made a party to any threatened, pending or completed action, suit, or proceeding, whether civil, criminal, administrative or investigative (other than an action by or in the right of such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The indemnity may include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corporation’s best interests and, with respect to any criminal action or proceeding, had no reasonable cause to believe that the person’s conduct was unlawful.</w:t>
      </w:r>
    </w:p>
    <w:p>
      <w:pPr>
        <w:spacing w:after="0" w:line="192" w:lineRule="exact"/>
        <w:rPr>
          <w:sz w:val="20"/>
          <w:szCs w:val="20"/>
          <w:color w:val="auto"/>
        </w:rPr>
      </w:pPr>
    </w:p>
    <w:p>
      <w:pPr>
        <w:ind w:right="220" w:firstLine="749"/>
        <w:spacing w:after="0" w:line="258" w:lineRule="auto"/>
        <w:rPr>
          <w:sz w:val="20"/>
          <w:szCs w:val="20"/>
          <w:color w:val="auto"/>
        </w:rPr>
      </w:pPr>
      <w:r>
        <w:rPr>
          <w:rFonts w:ascii="Times New Roman" w:cs="Times New Roman" w:eastAsia="Times New Roman" w:hAnsi="Times New Roman"/>
          <w:sz w:val="18"/>
          <w:szCs w:val="18"/>
          <w:color w:val="auto"/>
        </w:rPr>
        <w:t>Under Section 145 of the DGCL, a similar standard of care is applicable in the case of derivative actions, except that indemnification only extends to expenses (including attorneys’ fees) actually and reasonably incurred in connection with the defense or settlement of such an action and then, where the person is adjudged to be liable to the Company, only if and to the extent that the Court of Chancery of the State of Delaware or the court in which such action or suit was brought determines that such person is fairly and reasonably entitled to such indemnity and only for such expenses as the court shall deem proper.</w:t>
      </w:r>
    </w:p>
    <w:p>
      <w:pPr>
        <w:spacing w:after="0" w:line="183"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Article VII of the Company’s Amended and Restated Bylaws provides that the Company must indemnify directors and officers to the fullest extent authorized by the DGCL and also pay expenses incurred in defending any such proceeding in advance of its final disposition upon delivery of an undertaking in writing, by or on behalf of an indemnified person, to repay all amounts so advanced if it should be determined ultimately that such person is not entitled to be indemnified under Article VII of the Amended and Restated Bylaws or otherwise. The Amended and Restated Bylaws further provide that the Company has the power to indemnify employees and agents to the extent not prohibited by the DGCL or other applicable law.</w:t>
      </w:r>
    </w:p>
    <w:p>
      <w:pPr>
        <w:spacing w:after="0" w:line="183" w:lineRule="exact"/>
        <w:rPr>
          <w:sz w:val="20"/>
          <w:szCs w:val="20"/>
          <w:color w:val="auto"/>
        </w:rPr>
      </w:pPr>
    </w:p>
    <w:p>
      <w:pPr>
        <w:ind w:firstLine="360"/>
        <w:spacing w:after="0" w:line="258" w:lineRule="auto"/>
        <w:rPr>
          <w:sz w:val="20"/>
          <w:szCs w:val="20"/>
          <w:color w:val="auto"/>
        </w:rPr>
      </w:pPr>
      <w:r>
        <w:rPr>
          <w:rFonts w:ascii="Times New Roman" w:cs="Times New Roman" w:eastAsia="Times New Roman" w:hAnsi="Times New Roman"/>
          <w:sz w:val="18"/>
          <w:szCs w:val="18"/>
          <w:color w:val="auto"/>
        </w:rPr>
        <w:t>Section 145 of the DGCL further authorizes a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Section 145.</w:t>
      </w:r>
    </w:p>
    <w:p>
      <w:pPr>
        <w:spacing w:after="0" w:line="183"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Article VII of our Amended and Restated Bylaws further provides that the Company must purchase and maintain, at its own expense, insurance to protect the Company and any person against any liability or expense asserted against or incurred by such person in connection with any proceeding, whether or not the corporation would have the power to indemnify such person against such liability or expense by law or under Article VII of the Amended and Restated Bylaws.</w:t>
      </w:r>
    </w:p>
    <w:p>
      <w:pPr>
        <w:spacing w:after="0" w:line="180" w:lineRule="exact"/>
        <w:rPr>
          <w:sz w:val="20"/>
          <w:szCs w:val="20"/>
          <w:color w:val="auto"/>
        </w:rPr>
      </w:pPr>
    </w:p>
    <w:p>
      <w:pPr>
        <w:ind w:right="80" w:firstLine="749"/>
        <w:spacing w:after="0" w:line="255" w:lineRule="auto"/>
        <w:rPr>
          <w:sz w:val="20"/>
          <w:szCs w:val="20"/>
          <w:color w:val="auto"/>
        </w:rPr>
      </w:pPr>
      <w:r>
        <w:rPr>
          <w:rFonts w:ascii="Times New Roman" w:cs="Times New Roman" w:eastAsia="Times New Roman" w:hAnsi="Times New Roman"/>
          <w:sz w:val="18"/>
          <w:szCs w:val="18"/>
          <w:color w:val="auto"/>
        </w:rPr>
        <w:t>Section 102(b)(7) of the DGCL permits a corporation to provide in its certificate of incorporation that a director or officer of the corporation shall not be personally liable to the corporation or its stockholders for monetary damages for breach of fiduciary duty as a director or officer, except for liability of (i) a director or officer for any breach of the director’s or officer’s duty of loyalty to the corporation or its stockholders, (ii) a director or officer for acts or omissions not in good faith or which involve intentional misconduct or a knowing violation of law, (iii) a director for unlawful payments of dividends or unlawful stock repurchases, redemptions or other distributions, (iv) a director or officer for any transaction from which the director or officer derived an improper personal benefit, or (v) an officer in any action by or in the right of the corporation. Article Fourteenth of the Company’s Amended and Restated Certificate of Incorporation provides for such limitation of liability for directors.</w:t>
      </w:r>
    </w:p>
    <w:p>
      <w:pPr>
        <w:spacing w:after="0" w:line="189" w:lineRule="exact"/>
        <w:rPr>
          <w:sz w:val="20"/>
          <w:szCs w:val="20"/>
          <w:color w:val="auto"/>
        </w:rPr>
      </w:pPr>
    </w:p>
    <w:p>
      <w:pPr>
        <w:ind w:right="40" w:firstLine="749"/>
        <w:spacing w:after="0" w:line="266" w:lineRule="auto"/>
        <w:rPr>
          <w:sz w:val="20"/>
          <w:szCs w:val="20"/>
          <w:color w:val="auto"/>
        </w:rPr>
      </w:pPr>
      <w:r>
        <w:rPr>
          <w:rFonts w:ascii="Times New Roman" w:cs="Times New Roman" w:eastAsia="Times New Roman" w:hAnsi="Times New Roman"/>
          <w:sz w:val="18"/>
          <w:szCs w:val="18"/>
          <w:color w:val="auto"/>
        </w:rPr>
        <w:t>The Company has also entered into indemnification agreements with each of its current directors and employment agreements with each of its officers that include, in each case, indemnification provisions to provide them additional contractual assurances regarding the scope of the indemnification set forth in the Amended and Restated Certificate of Incorporation and Amended and Restated Bylaws and to provide additional procedural protections.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65" w:right="399" w:bottom="1440" w:gutter="0" w:footer="0" w:header="0"/>
        </w:sectPr>
      </w:pPr>
    </w:p>
    <w:bookmarkStart w:id="3" w:name="page4"/>
    <w:bookmarkEnd w:id="3"/>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Exemption from Registration Claimed.</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00" w:type="dxa"/>
            <w:vAlign w:val="bottom"/>
            <w:tcBorders>
              <w:bottom w:val="single" w:sz="8" w:color="0000FF"/>
            </w:tcBorders>
            <w:gridSpan w:val="11"/>
          </w:tcPr>
          <w:p>
            <w:pPr>
              <w:spacing w:after="0"/>
              <w:rPr>
                <w:rFonts w:ascii="Times New Roman" w:cs="Times New Roman" w:eastAsia="Times New Roman" w:hAnsi="Times New Roman"/>
                <w:sz w:val="18"/>
                <w:szCs w:val="18"/>
                <w:color w:val="0000FF"/>
              </w:rPr>
            </w:pPr>
            <w:hyperlink r:id="rId18">
              <w:r>
                <w:rPr>
                  <w:rFonts w:ascii="Times New Roman" w:cs="Times New Roman" w:eastAsia="Times New Roman" w:hAnsi="Times New Roman"/>
                  <w:sz w:val="18"/>
                  <w:szCs w:val="18"/>
                  <w:color w:val="0000FF"/>
                </w:rPr>
                <w:t>Amended and Restated Certificate of Incorporation of ABM Industries Incorporated, dated March 25, 2020 (incorporated herein by</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12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18">
              <w:r>
                <w:rPr>
                  <w:rFonts w:ascii="Times New Roman" w:cs="Times New Roman" w:eastAsia="Times New Roman" w:hAnsi="Times New Roman"/>
                  <w:sz w:val="18"/>
                  <w:szCs w:val="18"/>
                  <w:color w:val="0000FF"/>
                  <w:w w:val="99"/>
                </w:rPr>
                <w:t>reference to Exhibit 3.1 to Registrant’s Current Report on Form 8-K filed March 27, 2020 (File No. 001-08929))</w:t>
              </w:r>
            </w:hyperlink>
          </w:p>
        </w:tc>
        <w:tc>
          <w:tcPr>
            <w:tcW w:w="14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2"/>
            <w:vMerge w:val="restart"/>
          </w:tcPr>
          <w:p>
            <w:pPr>
              <w:spacing w:after="0"/>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ABM Industries Incorporated Amended and Restated Bylaws, effective March 27, 2024 (incorporated herein by reference to Exhibit</w:t>
              </w:r>
            </w:hyperlink>
          </w:p>
        </w:tc>
        <w:tc>
          <w:tcPr>
            <w:tcW w:w="0" w:type="dxa"/>
            <w:vAlign w:val="bottom"/>
          </w:tcPr>
          <w:p>
            <w:pPr>
              <w:spacing w:after="0"/>
              <w:rPr>
                <w:sz w:val="1"/>
                <w:szCs w:val="1"/>
                <w:color w:val="auto"/>
              </w:rPr>
            </w:pPr>
          </w:p>
        </w:tc>
      </w:tr>
      <w:tr>
        <w:trPr>
          <w:trHeight w:val="72"/>
        </w:trPr>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9580" w:type="dxa"/>
            <w:vAlign w:val="bottom"/>
            <w:tcBorders>
              <w:bottom w:val="single" w:sz="8" w:color="0000FF"/>
            </w:tcBorders>
            <w:gridSpan w:val="1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80" w:type="dxa"/>
            <w:vAlign w:val="bottom"/>
            <w:gridSpan w:val="12"/>
          </w:tcPr>
          <w:p>
            <w:pPr>
              <w:spacing w:after="0" w:line="196" w:lineRule="exact"/>
              <w:rPr>
                <w:rFonts w:ascii="Times New Roman" w:cs="Times New Roman" w:eastAsia="Times New Roman" w:hAnsi="Times New Roman"/>
                <w:sz w:val="18"/>
                <w:szCs w:val="18"/>
                <w:color w:val="0000FF"/>
              </w:rPr>
            </w:pPr>
            <w:hyperlink r:id="rId19">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Registrant’s Current Report on Form 8-K filed March 27, 2024 (File No. 001-08929))</w:t>
              </w:r>
            </w:hyperlink>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5.1*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Opinion of Mr. David R. Goldman, Vice President and Corporate Secretary for ABM Industries Incorporated</w:t>
            </w:r>
          </w:p>
        </w:tc>
        <w:tc>
          <w:tcPr>
            <w:tcW w:w="17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Consent of KPMG LLP, Independent Registered Public Accounting Firm</w:t>
            </w:r>
          </w:p>
        </w:tc>
        <w:tc>
          <w:tcPr>
            <w:tcW w:w="42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rPr>
              <w:t>Consent of Mr. David R. Goldman, Vice President and Corporate Secretary for ABM Industries Incorporated (included in Exhibit</w:t>
            </w:r>
          </w:p>
        </w:tc>
        <w:tc>
          <w:tcPr>
            <w:tcW w:w="1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1"/>
              </w:rPr>
              <w:t>5.</w:t>
            </w:r>
            <w:r>
              <w:rPr>
                <w:rFonts w:ascii="Times New Roman" w:cs="Times New Roman" w:eastAsia="Times New Roman" w:hAnsi="Times New Roman"/>
                <w:sz w:val="18"/>
                <w:szCs w:val="18"/>
                <w:u w:val="single" w:color="auto"/>
                <w:color w:val="0000FF"/>
                <w:w w:val="91"/>
              </w:rPr>
              <w:t>1)</w:t>
            </w: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24.1*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Powers of Attorney (included on signature page)</w:t>
            </w:r>
          </w:p>
        </w:tc>
        <w:tc>
          <w:tcPr>
            <w:tcW w:w="0" w:type="dxa"/>
            <w:vAlign w:val="bottom"/>
          </w:tcPr>
          <w:p>
            <w:pPr>
              <w:spacing w:after="0"/>
              <w:rPr>
                <w:sz w:val="1"/>
                <w:szCs w:val="1"/>
                <w:color w:val="auto"/>
              </w:rPr>
            </w:pPr>
          </w:p>
        </w:tc>
      </w:tr>
      <w:tr>
        <w:trPr>
          <w:trHeight w:val="20"/>
        </w:trPr>
        <w:tc>
          <w:tcPr>
            <w:tcW w:w="9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5280" w:type="dxa"/>
            <w:vAlign w:val="bottom"/>
            <w:gridSpan w:val="5"/>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7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ABM Industries Incorporated 2021 Equity and Incentive Compensation Plan (Amended and Restated February 10, 2025)</w:t>
            </w:r>
          </w:p>
        </w:tc>
        <w:tc>
          <w:tcPr>
            <w:tcW w:w="80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107.1*</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Filing Fee Table</w:t>
            </w:r>
          </w:p>
        </w:tc>
        <w:tc>
          <w:tcPr>
            <w:tcW w:w="0" w:type="dxa"/>
            <w:vAlign w:val="bottom"/>
          </w:tcPr>
          <w:p>
            <w:pPr>
              <w:spacing w:after="0"/>
              <w:rPr>
                <w:sz w:val="1"/>
                <w:szCs w:val="1"/>
                <w:color w:val="auto"/>
              </w:rPr>
            </w:pPr>
          </w:p>
        </w:tc>
      </w:tr>
      <w:tr>
        <w:trPr>
          <w:trHeight w:val="237"/>
        </w:trPr>
        <w:tc>
          <w:tcPr>
            <w:tcW w:w="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6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3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*Filed herewith</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Undertakings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1120" w:hanging="363"/>
        <w:spacing w:after="0"/>
        <w:tabs>
          <w:tab w:leader="none" w:pos="11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225" w:lineRule="exact"/>
        <w:rPr>
          <w:rFonts w:ascii="Times New Roman" w:cs="Times New Roman" w:eastAsia="Times New Roman" w:hAnsi="Times New Roman"/>
          <w:sz w:val="18"/>
          <w:szCs w:val="18"/>
          <w:color w:val="auto"/>
        </w:rPr>
      </w:pPr>
    </w:p>
    <w:p>
      <w:pPr>
        <w:ind w:left="2040" w:hanging="534"/>
        <w:spacing w:after="0"/>
        <w:tabs>
          <w:tab w:leader="none" w:pos="204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during any period in which offers or sales are being made, a post-effective amendment to this Registration Statement:</w:t>
      </w:r>
    </w:p>
    <w:p>
      <w:pPr>
        <w:spacing w:after="0" w:line="225" w:lineRule="exact"/>
        <w:rPr>
          <w:rFonts w:ascii="Times New Roman" w:cs="Times New Roman" w:eastAsia="Times New Roman" w:hAnsi="Times New Roman"/>
          <w:sz w:val="18"/>
          <w:szCs w:val="18"/>
          <w:color w:val="auto"/>
        </w:rPr>
      </w:pPr>
    </w:p>
    <w:p>
      <w:pPr>
        <w:ind w:left="3560" w:hanging="557"/>
        <w:spacing w:after="0"/>
        <w:tabs>
          <w:tab w:leader="none" w:pos="35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225" w:lineRule="exact"/>
        <w:rPr>
          <w:rFonts w:ascii="Times New Roman" w:cs="Times New Roman" w:eastAsia="Times New Roman" w:hAnsi="Times New Roman"/>
          <w:sz w:val="18"/>
          <w:szCs w:val="18"/>
          <w:color w:val="auto"/>
        </w:rPr>
      </w:pPr>
    </w:p>
    <w:p>
      <w:pPr>
        <w:ind w:left="1500" w:firstLine="1503"/>
        <w:spacing w:after="0" w:line="254" w:lineRule="auto"/>
        <w:tabs>
          <w:tab w:leader="none" w:pos="3564"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755015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97" w:right="419" w:bottom="1440" w:gutter="0" w:footer="0" w:header="0"/>
        </w:sectPr>
      </w:pPr>
    </w:p>
    <w:bookmarkStart w:id="4" w:name="page5"/>
    <w:bookmarkEnd w:id="4"/>
    <w:p>
      <w:pPr>
        <w:ind w:left="1500" w:right="280" w:firstLine="1503"/>
        <w:spacing w:after="0" w:line="282" w:lineRule="auto"/>
        <w:tabs>
          <w:tab w:leader="none" w:pos="356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60" w:lineRule="exact"/>
        <w:rPr>
          <w:sz w:val="20"/>
          <w:szCs w:val="20"/>
          <w:color w:val="auto"/>
        </w:rPr>
      </w:pPr>
    </w:p>
    <w:p>
      <w:pPr>
        <w:ind w:right="60"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paragraphs (a)(1)(i) and (a)(1)(ii) above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the Registration Statement.</w:t>
      </w:r>
    </w:p>
    <w:p>
      <w:pPr>
        <w:spacing w:after="0" w:line="175" w:lineRule="exact"/>
        <w:rPr>
          <w:sz w:val="20"/>
          <w:szCs w:val="20"/>
          <w:color w:val="auto"/>
        </w:rPr>
      </w:pPr>
    </w:p>
    <w:p>
      <w:pPr>
        <w:ind w:right="240" w:firstLine="1506"/>
        <w:spacing w:after="0" w:line="266" w:lineRule="auto"/>
        <w:tabs>
          <w:tab w:leader="none" w:pos="203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75" w:lineRule="exact"/>
        <w:rPr>
          <w:rFonts w:ascii="Times New Roman" w:cs="Times New Roman" w:eastAsia="Times New Roman" w:hAnsi="Times New Roman"/>
          <w:sz w:val="18"/>
          <w:szCs w:val="18"/>
          <w:color w:val="auto"/>
        </w:rPr>
      </w:pPr>
    </w:p>
    <w:p>
      <w:pPr>
        <w:ind w:right="460" w:firstLine="1506"/>
        <w:spacing w:after="0" w:line="282" w:lineRule="auto"/>
        <w:tabs>
          <w:tab w:leader="none" w:pos="203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161" w:lineRule="exact"/>
        <w:rPr>
          <w:rFonts w:ascii="Times New Roman" w:cs="Times New Roman" w:eastAsia="Times New Roman" w:hAnsi="Times New Roman"/>
          <w:sz w:val="18"/>
          <w:szCs w:val="18"/>
          <w:color w:val="auto"/>
        </w:rPr>
      </w:pPr>
    </w:p>
    <w:p>
      <w:pPr>
        <w:ind w:right="60" w:firstLine="757"/>
        <w:spacing w:after="0" w:line="258" w:lineRule="auto"/>
        <w:tabs>
          <w:tab w:leader="none" w:pos="11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183" w:lineRule="exact"/>
        <w:rPr>
          <w:rFonts w:ascii="Times New Roman" w:cs="Times New Roman" w:eastAsia="Times New Roman" w:hAnsi="Times New Roman"/>
          <w:sz w:val="18"/>
          <w:szCs w:val="18"/>
          <w:color w:val="auto"/>
        </w:rPr>
      </w:pPr>
    </w:p>
    <w:p>
      <w:pPr>
        <w:ind w:firstLine="757"/>
        <w:spacing w:after="0" w:line="254" w:lineRule="auto"/>
        <w:tabs>
          <w:tab w:leader="none" w:pos="110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892175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40" w:firstLine="360"/>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Act, the Registrant certifies that it has reasonable grounds to believe that it meets all of the requirements for filing on Form S-8 and has duly caused this Registration Statement to be signed on its behalf by the undersigned, thereunto duly authorized, in the City of New York, State of New York, on this 27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day of March, 2025.</w:t>
      </w:r>
    </w:p>
    <w:p>
      <w:pPr>
        <w:ind w:left="2880"/>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205" w:lineRule="exact"/>
        <w:rPr>
          <w:sz w:val="20"/>
          <w:szCs w:val="20"/>
          <w:color w:val="auto"/>
        </w:rPr>
      </w:pPr>
    </w:p>
    <w:p>
      <w:pPr>
        <w:ind w:left="2880"/>
        <w:spacing w:after="0"/>
        <w:tabs>
          <w:tab w:leader="none" w:pos="3320" w:val="left"/>
        </w:tabs>
        <w:rPr>
          <w:sz w:val="20"/>
          <w:szCs w:val="20"/>
          <w:color w:val="auto"/>
        </w:rPr>
      </w:pPr>
      <w:r>
        <w:rPr>
          <w:rFonts w:ascii="Times New Roman" w:cs="Times New Roman" w:eastAsia="Times New Roman" w:hAnsi="Times New Roman"/>
          <w:sz w:val="18"/>
          <w:szCs w:val="18"/>
          <w:color w:val="auto"/>
        </w:rPr>
        <w:t>By:</w:t>
        <w:tab/>
        <w:t>/s/ 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2061845</wp:posOffset>
            </wp:positionH>
            <wp:positionV relativeFrom="paragraph">
              <wp:posOffset>-7620</wp:posOffset>
            </wp:positionV>
            <wp:extent cx="137096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1370965" cy="8890"/>
                    </a:xfrm>
                    <a:prstGeom prst="rect">
                      <a:avLst/>
                    </a:prstGeom>
                    <a:noFill/>
                  </pic:spPr>
                </pic:pic>
              </a:graphicData>
            </a:graphic>
          </wp:anchor>
        </w:drawing>
      </w:r>
    </w:p>
    <w:p>
      <w:pPr>
        <w:spacing w:after="0" w:line="7"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David R. Goldman</w:t>
      </w:r>
    </w:p>
    <w:p>
      <w:pPr>
        <w:spacing w:after="0" w:line="9"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Vice President and Corporate Secretary</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160" w:firstLine="360"/>
        <w:spacing w:after="0" w:line="254" w:lineRule="auto"/>
        <w:rPr>
          <w:sz w:val="20"/>
          <w:szCs w:val="20"/>
          <w:color w:val="auto"/>
        </w:rPr>
      </w:pPr>
      <w:r>
        <w:rPr>
          <w:rFonts w:ascii="Times New Roman" w:cs="Times New Roman" w:eastAsia="Times New Roman" w:hAnsi="Times New Roman"/>
          <w:sz w:val="18"/>
          <w:szCs w:val="18"/>
          <w:color w:val="auto"/>
        </w:rPr>
        <w:t>Each of the undersigned directors and officers of ABM Industries Incorporated, a Delaware corporation, do hereby constitute and appoint Scott Salmirs, Earl Ellis and David R. Goldman, or any one of them, the undersigned’s true and lawful attorneys and agents, with full power of substitution and resubstitution in each, to do any and all acts and things in our name and on our behalf in our respective capacities as directors and officers and to execute any and all instruments for us and in our names in the capacities indicated below, which said attorneys and agents, or either one of them, may deem necessary or advisable to enable said corporation to comply with the Securities Act, as amended, and any rules, regulations and requirements of the Commission, in connection with this Registration Statement, including specifically, but without limitation, power and authority to sign for us or any of us in our names in the capacities indicated below, any and all amendments (including post-effective amendments) hereto, and each of the undersigned does hereby ratify and confirm all that said attorneys and agents, or either one of them or any substitute, shall do or cause to be done by virtue hereof. This Power of Attorney may be executed in any number of counterparts.</w:t>
      </w:r>
    </w:p>
    <w:p>
      <w:pPr>
        <w:spacing w:after="0" w:line="188" w:lineRule="exact"/>
        <w:rPr>
          <w:sz w:val="20"/>
          <w:szCs w:val="20"/>
          <w:color w:val="auto"/>
        </w:rPr>
      </w:pPr>
    </w:p>
    <w:p>
      <w:pPr>
        <w:ind w:right="100" w:firstLine="3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as amended,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720" w:type="dxa"/>
            <w:vAlign w:val="bottom"/>
            <w:gridSpan w:val="3"/>
          </w:tcPr>
          <w:p>
            <w:pPr>
              <w:ind w:left="1220"/>
              <w:spacing w:after="0"/>
              <w:rPr>
                <w:sz w:val="20"/>
                <w:szCs w:val="20"/>
                <w:color w:val="auto"/>
              </w:rPr>
            </w:pPr>
            <w:r>
              <w:rPr>
                <w:rFonts w:ascii="Times New Roman" w:cs="Times New Roman" w:eastAsia="Times New Roman" w:hAnsi="Times New Roman"/>
                <w:sz w:val="18"/>
                <w:szCs w:val="18"/>
                <w:b w:val="1"/>
                <w:bCs w:val="1"/>
                <w:color w:val="auto"/>
              </w:rPr>
              <w:t>Date</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 Scott Salmirs</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191"/>
        </w:trPr>
        <w:tc>
          <w:tcPr>
            <w:tcW w:w="3160" w:type="dxa"/>
            <w:vAlign w:val="bottom"/>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Scott Salmirs</w:t>
            </w:r>
          </w:p>
        </w:tc>
        <w:tc>
          <w:tcPr>
            <w:tcW w:w="5360" w:type="dxa"/>
            <w:vAlign w:val="bottom"/>
            <w:gridSpan w:val="3"/>
            <w:vMerge w:val="continue"/>
          </w:tcPr>
          <w:p>
            <w:pPr>
              <w:spacing w:after="0"/>
              <w:rPr>
                <w:sz w:val="16"/>
                <w:szCs w:val="16"/>
                <w:color w:val="auto"/>
              </w:rPr>
            </w:pPr>
          </w:p>
        </w:tc>
        <w:tc>
          <w:tcPr>
            <w:tcW w:w="2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 Earl R. Ellis</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191"/>
        </w:trPr>
        <w:tc>
          <w:tcPr>
            <w:tcW w:w="3160" w:type="dxa"/>
            <w:vAlign w:val="bottom"/>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Earl Ellis</w:t>
            </w:r>
          </w:p>
        </w:tc>
        <w:tc>
          <w:tcPr>
            <w:tcW w:w="5360" w:type="dxa"/>
            <w:vAlign w:val="bottom"/>
            <w:gridSpan w:val="3"/>
            <w:vMerge w:val="continue"/>
          </w:tcPr>
          <w:p>
            <w:pPr>
              <w:spacing w:after="0"/>
              <w:rPr>
                <w:sz w:val="16"/>
                <w:szCs w:val="16"/>
                <w:color w:val="auto"/>
              </w:rPr>
            </w:pPr>
          </w:p>
        </w:tc>
        <w:tc>
          <w:tcPr>
            <w:tcW w:w="2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Financial Officer)</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 Dean A. Chin</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Senior Vice President, Chief Accounting Officer, Corporate Controller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191"/>
        </w:trPr>
        <w:tc>
          <w:tcPr>
            <w:tcW w:w="3160" w:type="dxa"/>
            <w:vAlign w:val="bottom"/>
            <w:gridSpan w:val="5"/>
          </w:tcPr>
          <w:p>
            <w:pPr>
              <w:ind w:left="100"/>
              <w:spacing w:after="0" w:line="191" w:lineRule="exact"/>
              <w:rPr>
                <w:sz w:val="20"/>
                <w:szCs w:val="20"/>
                <w:color w:val="auto"/>
              </w:rPr>
            </w:pPr>
            <w:r>
              <w:rPr>
                <w:rFonts w:ascii="Times New Roman" w:cs="Times New Roman" w:eastAsia="Times New Roman" w:hAnsi="Times New Roman"/>
                <w:sz w:val="18"/>
                <w:szCs w:val="18"/>
                <w:color w:val="auto"/>
              </w:rPr>
              <w:t>Dean A. Chin</w:t>
            </w:r>
          </w:p>
        </w:tc>
        <w:tc>
          <w:tcPr>
            <w:tcW w:w="5360" w:type="dxa"/>
            <w:vAlign w:val="bottom"/>
            <w:gridSpan w:val="3"/>
            <w:vMerge w:val="continue"/>
          </w:tcPr>
          <w:p>
            <w:pPr>
              <w:spacing w:after="0"/>
              <w:rPr>
                <w:sz w:val="16"/>
                <w:szCs w:val="16"/>
                <w:color w:val="auto"/>
              </w:rPr>
            </w:pPr>
          </w:p>
        </w:tc>
        <w:tc>
          <w:tcPr>
            <w:tcW w:w="272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and Treasurer</w:t>
            </w:r>
          </w:p>
        </w:tc>
        <w:tc>
          <w:tcPr>
            <w:tcW w:w="1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 Sudhakar Kesavan</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Chairman of the Board and Director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28"/>
        </w:trPr>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Sudhakar Kesavan</w:t>
            </w:r>
          </w:p>
        </w:tc>
        <w:tc>
          <w:tcPr>
            <w:tcW w:w="5360" w:type="dxa"/>
            <w:vAlign w:val="bottom"/>
            <w:gridSpan w:val="3"/>
            <w:vMerge w:val="continue"/>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 Quincy L. Allen</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28"/>
        </w:trPr>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Quincy L. Allen</w:t>
            </w:r>
          </w:p>
        </w:tc>
        <w:tc>
          <w:tcPr>
            <w:tcW w:w="5360" w:type="dxa"/>
            <w:vAlign w:val="bottom"/>
            <w:gridSpan w:val="3"/>
            <w:vMerge w:val="continue"/>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 LeighAnne G. Baker</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28"/>
        </w:trPr>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LeighAnne G. Baker</w:t>
            </w:r>
          </w:p>
        </w:tc>
        <w:tc>
          <w:tcPr>
            <w:tcW w:w="5360" w:type="dxa"/>
            <w:vAlign w:val="bottom"/>
            <w:gridSpan w:val="3"/>
            <w:vMerge w:val="continue"/>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 Donald F. Colleran</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28"/>
        </w:trPr>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Donald F. Colleran</w:t>
            </w:r>
          </w:p>
        </w:tc>
        <w:tc>
          <w:tcPr>
            <w:tcW w:w="5360" w:type="dxa"/>
            <w:vAlign w:val="bottom"/>
            <w:gridSpan w:val="3"/>
            <w:vMerge w:val="continue"/>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373"/>
        </w:trPr>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/s/ James D. DeVries</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360" w:type="dxa"/>
            <w:vAlign w:val="bottom"/>
            <w:gridSpan w:val="3"/>
            <w:vMerge w:val="continue"/>
          </w:tcPr>
          <w:p>
            <w:pPr>
              <w:spacing w:after="0" w:line="20" w:lineRule="exact"/>
              <w:rPr>
                <w:sz w:val="1"/>
                <w:szCs w:val="1"/>
                <w:color w:val="auto"/>
              </w:rPr>
            </w:pPr>
          </w:p>
        </w:tc>
        <w:tc>
          <w:tcPr>
            <w:tcW w:w="272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James D. DeVries</w:t>
            </w:r>
          </w:p>
        </w:tc>
        <w:tc>
          <w:tcPr>
            <w:tcW w:w="5360" w:type="dxa"/>
            <w:vAlign w:val="bottom"/>
            <w:gridSpan w:val="3"/>
            <w:vMerge w:val="continue"/>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630"/>
        </w:trPr>
        <w:tc>
          <w:tcPr>
            <w:tcW w:w="316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 Art A. Garcia</w:t>
            </w:r>
          </w:p>
        </w:tc>
        <w:tc>
          <w:tcPr>
            <w:tcW w:w="536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720" w:type="dxa"/>
            <w:vAlign w:val="bottom"/>
            <w:gridSpan w:val="3"/>
            <w:vMerge w:val="restart"/>
          </w:tcPr>
          <w:p>
            <w:pPr>
              <w:ind w:left="18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28"/>
        </w:trPr>
        <w:tc>
          <w:tcPr>
            <w:tcW w:w="3160" w:type="dxa"/>
            <w:vAlign w:val="bottom"/>
            <w:gridSpan w:val="5"/>
          </w:tcPr>
          <w:p>
            <w:pPr>
              <w:ind w:left="100"/>
              <w:spacing w:after="0"/>
              <w:rPr>
                <w:sz w:val="20"/>
                <w:szCs w:val="20"/>
                <w:color w:val="auto"/>
              </w:rPr>
            </w:pPr>
            <w:r>
              <w:rPr>
                <w:rFonts w:ascii="Times New Roman" w:cs="Times New Roman" w:eastAsia="Times New Roman" w:hAnsi="Times New Roman"/>
                <w:sz w:val="18"/>
                <w:szCs w:val="18"/>
                <w:color w:val="auto"/>
              </w:rPr>
              <w:t>Art A. Garcia</w:t>
            </w:r>
          </w:p>
        </w:tc>
        <w:tc>
          <w:tcPr>
            <w:tcW w:w="5360" w:type="dxa"/>
            <w:vAlign w:val="bottom"/>
            <w:gridSpan w:val="3"/>
            <w:vMerge w:val="continue"/>
          </w:tcPr>
          <w:p>
            <w:pPr>
              <w:spacing w:after="0"/>
              <w:rPr>
                <w:sz w:val="19"/>
                <w:szCs w:val="19"/>
                <w:color w:val="auto"/>
              </w:rPr>
            </w:pPr>
          </w:p>
        </w:tc>
        <w:tc>
          <w:tcPr>
            <w:tcW w:w="2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88"/>
        </w:trPr>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5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4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3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Thomas M. Gartland</w:t>
            </w:r>
          </w:p>
        </w:tc>
        <w:tc>
          <w:tcPr>
            <w:tcW w:w="3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496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28"/>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Thomas M. Gartland</w:t>
            </w:r>
          </w:p>
        </w:tc>
        <w:tc>
          <w:tcPr>
            <w:tcW w:w="3120" w:type="dxa"/>
            <w:vAlign w:val="bottom"/>
            <w:vMerge w:val="continue"/>
          </w:tcPr>
          <w:p>
            <w:pPr>
              <w:spacing w:after="0"/>
              <w:rPr>
                <w:sz w:val="19"/>
                <w:szCs w:val="19"/>
                <w:color w:val="auto"/>
              </w:rPr>
            </w:pPr>
          </w:p>
        </w:tc>
        <w:tc>
          <w:tcPr>
            <w:tcW w:w="4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Jill M. Golder</w:t>
            </w:r>
          </w:p>
        </w:tc>
        <w:tc>
          <w:tcPr>
            <w:tcW w:w="3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496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28"/>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Jill M. Golder</w:t>
            </w:r>
          </w:p>
        </w:tc>
        <w:tc>
          <w:tcPr>
            <w:tcW w:w="3120" w:type="dxa"/>
            <w:vAlign w:val="bottom"/>
            <w:vMerge w:val="continue"/>
          </w:tcPr>
          <w:p>
            <w:pPr>
              <w:spacing w:after="0"/>
              <w:rPr>
                <w:sz w:val="19"/>
                <w:szCs w:val="19"/>
                <w:color w:val="auto"/>
              </w:rPr>
            </w:pPr>
          </w:p>
        </w:tc>
        <w:tc>
          <w:tcPr>
            <w:tcW w:w="4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316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 Winifred M. Webb</w:t>
            </w:r>
          </w:p>
        </w:tc>
        <w:tc>
          <w:tcPr>
            <w:tcW w:w="312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4960" w:type="dxa"/>
            <w:vAlign w:val="bottom"/>
            <w:vMerge w:val="restart"/>
          </w:tcPr>
          <w:p>
            <w:pPr>
              <w:ind w:left="2420"/>
              <w:spacing w:after="0"/>
              <w:rPr>
                <w:sz w:val="20"/>
                <w:szCs w:val="20"/>
                <w:color w:val="auto"/>
              </w:rPr>
            </w:pPr>
            <w:r>
              <w:rPr>
                <w:rFonts w:ascii="Times New Roman" w:cs="Times New Roman" w:eastAsia="Times New Roman" w:hAnsi="Times New Roman"/>
                <w:sz w:val="18"/>
                <w:szCs w:val="18"/>
                <w:color w:val="auto"/>
              </w:rPr>
              <w:t>March 27, 2025</w:t>
            </w:r>
          </w:p>
        </w:tc>
        <w:tc>
          <w:tcPr>
            <w:tcW w:w="0" w:type="dxa"/>
            <w:vAlign w:val="bottom"/>
          </w:tcPr>
          <w:p>
            <w:pPr>
              <w:spacing w:after="0"/>
              <w:rPr>
                <w:sz w:val="1"/>
                <w:szCs w:val="1"/>
                <w:color w:val="auto"/>
              </w:rPr>
            </w:pPr>
          </w:p>
        </w:tc>
      </w:tr>
      <w:tr>
        <w:trPr>
          <w:trHeight w:val="228"/>
        </w:trPr>
        <w:tc>
          <w:tcPr>
            <w:tcW w:w="3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Winifred M. Webb</w:t>
            </w:r>
          </w:p>
        </w:tc>
        <w:tc>
          <w:tcPr>
            <w:tcW w:w="3120" w:type="dxa"/>
            <w:vAlign w:val="bottom"/>
            <w:vMerge w:val="continue"/>
          </w:tcPr>
          <w:p>
            <w:pPr>
              <w:spacing w:after="0"/>
              <w:rPr>
                <w:sz w:val="19"/>
                <w:szCs w:val="19"/>
                <w:color w:val="auto"/>
              </w:rPr>
            </w:pPr>
          </w:p>
        </w:tc>
        <w:tc>
          <w:tcPr>
            <w:tcW w:w="4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988"/>
        </w:trPr>
        <w:tc>
          <w:tcPr>
            <w:tcW w:w="316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49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March 27, 2025</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ABM Industries Incorporated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Liberty Plaza, 7th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10006</w:t>
      </w:r>
    </w:p>
    <w:p>
      <w:pPr>
        <w:spacing w:after="0" w:line="194"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Re:</w:t>
            </w:r>
          </w:p>
        </w:tc>
        <w:tc>
          <w:tcPr>
            <w:tcW w:w="6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Registration Statement on Form S-8 Filed by ABM Industries Incorporated</w:t>
            </w:r>
          </w:p>
        </w:tc>
      </w:tr>
      <w:tr>
        <w:trPr>
          <w:trHeight w:val="20"/>
        </w:trPr>
        <w:tc>
          <w:tcPr>
            <w:tcW w:w="560" w:type="dxa"/>
            <w:vAlign w:val="bottom"/>
          </w:tcPr>
          <w:p>
            <w:pPr>
              <w:spacing w:after="0" w:line="20" w:lineRule="exact"/>
              <w:rPr>
                <w:sz w:val="1"/>
                <w:szCs w:val="1"/>
                <w:color w:val="auto"/>
              </w:rPr>
            </w:pPr>
          </w:p>
        </w:tc>
        <w:tc>
          <w:tcPr>
            <w:tcW w:w="542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560" w:type="dxa"/>
            <w:vAlign w:val="bottom"/>
          </w:tcPr>
          <w:p>
            <w:pPr>
              <w:spacing w:after="0"/>
              <w:rPr>
                <w:sz w:val="17"/>
                <w:szCs w:val="17"/>
                <w:color w:val="auto"/>
              </w:rPr>
            </w:pPr>
          </w:p>
        </w:tc>
        <w:tc>
          <w:tcPr>
            <w:tcW w:w="6560" w:type="dxa"/>
            <w:vAlign w:val="bottom"/>
            <w:tcBorders>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2021 Equity and Incentive Compensation Plan (Amended and Restated February 10, 2025)</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I am the Vice President and Corporate Secretary of ABM Industries Incorporated, a company incorporated under the laws of Delaware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In connection with the registration of 2,425,000 shares (the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of common stock, par value $0.01 per share, of the Company that may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issued or delivered and sold pursuant to the ABM Industries Incorporated 2021 Equity and Incentive Compensation Plan (Amended and Restated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10, 2025)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 have examined such documents, records and matters of law as I have deemed relevant or necessary for purposes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opinion.</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Based on the foregoing, and subject to the further limitations, qualifications and assumptions set forth herein, I am of the opinion that the Shares that may be issued or delivered and sold pursuant to the Plan and the authorized forms of stock option, stock appreciation right, restricted stock, restricted stock unit, performance share, performance unit or other applicable agreements thereunder (collectively, the “</w:t>
      </w:r>
      <w:r>
        <w:rPr>
          <w:rFonts w:ascii="Times New Roman" w:cs="Times New Roman" w:eastAsia="Times New Roman" w:hAnsi="Times New Roman"/>
          <w:sz w:val="18"/>
          <w:szCs w:val="18"/>
          <w:b w:val="1"/>
          <w:bCs w:val="1"/>
          <w:i w:val="1"/>
          <w:iCs w:val="1"/>
          <w:color w:val="auto"/>
        </w:rPr>
        <w:t>Evidence of Awards</w:t>
      </w:r>
      <w:r>
        <w:rPr>
          <w:rFonts w:ascii="Times New Roman" w:cs="Times New Roman" w:eastAsia="Times New Roman" w:hAnsi="Times New Roman"/>
          <w:sz w:val="18"/>
          <w:szCs w:val="18"/>
          <w:color w:val="auto"/>
        </w:rPr>
        <w:t>”) will be, when issued or delivered and sold in accordance with the Plan and the applicable Evidence of Awards, validly issued, fully paid and nonassessable, provided that the consideration for the Shares is at least equal to the stated par value thereof.</w:t>
      </w:r>
    </w:p>
    <w:p>
      <w:pPr>
        <w:spacing w:after="0" w:line="143"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This opinion is addressed to you in connection with the filing by the Company of the Registration Statement with the Securities and Exchange Commission. I consent to the inclusion of this opinion as Exhibit 5.1 to the Registration Statement. In giving such consent, I do not thereby admit that I am included in the category of persons whose consent is required under Section 7 of the Securities Act of 1933 (the “</w:t>
      </w:r>
      <w:r>
        <w:rPr>
          <w:rFonts w:ascii="Times New Roman" w:cs="Times New Roman" w:eastAsia="Times New Roman" w:hAnsi="Times New Roman"/>
          <w:sz w:val="18"/>
          <w:szCs w:val="18"/>
          <w:b w:val="1"/>
          <w:bCs w:val="1"/>
          <w:i w:val="1"/>
          <w:iCs w:val="1"/>
          <w:color w:val="auto"/>
        </w:rPr>
        <w:t>Act</w:t>
      </w:r>
      <w:r>
        <w:rPr>
          <w:rFonts w:ascii="Times New Roman" w:cs="Times New Roman" w:eastAsia="Times New Roman" w:hAnsi="Times New Roman"/>
          <w:sz w:val="18"/>
          <w:szCs w:val="18"/>
          <w:color w:val="auto"/>
        </w:rPr>
        <w:t>”) or the rules and regulations of the Securities and Exchange Commission promulgated thereunder.</w:t>
      </w:r>
    </w:p>
    <w:p>
      <w:pPr>
        <w:spacing w:after="0" w:line="13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This opinion speaks as of its date and is strictly limited to the matters stated herein and I assume no obligation to review or update this opinion if applicable law or the existing facts or circumstances should change. This opinion is governed by and is to be construed in accordance with Delaware law. It is given on the basis that it will not give rise to any legal proceedings with respect thereto in any jurisdiction other than Delaware.</w:t>
      </w:r>
    </w:p>
    <w:p>
      <w:pPr>
        <w:spacing w:after="0" w:line="365"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306"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David R. Goldman</w:t>
      </w:r>
    </w:p>
    <w:p>
      <w:pPr>
        <w:spacing w:after="0" w:line="5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David R. Goldman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-127635</wp:posOffset>
            </wp:positionV>
            <wp:extent cx="27774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2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i w:val="1"/>
          <w:iCs w:val="1"/>
          <w:color w:val="auto"/>
        </w:rPr>
        <w:t>Vice President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1386205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08"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KPMG LLP</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345 Park Avenue</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New York, NY 10154-0102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85" w:lineRule="exact"/>
        <w:rPr>
          <w:sz w:val="20"/>
          <w:szCs w:val="20"/>
          <w:color w:val="auto"/>
        </w:rPr>
      </w:pPr>
    </w:p>
    <w:p>
      <w:pPr>
        <w:jc w:val="both"/>
        <w:ind w:right="520"/>
        <w:spacing w:after="0" w:line="253" w:lineRule="auto"/>
        <w:rPr>
          <w:sz w:val="20"/>
          <w:szCs w:val="20"/>
          <w:color w:val="auto"/>
        </w:rPr>
      </w:pPr>
      <w:r>
        <w:rPr>
          <w:rFonts w:ascii="Arial" w:cs="Arial" w:eastAsia="Arial" w:hAnsi="Arial"/>
          <w:sz w:val="18"/>
          <w:szCs w:val="18"/>
          <w:color w:val="auto"/>
        </w:rPr>
        <w:t>We consent to the use of our reports dated December 19, 2024, with respect to the consolidated financial statements of ABM Industries Incorporated and subsidiaries, and the effectiveness of internal control over financial reporting,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-8890</wp:posOffset>
            </wp:positionV>
            <wp:extent cx="1097280" cy="2228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1097280" cy="2228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-95885</wp:posOffset>
            </wp:positionH>
            <wp:positionV relativeFrom="paragraph">
              <wp:posOffset>999490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60" w:top="377" w:right="4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ABM INDUSTRIES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2021 EQUITY AND INCENTIVE COMPENSATION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FEBRUARY 10, 2025)</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757"/>
        <w:spacing w:after="0" w:line="268" w:lineRule="auto"/>
        <w:tabs>
          <w:tab w:leader="none" w:pos="113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purpose of this Plan is to permit grants to non-employee Directors, officers and other employees of the Company and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and certain Consultants to the Company and its Subsidiaries, and to provide to such persons incentives and rewards for service and/or performance.</w:t>
      </w:r>
    </w:p>
    <w:p>
      <w:pPr>
        <w:spacing w:after="0" w:line="170"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Definitions. </w:t>
      </w:r>
      <w:r>
        <w:rPr>
          <w:rFonts w:ascii="Times New Roman" w:cs="Times New Roman" w:eastAsia="Times New Roman" w:hAnsi="Times New Roman"/>
          <w:sz w:val="18"/>
          <w:szCs w:val="18"/>
          <w:color w:val="auto"/>
        </w:rPr>
        <w:t>As used in this Plan:</w:t>
      </w:r>
    </w:p>
    <w:p>
      <w:pPr>
        <w:spacing w:after="0" w:line="229" w:lineRule="exact"/>
        <w:rPr>
          <w:rFonts w:ascii="Times New Roman" w:cs="Times New Roman" w:eastAsia="Times New Roman" w:hAnsi="Times New Roman"/>
          <w:sz w:val="18"/>
          <w:szCs w:val="18"/>
          <w:color w:val="auto"/>
        </w:rPr>
      </w:pPr>
    </w:p>
    <w:p>
      <w:pPr>
        <w:ind w:firstLine="1505"/>
        <w:spacing w:after="0" w:line="282" w:lineRule="auto"/>
        <w:tabs>
          <w:tab w:leader="none" w:pos="18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 person that directly, or indirectly through one or more intermediaries, controls or is controlled by, or is under common control with, the person specified.</w:t>
      </w:r>
    </w:p>
    <w:p>
      <w:pPr>
        <w:spacing w:after="0" w:line="157"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“Appreciation Right” means a right granted pursuant to </w:t>
      </w:r>
      <w:r>
        <w:rPr>
          <w:rFonts w:ascii="Times New Roman" w:cs="Times New Roman" w:eastAsia="Times New Roman" w:hAnsi="Times New Roman"/>
          <w:sz w:val="18"/>
          <w:szCs w:val="18"/>
          <w:b w:val="1"/>
          <w:bCs w:val="1"/>
          <w:u w:val="single" w:color="auto"/>
          <w:color w:val="auto"/>
        </w:rPr>
        <w:t>Section 5</w:t>
      </w:r>
      <w:r>
        <w:rPr>
          <w:rFonts w:ascii="Times New Roman" w:cs="Times New Roman" w:eastAsia="Times New Roman" w:hAnsi="Times New Roman"/>
          <w:sz w:val="18"/>
          <w:szCs w:val="18"/>
          <w:color w:val="auto"/>
        </w:rPr>
        <w:t xml:space="preserve"> of this Plan.</w:t>
      </w:r>
    </w:p>
    <w:p>
      <w:pPr>
        <w:spacing w:after="0" w:line="22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Price” means the price to be used as the basis for determining the Spread upon the exercise of an Appreciation Right.</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has the meaning provided in Rule 13d-3 of the Exchange Act.</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Company.</w:t>
      </w:r>
    </w:p>
    <w:p>
      <w:pPr>
        <w:spacing w:after="0" w:line="22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Incentive Award” means a cash award granted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in Control” has the meaning set forth in </w:t>
      </w:r>
      <w:r>
        <w:rPr>
          <w:rFonts w:ascii="Times New Roman" w:cs="Times New Roman" w:eastAsia="Times New Roman" w:hAnsi="Times New Roman"/>
          <w:sz w:val="18"/>
          <w:szCs w:val="18"/>
          <w:b w:val="1"/>
          <w:bCs w:val="1"/>
          <w:u w:val="single" w:color="auto"/>
          <w:color w:val="auto"/>
        </w:rPr>
        <w:t>Section 12</w:t>
      </w:r>
      <w:r>
        <w:rPr>
          <w:rFonts w:ascii="Times New Roman" w:cs="Times New Roman" w:eastAsia="Times New Roman" w:hAnsi="Times New Roman"/>
          <w:sz w:val="18"/>
          <w:szCs w:val="18"/>
          <w:color w:val="auto"/>
        </w:rPr>
        <w:t xml:space="preserve"> of this Plan.</w:t>
      </w:r>
    </w:p>
    <w:p>
      <w:pPr>
        <w:spacing w:after="0" w:line="229"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means the Internal Revenue Code of 1986, as amended, and the regulations thereunder, as such law and regulations may be amended from time to time.</w:t>
      </w:r>
    </w:p>
    <w:p>
      <w:pPr>
        <w:spacing w:after="0" w:line="161" w:lineRule="exact"/>
        <w:rPr>
          <w:rFonts w:ascii="Times New Roman" w:cs="Times New Roman" w:eastAsia="Times New Roman" w:hAnsi="Times New Roman"/>
          <w:sz w:val="18"/>
          <w:szCs w:val="18"/>
          <w:color w:val="auto"/>
        </w:rPr>
      </w:pPr>
    </w:p>
    <w:p>
      <w:pPr>
        <w:ind w:firstLine="1505"/>
        <w:spacing w:after="0" w:line="282" w:lineRule="auto"/>
        <w:tabs>
          <w:tab w:leader="none" w:pos="18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“Committee” means the Compensation Committee of the Board (or its successor(s)), or any other committee of the Board designated by the Board or the Committee to administer this Plan pursuant to </w:t>
      </w:r>
      <w:r>
        <w:rPr>
          <w:rFonts w:ascii="Times New Roman" w:cs="Times New Roman" w:eastAsia="Times New Roman" w:hAnsi="Times New Roman"/>
          <w:sz w:val="18"/>
          <w:szCs w:val="18"/>
          <w:b w:val="1"/>
          <w:bCs w:val="1"/>
          <w:u w:val="single" w:color="auto"/>
          <w:color w:val="auto"/>
        </w:rPr>
        <w:t>Section 10</w:t>
      </w:r>
      <w:r>
        <w:rPr>
          <w:rFonts w:ascii="Times New Roman" w:cs="Times New Roman" w:eastAsia="Times New Roman" w:hAnsi="Times New Roman"/>
          <w:sz w:val="18"/>
          <w:szCs w:val="18"/>
          <w:color w:val="auto"/>
        </w:rPr>
        <w:t xml:space="preserve"> of this Plan.</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“Common Stock” means the common stock, par value $.01 per share, of the Company or any security into which such common stock may be changed by reason of any transaction or event of the type referred to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ABM Industries Inc., a Delaware corporation, and its successors.</w:t>
      </w:r>
    </w:p>
    <w:p>
      <w:pPr>
        <w:spacing w:after="0" w:line="225"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 person that provides bona fide services to the Company and/or its Affiliates that are equivalent to those typically provided by an employee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person satisfies the Form S-8 definition of an “employee”).</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“Date of Grant” means the date provided for by the Committee on which a grant of Option Rights, Appreciation Rights, Performance Shares, Performance Units, Cash Incentive Awards, or other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or a grant or sale of Restricted Stock, Restricted Stock Units, or other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will become effective (which date will not be earlier than the date on which the Committee takes action with respect thereto).</w:t>
      </w:r>
    </w:p>
    <w:p>
      <w:pPr>
        <w:spacing w:after="0" w:line="17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means the date this Plan was originally approved by the Stockholders, March 24,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both"/>
        <w:ind w:firstLine="1505"/>
        <w:spacing w:after="0" w:line="261" w:lineRule="auto"/>
        <w:tabs>
          <w:tab w:leader="none" w:pos="18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of Award” means an agreement, certificate, resolution or other type or form of writing or other evidence approved by the Committee that sets forth the terms and conditions of an award granted under this Plan. An Evidence of Award may be in an electronic medium, may be limited to notation on the books and records of the Company and, unless otherwise determined by the Committee, need not be signed by a representative of the Company or a Participant.</w:t>
      </w:r>
    </w:p>
    <w:p>
      <w:pPr>
        <w:spacing w:after="0" w:line="179"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and the rules and regulations thereunder, as such law, rules and regulations may be amended from time to time.</w:t>
      </w:r>
    </w:p>
    <w:p>
      <w:pPr>
        <w:spacing w:after="0" w:line="161"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 means an Option Right that is intended to qualify as an “incentive stock option” under Section 422 of the Code or any successor provision.</w:t>
      </w:r>
    </w:p>
    <w:p>
      <w:pPr>
        <w:spacing w:after="0" w:line="161" w:lineRule="exact"/>
        <w:rPr>
          <w:rFonts w:ascii="Times New Roman" w:cs="Times New Roman" w:eastAsia="Times New Roman" w:hAnsi="Times New Roman"/>
          <w:sz w:val="18"/>
          <w:szCs w:val="18"/>
          <w:color w:val="auto"/>
        </w:rPr>
      </w:pPr>
    </w:p>
    <w:p>
      <w:pPr>
        <w:jc w:val="both"/>
        <w:ind w:firstLine="1505"/>
        <w:spacing w:after="0" w:line="254" w:lineRule="auto"/>
        <w:tabs>
          <w:tab w:leader="none" w:pos="18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“Incumbent Directors” means the individuals who, as of the Effective Date, are Directors of the Company and any individual becoming a Director subsequent to the Effective Date whose election, nomination for election by the Company’s Stockholders or appointment was approved by a vote of at least two-thirds of the then Incumbent Directors (either by a specific vote or by approval of the proxy statement of the Company in which such person is named as a nominee for director, without objection to such nomination);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 individual shall not be an Incumbent Director if such individual’s election or appointment to the Board occurs as a result of an actual or threatened election contest (as described in Rule 14a-12(c) of the Exchange Act) with respect to the election or removal of Directors or other actual or threatened solicitation of proxies or consents (including through the use of any proxy access procedures set forth in the Company’s organizational documents) by or on behalf of a Person other than the Board.</w:t>
      </w:r>
    </w:p>
    <w:p>
      <w:pPr>
        <w:spacing w:after="0" w:line="191" w:lineRule="exact"/>
        <w:rPr>
          <w:rFonts w:ascii="Times New Roman" w:cs="Times New Roman" w:eastAsia="Times New Roman" w:hAnsi="Times New Roman"/>
          <w:sz w:val="18"/>
          <w:szCs w:val="18"/>
          <w:color w:val="auto"/>
        </w:rPr>
      </w:pPr>
    </w:p>
    <w:p>
      <w:pPr>
        <w:jc w:val="both"/>
        <w:ind w:firstLine="1505"/>
        <w:spacing w:after="0" w:line="251" w:lineRule="auto"/>
        <w:tabs>
          <w:tab w:leader="none" w:pos="185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Objectives” means the performance objective or objectives established pursuant to this Plan for Participants who have received grants of Performance Shares, Performance Units or Cash Incentive Awards or, when so determined by the Committee, Option Rights, Appreciation Rights, Restricted Stock, Restricted Stock Units, dividend equivalents or other awards pursuant to this Plan. A non-exhaustive list of the potential Management Objectives that may be used for awards under this Plan includes the following (including ratios or other relationships between one or more, or a combination, of the following examples of Management Objectives and which Management Objectives may relate to the Company or any Subsidiary, including, without limitation, any business unit/segment, division, department, or function within the Company or any Subsidiary): absolute or relative stockholder return; earnings per share; stock price; return on equity; return on invested capital; net earnings; income from continuing operations; related return ratios; cash flow; net earnings growth; earnings before interest, taxes, depreciation and amortization (“EBITDA”); gross or operating margins; operating profit; productivity ratios; expense targets; operating efficiency; market share; customer retention and/or satisfaction; safety; diversity; employee recruitment, engagement, retention and/or training; employee satisfaction; environmental performance or goals, working capital targets (including, but not limited to days sales outstanding); sales; return on assets; revenues; decrease in expenses; increase in funds from operations (“FFO”); and increase in FFO per share, any of which may be measured either in absolute terms or as compared to any incremental increase or as compared to results of a peer group. If the Committee determines that a change in the business, operations, corporate structure or capital structure of the Company, or the manner in which it conducts its business, or other events or circumstances render the Management Objectives unsuitable, the Committee may in its discretion modify such Management Objectives or the goals or actual levels of achievement regarding the Management Objectives, in whole or in part, as the Committee deems appropriate and equitable. The Committee may also specify that the Management Objectives may include adjustments to include or exclude the effects of certain events, including, but not limited to, any of the following events: the impairment of tangible or intangible assets; asset write-downs; litigation or claim judgments or settlements; acquisitions or divestitures; gains or losses on the sale of assets; severance, contract termination and other costs relating to certain business activities; gains or losses from the disposition of businesses or assets or from the early extinguishment of debt; foreign exchange gains and/or losses; changes in tax law, accounting principles, accounting estimates or other such laws or provisions affecting reported results; changes in regulations that directly impact the business; the effect of any statements issued by the Financial Accounting Standards Board or its committees; business combinations, reorganizations and/or restructuring programs, including, but not limited to reductions in force and early retirement incentives; currency fluctuations; any unusual, infrequent or non-recurring items, including, but not limited to, such items described in management’s discussion and analysis of financial condition and results of operations or the financial statements and/or notes thereto appearing in the Company’s annual report for the applicable period; and expenses related to goodwill and other intangible assets, stock offerings, stock repurchases and loan loss provisions.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1" w:name="page12"/>
    <w:bookmarkEnd w:id="11"/>
    <w:p>
      <w:pPr>
        <w:jc w:val="both"/>
        <w:ind w:firstLine="1505"/>
        <w:spacing w:after="0" w:line="256" w:lineRule="auto"/>
        <w:tabs>
          <w:tab w:leader="none" w:pos="18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“Market Value per Share” means, as of any particular date, the closing price of a share of Common Stock as reported for that date on the New York Stock Exchange or, if the shares of Common Stock are not then listed on the New York Stock Exchange, on any other national securities exchange on which the shares of Common Stock are listed, or if there are no sales on such date, on the prior trading day before which a sale occurred. If there is no regular public trading market for the shares of Common Stock, then the Market Value per Share will be the fair market value as determined in good faith by the Committee. The Committee is authorized to adopt another fair market value pricing method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method is stated in the applicable Evidence of Award and is in compliance with the fair market value pricing rules set forth in Section 409A of the Code.</w:t>
      </w:r>
    </w:p>
    <w:p>
      <w:pPr>
        <w:spacing w:after="0" w:line="187"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means the optionee named in an Evidence of Award evidencing an outstanding Option Right.</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Price” means the purchase price payable on exercise of an Option Right.</w:t>
      </w:r>
    </w:p>
    <w:p>
      <w:pPr>
        <w:spacing w:after="0" w:line="22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“Option Right” means the right to purchase shares of Common Stock upon exercise of an award granted pursuant to </w:t>
      </w:r>
      <w:r>
        <w:rPr>
          <w:rFonts w:ascii="Times New Roman" w:cs="Times New Roman" w:eastAsia="Times New Roman" w:hAnsi="Times New Roman"/>
          <w:sz w:val="18"/>
          <w:szCs w:val="18"/>
          <w:b w:val="1"/>
          <w:bCs w:val="1"/>
          <w:u w:val="single" w:color="auto"/>
          <w:color w:val="auto"/>
        </w:rPr>
        <w:t>Section 4</w:t>
      </w:r>
      <w:r>
        <w:rPr>
          <w:rFonts w:ascii="Times New Roman" w:cs="Times New Roman" w:eastAsia="Times New Roman" w:hAnsi="Times New Roman"/>
          <w:sz w:val="18"/>
          <w:szCs w:val="18"/>
          <w:color w:val="auto"/>
        </w:rPr>
        <w:t xml:space="preserve"> of</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w:t>
      </w:r>
    </w:p>
    <w:p>
      <w:pPr>
        <w:spacing w:after="0" w:line="206"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who is selected by the Committee to receive benefits under this Plan and who is at the time (i) a non-employee Director, (ii) an officer or other employee of the Company or any Subsidiary, including a person who has agreed to commence serving in such capacity within 90 days of the Date of Grant, or (iii) a Consultant.</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Period” means, in respect of a Cash Incentive Award, Performance Share or Performance Unit, a period of time established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within which the Management Objectives relating to such Cash Incentive Award, Performance Share or Performance Unit are to be achieved.</w:t>
      </w:r>
    </w:p>
    <w:p>
      <w:pPr>
        <w:spacing w:after="0" w:line="176" w:lineRule="exact"/>
        <w:rPr>
          <w:sz w:val="20"/>
          <w:szCs w:val="20"/>
          <w:color w:val="auto"/>
        </w:rPr>
      </w:pPr>
    </w:p>
    <w:p>
      <w:pPr>
        <w:ind w:left="1860" w:hanging="355"/>
        <w:spacing w:after="0"/>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means a bookkeeping entry that records the equivalent of one share of Common Stock awarded pursuant to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202" w:lineRule="exact"/>
        <w:rPr>
          <w:rFonts w:ascii="Times New Roman" w:cs="Times New Roman" w:eastAsia="Times New Roman" w:hAnsi="Times New Roman"/>
          <w:sz w:val="18"/>
          <w:szCs w:val="18"/>
          <w:color w:val="auto"/>
        </w:rPr>
      </w:pPr>
    </w:p>
    <w:p>
      <w:pPr>
        <w:ind w:firstLine="1505"/>
        <w:spacing w:after="0" w:line="286" w:lineRule="auto"/>
        <w:tabs>
          <w:tab w:leader="none" w:pos="18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“Performance Unit” means a bookkeeping entry awarded pursuant to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color w:val="auto"/>
        </w:rPr>
        <w:t xml:space="preserve"> of this Plan that records a unit equivalent to $1.00 or such other value as is determined by the Committee.</w:t>
      </w:r>
    </w:p>
    <w:p>
      <w:pPr>
        <w:spacing w:after="0" w:line="158"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ABM Industries Inc. 2021 Equity and Incentive Compensation Plan, as may be amended or amended and restated from time to time.</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“Predecessor Plan” means the ABM Industries Inc. 2006 Equity Incentive Plan, as Amended and Restated on March 7, 2018.</w:t>
      </w:r>
    </w:p>
    <w:p>
      <w:pPr>
        <w:spacing w:after="0" w:line="221" w:lineRule="exact"/>
        <w:rPr>
          <w:rFonts w:ascii="Times New Roman" w:cs="Times New Roman" w:eastAsia="Times New Roman" w:hAnsi="Times New Roman"/>
          <w:sz w:val="18"/>
          <w:szCs w:val="18"/>
          <w:color w:val="auto"/>
        </w:rPr>
      </w:pPr>
    </w:p>
    <w:p>
      <w:pPr>
        <w:ind w:firstLine="1505"/>
        <w:spacing w:after="0" w:line="286" w:lineRule="auto"/>
        <w:tabs>
          <w:tab w:leader="none" w:pos="18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Stock” means shares of Common Stock granted or sold pursuant to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of this Plan as to which neither the substantial risk of forfeiture nor the prohibition on transfer has expired.</w:t>
      </w:r>
    </w:p>
    <w:p>
      <w:pPr>
        <w:spacing w:after="0" w:line="154" w:lineRule="exact"/>
        <w:rPr>
          <w:rFonts w:ascii="Times New Roman" w:cs="Times New Roman" w:eastAsia="Times New Roman" w:hAnsi="Times New Roman"/>
          <w:sz w:val="18"/>
          <w:szCs w:val="18"/>
          <w:color w:val="auto"/>
        </w:rPr>
      </w:pPr>
    </w:p>
    <w:p>
      <w:pPr>
        <w:ind w:firstLine="1505"/>
        <w:spacing w:after="0" w:line="286" w:lineRule="auto"/>
        <w:tabs>
          <w:tab w:leader="none" w:pos="18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Stock Units” means an award made pursuant to </w:t>
      </w: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color w:val="auto"/>
        </w:rPr>
        <w:t xml:space="preserve"> of this Plan of the right to receive shares of Common Stock, cash or a combination thereof at the end of the applicable Restriction Period.</w:t>
      </w:r>
    </w:p>
    <w:p>
      <w:pPr>
        <w:spacing w:after="0" w:line="158"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Period” means the period of time during which Restricted Stock Units are subject to restrictions, as provided 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206"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means an individual or entity that owns one or more shares of Common Stock.</w:t>
      </w:r>
    </w:p>
    <w:p>
      <w:pPr>
        <w:spacing w:after="0" w:line="225"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“Spread” means the excess of the Market Value per Share on the date when an Appreciation Right is exercised over the Base Price provided for with respect to the Appreciation Right.</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2" w:name="page13"/>
    <w:bookmarkEnd w:id="12"/>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interest representing the right generally to make decisions for such other entity is, now or hereafter, owned or controlled, directly or indirectly, by the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purposes of determining whether any person may be a Participant for purposes of any grant of Incentive Stock Options, “Subsidiary” means any corporation in which the Company at the time owns or controls, directly or indirectly, more than 50% of the total combined Voting Power represented by all classes of stock issued by such corporation.</w:t>
      </w:r>
    </w:p>
    <w:p>
      <w:pPr>
        <w:spacing w:after="0" w:line="180" w:lineRule="exact"/>
        <w:rPr>
          <w:sz w:val="20"/>
          <w:szCs w:val="20"/>
          <w:color w:val="auto"/>
        </w:rPr>
      </w:pPr>
    </w:p>
    <w:p>
      <w:pPr>
        <w:ind w:left="1860" w:hanging="355"/>
        <w:spacing w:after="0"/>
        <w:tabs>
          <w:tab w:leader="none" w:pos="18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Stock” means securities entitled to vote generally in the election of directors.</w:t>
      </w:r>
    </w:p>
    <w:p>
      <w:pPr>
        <w:spacing w:after="0" w:line="221"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Available Under this Plan and Limitations.</w:t>
      </w:r>
    </w:p>
    <w:p>
      <w:pPr>
        <w:spacing w:after="0" w:line="22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Maximum Shares Available Under this Plan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2260" w:hanging="754"/>
        <w:spacing w:after="0" w:line="259" w:lineRule="auto"/>
        <w:tabs>
          <w:tab w:leader="none" w:pos="187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adjustment as provided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and the share counting rules set forth in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of this Plan, the number of shares of Common Stock available under this Plan for awards of (A) Option Rights or Appreciation Rights, (B) Restricted Stock, (C) Restricted Stock Units, (D) Performance Shares or Performance Units, (E) awards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or (F) dividend equivalents paid with respect to awards under this Plan will not exceed,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aggregate, 6,400,000. Such shares may be shares of original issuance or treasury shares or a combination of the foregoing.</w:t>
      </w:r>
    </w:p>
    <w:p>
      <w:pPr>
        <w:spacing w:after="0" w:line="179" w:lineRule="exact"/>
        <w:rPr>
          <w:rFonts w:ascii="Times New Roman" w:cs="Times New Roman" w:eastAsia="Times New Roman" w:hAnsi="Times New Roman"/>
          <w:sz w:val="18"/>
          <w:szCs w:val="18"/>
          <w:color w:val="auto"/>
        </w:rPr>
      </w:pPr>
    </w:p>
    <w:p>
      <w:pPr>
        <w:ind w:left="2260" w:hanging="754"/>
        <w:spacing w:after="0" w:line="268" w:lineRule="auto"/>
        <w:tabs>
          <w:tab w:leader="none" w:pos="18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share counting rules set forth in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of this Plan,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will be reduced by one share of Common Stock for every one share of Common Stock subject to an award granted under this Plan.</w:t>
      </w:r>
    </w:p>
    <w:p>
      <w:pPr>
        <w:spacing w:after="0" w:line="174"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Counting Rules</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ind w:left="2260" w:hanging="754"/>
        <w:spacing w:after="0" w:line="262" w:lineRule="auto"/>
        <w:tabs>
          <w:tab w:leader="none" w:pos="187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or in this </w:t>
      </w:r>
      <w:r>
        <w:rPr>
          <w:rFonts w:ascii="Times New Roman" w:cs="Times New Roman" w:eastAsia="Times New Roman" w:hAnsi="Times New Roman"/>
          <w:sz w:val="18"/>
          <w:szCs w:val="18"/>
          <w:b w:val="1"/>
          <w:bCs w:val="1"/>
          <w:u w:val="single" w:color="auto"/>
          <w:color w:val="auto"/>
        </w:rPr>
        <w:t>Section 3(b)</w:t>
      </w:r>
      <w:r>
        <w:rPr>
          <w:rFonts w:ascii="Times New Roman" w:cs="Times New Roman" w:eastAsia="Times New Roman" w:hAnsi="Times New Roman"/>
          <w:sz w:val="18"/>
          <w:szCs w:val="18"/>
          <w:color w:val="auto"/>
        </w:rPr>
        <w:t xml:space="preserve">, if any award granted under this Plan (in whole or in part) is cancelled or forfeited, expires, is settled for cash, or is unearned, the shares of Common Stock subject to such award will, to the extent of such cancellation, forfeiture, expiration, cash settlement, or unearned amount, again be available under </w:t>
      </w:r>
      <w:r>
        <w:rPr>
          <w:rFonts w:ascii="Times New Roman" w:cs="Times New Roman" w:eastAsia="Times New Roman" w:hAnsi="Times New Roman"/>
          <w:sz w:val="18"/>
          <w:szCs w:val="18"/>
          <w:b w:val="1"/>
          <w:bCs w:val="1"/>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3(a)(i)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w:t>
      </w:r>
    </w:p>
    <w:p>
      <w:pPr>
        <w:spacing w:after="0" w:line="180" w:lineRule="exact"/>
        <w:rPr>
          <w:rFonts w:ascii="Times New Roman" w:cs="Times New Roman" w:eastAsia="Times New Roman" w:hAnsi="Times New Roman"/>
          <w:sz w:val="18"/>
          <w:szCs w:val="18"/>
          <w:color w:val="auto"/>
        </w:rPr>
      </w:pPr>
    </w:p>
    <w:p>
      <w:pPr>
        <w:ind w:left="2260" w:hanging="754"/>
        <w:spacing w:after="0" w:line="261" w:lineRule="auto"/>
        <w:tabs>
          <w:tab w:leader="none" w:pos="18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Date, any shares of Common Stock subject to an award granted under the Predecessor Plan are forfeited, or an award granted under the Predecessor Plan (in whole or in part) is cancelled or forfeited, expires, is settled for cash, or is unearned, the shares of Common Stock subject to such award will, to the extent of such cancellation, forfeiture, expiration, cash settlement, or unearned amount, be available for awards under this Plan.</w:t>
      </w:r>
    </w:p>
    <w:p>
      <w:pPr>
        <w:spacing w:after="0" w:line="179" w:lineRule="exact"/>
        <w:rPr>
          <w:rFonts w:ascii="Times New Roman" w:cs="Times New Roman" w:eastAsia="Times New Roman" w:hAnsi="Times New Roman"/>
          <w:sz w:val="18"/>
          <w:szCs w:val="18"/>
          <w:color w:val="auto"/>
        </w:rPr>
      </w:pPr>
    </w:p>
    <w:p>
      <w:pPr>
        <w:ind w:left="2260" w:hanging="754"/>
        <w:spacing w:after="0" w:line="253" w:lineRule="auto"/>
        <w:tabs>
          <w:tab w:leader="none" w:pos="1871"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Plan: (A) shares of Common Stock withheld by the Company, tendered or otherwise used in payment of the Option Price of an Option Right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(B) shares of Common Stock withheld by the Company, tendered or otherwise used to satisfy tax withholding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(C) shares of Common Stock subject to a stock-settled Appreciation Right that are not actually issued in connection with the settlement of such Appreciation Right on the exercise thereof will not be added back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and (D) shares of Common Stock reacquired by the Company on the open market or otherwise using cash proceeds from the exercise of Option Rights will not be added (or added back, as applicable)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194" w:lineRule="exact"/>
        <w:rPr>
          <w:rFonts w:ascii="Times New Roman" w:cs="Times New Roman" w:eastAsia="Times New Roman" w:hAnsi="Times New Roman"/>
          <w:sz w:val="18"/>
          <w:szCs w:val="18"/>
          <w:color w:val="auto"/>
        </w:rPr>
      </w:pPr>
    </w:p>
    <w:p>
      <w:pPr>
        <w:ind w:left="2260" w:hanging="754"/>
        <w:spacing w:after="0" w:line="266" w:lineRule="auto"/>
        <w:tabs>
          <w:tab w:leader="none" w:pos="1871" w:val="left"/>
        </w:tabs>
        <w:numPr>
          <w:ilvl w:val="2"/>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under this Plan, a Participant has elected to give up the right to receive cash compensation in exchange for shares of Common Stock based on fair market value, such shares of Common Stock will not count against the aggregate limit under </w:t>
      </w:r>
      <w:r>
        <w:rPr>
          <w:rFonts w:ascii="Times New Roman" w:cs="Times New Roman" w:eastAsia="Times New Roman" w:hAnsi="Times New Roman"/>
          <w:sz w:val="18"/>
          <w:szCs w:val="18"/>
          <w:b w:val="1"/>
          <w:bCs w:val="1"/>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3(a)(i)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 w:name="page14"/>
    <w:bookmarkEnd w:id="13"/>
    <w:p>
      <w:pPr>
        <w:jc w:val="both"/>
        <w:ind w:firstLine="1505"/>
        <w:spacing w:after="0" w:line="266" w:lineRule="auto"/>
        <w:tabs>
          <w:tab w:leader="none" w:pos="18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 on Incentive Stock Options</w:t>
      </w:r>
      <w:r>
        <w:rPr>
          <w:rFonts w:ascii="Times New Roman" w:cs="Times New Roman" w:eastAsia="Times New Roman" w:hAnsi="Times New Roman"/>
          <w:sz w:val="18"/>
          <w:szCs w:val="18"/>
          <w:color w:val="auto"/>
        </w:rPr>
        <w:t xml:space="preserve">. Notwithstanding anything to the contrary contained in this Plan, and subject to adjustment as provided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the aggregate number of shares of Common Stock actually issued or transferred by the Company upon the exercise of Incentive Stock Options will not exceed 6,400,000 shares of Common Stock.</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Non-Employee Director Compensation Limit</w:t>
      </w:r>
      <w:r>
        <w:rPr>
          <w:rFonts w:ascii="Times New Roman" w:cs="Times New Roman" w:eastAsia="Times New Roman" w:hAnsi="Times New Roman"/>
          <w:sz w:val="18"/>
          <w:szCs w:val="18"/>
          <w:color w:val="auto"/>
        </w:rPr>
        <w:t>. Notwithstanding anything to the contrary contained in this Plan, in no event will any non-employee Director in any one calendar year be granted aggregate compensation, in the form of cash and/or equity, for such service having an aggregate maximum value (measured as of the Date of Grant as applicable, and calculating the value of any awards based on the grant date fair value for financial reporting purposes) in excess of $750,000.</w:t>
      </w:r>
    </w:p>
    <w:p>
      <w:pPr>
        <w:spacing w:after="0" w:line="175" w:lineRule="exact"/>
        <w:rPr>
          <w:rFonts w:ascii="Times New Roman" w:cs="Times New Roman" w:eastAsia="Times New Roman" w:hAnsi="Times New Roman"/>
          <w:sz w:val="18"/>
          <w:szCs w:val="18"/>
          <w:color w:val="auto"/>
        </w:rPr>
      </w:pPr>
    </w:p>
    <w:p>
      <w:pPr>
        <w:jc w:val="both"/>
        <w:ind w:firstLine="1505"/>
        <w:spacing w:after="0" w:line="254" w:lineRule="auto"/>
        <w:tabs>
          <w:tab w:leader="none" w:pos="18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Vesting/Performance Period Requirement</w:t>
      </w:r>
      <w:r>
        <w:rPr>
          <w:rFonts w:ascii="Times New Roman" w:cs="Times New Roman" w:eastAsia="Times New Roman" w:hAnsi="Times New Roman"/>
          <w:sz w:val="18"/>
          <w:szCs w:val="18"/>
          <w:color w:val="auto"/>
        </w:rPr>
        <w:t xml:space="preserve">. Notwithstanding any other provision of this Plan (outside of this </w:t>
      </w:r>
      <w:r>
        <w:rPr>
          <w:rFonts w:ascii="Times New Roman" w:cs="Times New Roman" w:eastAsia="Times New Roman" w:hAnsi="Times New Roman"/>
          <w:sz w:val="18"/>
          <w:szCs w:val="18"/>
          <w:b w:val="1"/>
          <w:bCs w:val="1"/>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3(e)</w:t>
      </w:r>
      <w:r>
        <w:rPr>
          <w:rFonts w:ascii="Times New Roman" w:cs="Times New Roman" w:eastAsia="Times New Roman" w:hAnsi="Times New Roman"/>
          <w:sz w:val="18"/>
          <w:szCs w:val="18"/>
          <w:color w:val="auto"/>
        </w:rPr>
        <w:t>) to the contrary, awards granted under this Plan (other than cash-based awards) will either be subject to a minimum vesting or minimum performance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period of one year;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following awards will not be subject to the foregoing minimum vesting or minimum performance period requirement: any (i) awards granted in connection with awards that are assumed, converted or substituted pursuant to </w:t>
      </w:r>
      <w:r>
        <w:rPr>
          <w:rFonts w:ascii="Times New Roman" w:cs="Times New Roman" w:eastAsia="Times New Roman" w:hAnsi="Times New Roman"/>
          <w:sz w:val="18"/>
          <w:szCs w:val="18"/>
          <w:b w:val="1"/>
          <w:bCs w:val="1"/>
          <w:u w:val="single" w:color="auto"/>
          <w:color w:val="auto"/>
        </w:rPr>
        <w:t>Section 22(a)</w:t>
      </w:r>
      <w:r>
        <w:rPr>
          <w:rFonts w:ascii="Times New Roman" w:cs="Times New Roman" w:eastAsia="Times New Roman" w:hAnsi="Times New Roman"/>
          <w:sz w:val="18"/>
          <w:szCs w:val="18"/>
          <w:color w:val="auto"/>
        </w:rPr>
        <w:t xml:space="preserve"> of this Plan; (ii) shares of Common Stock delivered in lieu of fully vested cash obligations; (iii) awards to non-employee Directors that vest on the earlier of the one-year anniversary of the applicable Date of Grant and the next annual meeting of Stockholders that is at least 50 weeks after the immediately preceding year’s annual meeting of Stockholders; and (iv) additional awards the Committee may grant, up to a maximum of five percent (5%) of the available share reserve authorized for issuance under the Plan pursuant to </w:t>
      </w:r>
      <w:r>
        <w:rPr>
          <w:rFonts w:ascii="Times New Roman" w:cs="Times New Roman" w:eastAsia="Times New Roman" w:hAnsi="Times New Roman"/>
          <w:sz w:val="18"/>
          <w:szCs w:val="18"/>
          <w:b w:val="1"/>
          <w:bCs w:val="1"/>
          <w:u w:val="single" w:color="auto"/>
          <w:color w:val="auto"/>
        </w:rPr>
        <w:t>Section 3(a)</w:t>
      </w:r>
      <w:r>
        <w:rPr>
          <w:rFonts w:ascii="Times New Roman" w:cs="Times New Roman" w:eastAsia="Times New Roman" w:hAnsi="Times New Roman"/>
          <w:sz w:val="18"/>
          <w:szCs w:val="18"/>
          <w:color w:val="auto"/>
        </w:rPr>
        <w:t xml:space="preserve"> of this Plan (subject to adjustment under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Nothing in this </w:t>
      </w:r>
      <w:r>
        <w:rPr>
          <w:rFonts w:ascii="Times New Roman" w:cs="Times New Roman" w:eastAsia="Times New Roman" w:hAnsi="Times New Roman"/>
          <w:sz w:val="18"/>
          <w:szCs w:val="18"/>
          <w:b w:val="1"/>
          <w:bCs w:val="1"/>
          <w:u w:val="single" w:color="auto"/>
          <w:color w:val="auto"/>
        </w:rPr>
        <w:t>Section 3(e)</w:t>
      </w:r>
      <w:r>
        <w:rPr>
          <w:rFonts w:ascii="Times New Roman" w:cs="Times New Roman" w:eastAsia="Times New Roman" w:hAnsi="Times New Roman"/>
          <w:sz w:val="18"/>
          <w:szCs w:val="18"/>
          <w:color w:val="auto"/>
        </w:rPr>
        <w:t xml:space="preserve"> or otherwise in this Plan, however, will preclude the Committee, in its sole discretion, from (x) providing for continued vesting or accelerated vesting for any award under this Plan upon certain events, including, without limitation, in connection with or following a Participant’s death, disability, retirement, or termination of service or a Change in Control, or (y) exercising its authority under </w:t>
      </w:r>
      <w:r>
        <w:rPr>
          <w:rFonts w:ascii="Times New Roman" w:cs="Times New Roman" w:eastAsia="Times New Roman" w:hAnsi="Times New Roman"/>
          <w:sz w:val="18"/>
          <w:szCs w:val="18"/>
          <w:b w:val="1"/>
          <w:bCs w:val="1"/>
          <w:u w:val="single" w:color="auto"/>
          <w:color w:val="auto"/>
        </w:rPr>
        <w:t>Section 18(c)</w:t>
      </w:r>
      <w:r>
        <w:rPr>
          <w:rFonts w:ascii="Times New Roman" w:cs="Times New Roman" w:eastAsia="Times New Roman" w:hAnsi="Times New Roman"/>
          <w:sz w:val="18"/>
          <w:szCs w:val="18"/>
          <w:color w:val="auto"/>
        </w:rPr>
        <w:t xml:space="preserve"> at any time following the grant of an award.</w:t>
      </w:r>
    </w:p>
    <w:p>
      <w:pPr>
        <w:spacing w:after="0" w:line="182" w:lineRule="exact"/>
        <w:rPr>
          <w:rFonts w:ascii="Times New Roman" w:cs="Times New Roman" w:eastAsia="Times New Roman" w:hAnsi="Times New Roman"/>
          <w:sz w:val="18"/>
          <w:szCs w:val="18"/>
          <w:color w:val="auto"/>
        </w:rPr>
      </w:pPr>
    </w:p>
    <w:p>
      <w:pPr>
        <w:jc w:val="both"/>
        <w:ind w:firstLine="757"/>
        <w:spacing w:after="0" w:line="268" w:lineRule="auto"/>
        <w:tabs>
          <w:tab w:leader="none" w:pos="110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Rights. </w:t>
      </w:r>
      <w:r>
        <w:rPr>
          <w:rFonts w:ascii="Times New Roman" w:cs="Times New Roman" w:eastAsia="Times New Roman" w:hAnsi="Times New Roman"/>
          <w:sz w:val="18"/>
          <w:szCs w:val="18"/>
          <w:color w:val="auto"/>
        </w:rPr>
        <w:t>The Committee may, from time to time and upon such terms and conditions as it may determine, authorize the granting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of Option Rights. Each such grant may utilize any or all of the authorizations, and will be subject to all of the requirements, contained in the following provisions:</w:t>
      </w:r>
    </w:p>
    <w:p>
      <w:pPr>
        <w:spacing w:after="0" w:line="170"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will specify the number of shares of Common Stock to which it pertains subject to the limitations set forth in </w:t>
      </w:r>
      <w:r>
        <w:rPr>
          <w:rFonts w:ascii="Times New Roman" w:cs="Times New Roman" w:eastAsia="Times New Roman" w:hAnsi="Times New Roman"/>
          <w:sz w:val="18"/>
          <w:szCs w:val="18"/>
          <w:b w:val="1"/>
          <w:bCs w:val="1"/>
          <w:u w:val="single" w:color="auto"/>
          <w:color w:val="auto"/>
        </w:rPr>
        <w:t>Section</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3</w:t>
      </w:r>
      <w:r>
        <w:rPr>
          <w:rFonts w:ascii="Times New Roman" w:cs="Times New Roman" w:eastAsia="Times New Roman" w:hAnsi="Times New Roman"/>
          <w:sz w:val="18"/>
          <w:szCs w:val="18"/>
          <w:color w:val="auto"/>
        </w:rPr>
        <w:t>of this Plan.</w:t>
      </w:r>
    </w:p>
    <w:p>
      <w:pPr>
        <w:spacing w:after="0" w:line="206"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will specify an Option Price per share of Common Stock, which Option Price (except with respect to awards under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may not be less than the Market Value per Share on the Date of Grant.</w:t>
      </w:r>
    </w:p>
    <w:p>
      <w:pPr>
        <w:spacing w:after="0" w:line="161" w:lineRule="exact"/>
        <w:rPr>
          <w:rFonts w:ascii="Times New Roman" w:cs="Times New Roman" w:eastAsia="Times New Roman" w:hAnsi="Times New Roman"/>
          <w:sz w:val="18"/>
          <w:szCs w:val="18"/>
          <w:color w:val="auto"/>
        </w:rPr>
      </w:pPr>
    </w:p>
    <w:p>
      <w:pPr>
        <w:jc w:val="both"/>
        <w:ind w:firstLine="1505"/>
        <w:spacing w:after="0" w:line="255" w:lineRule="auto"/>
        <w:tabs>
          <w:tab w:leader="none" w:pos="18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whether the Option Price will be payable (i) in cash, by check acceptable to the Company or by wire transfer of immediately available funds, (ii) by the actual or constructive transfer to the Company of shares of Common Stock owned by the Optionee having a value at the time of exercise equal to the total Option Price, (iii) subject to any conditions or limitations established by the Committee, by the Company’s withholding of shares of Common Stock otherwise issuable upon exercise of an Option Right pursuant to a “net exercise” arrangement (it being understood that, solely for purposes of determining the number of treasury shares held by the Company, the shares of Common Stock so withheld will not be treated as issued and acquired by the Company upon such exercise), (iv) by a combination of such methods of payment, or (v) by such other methods as may be approved by the Committee.</w:t>
      </w:r>
    </w:p>
    <w:p>
      <w:pPr>
        <w:spacing w:after="0" w:line="188" w:lineRule="exact"/>
        <w:rPr>
          <w:rFonts w:ascii="Times New Roman" w:cs="Times New Roman" w:eastAsia="Times New Roman" w:hAnsi="Times New Roman"/>
          <w:sz w:val="18"/>
          <w:szCs w:val="18"/>
          <w:color w:val="auto"/>
        </w:rPr>
      </w:pPr>
    </w:p>
    <w:p>
      <w:pPr>
        <w:ind w:right="40" w:firstLine="1505"/>
        <w:spacing w:after="0" w:line="282" w:lineRule="auto"/>
        <w:tabs>
          <w:tab w:leader="none" w:pos="18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any grant may provide for deferred payment of the Option Price from the proceeds of sale through a bank or broker on a date satisfactory to the Company of some or all of the shares of Common Stock to which such exercise relates.</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Optionee with the Company or any Subsidiary, if any, that is necessary before any Option Rights or installments thereof will vest. Option Rights may provide for continued vesting or the earlier vesting of such Option Rights, including, without limitation, in the event of the retirement, death, disability or termination of employment or service of a Participant or in the event of a Change in Control.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4" w:name="page15"/>
    <w:bookmarkEnd w:id="14"/>
    <w:p>
      <w:pPr>
        <w:ind w:left="1860" w:hanging="355"/>
        <w:spacing w:after="0"/>
        <w:tabs>
          <w:tab w:leader="none" w:pos="1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Option Rights may specify Management Objectives regarding the vesting of such rights.</w:t>
      </w:r>
    </w:p>
    <w:p>
      <w:pPr>
        <w:spacing w:after="0" w:line="225"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granted under this Plan may be (i) options, including Incentive Stock Options, that are intended to qualify under particular provisions of the Code, (ii) options that are not intended to so qualify, or (iii) combinations of the foregoing. Incentive Stock Options may only be granted to Participants who meet the definition of “employees” under Section 3401(c) of the Code.</w:t>
      </w:r>
    </w:p>
    <w:p>
      <w:pPr>
        <w:spacing w:after="0" w:line="175"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Right will be exercisable more than 10 years from the Date of Grant. The Committee may provide in any Evidence of Award for the automatic exercise of an Option Right upon such terms and conditions as established by the Committee.</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granted under this Plan may not provide for any dividends or dividend equivalents thereon.</w:t>
      </w:r>
    </w:p>
    <w:p>
      <w:pPr>
        <w:spacing w:after="0" w:line="225"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Option Rights will be evidenced by an Evidence of Award. Each Evidence of Award will be subject to this Plan and will contain such terms and provisions, consistent with this Plan, as the Committee may approve.</w:t>
      </w:r>
    </w:p>
    <w:p>
      <w:pPr>
        <w:spacing w:after="0" w:line="157"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Appreciation Rights.</w:t>
      </w:r>
    </w:p>
    <w:p>
      <w:pPr>
        <w:spacing w:after="0" w:line="229"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from time to time and upon such terms and conditions as it may determine, authorize the granting to any Participant of Appreciation Rights. An Appreciation Right will be the right of the Participant to receive from the Company an amount determined by the Committee, which will be expressed as a percentage of the Spread (not exceeding 100%) at the time of exercise.</w:t>
      </w:r>
    </w:p>
    <w:p>
      <w:pPr>
        <w:spacing w:after="0" w:line="175"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may utilize any or all of the authorizations, and will be subject to all of the requirements, contained in the following provisions:</w:t>
      </w:r>
    </w:p>
    <w:p>
      <w:pPr>
        <w:spacing w:after="0" w:line="161" w:lineRule="exact"/>
        <w:rPr>
          <w:rFonts w:ascii="Times New Roman" w:cs="Times New Roman" w:eastAsia="Times New Roman" w:hAnsi="Times New Roman"/>
          <w:sz w:val="18"/>
          <w:szCs w:val="18"/>
          <w:color w:val="auto"/>
        </w:rPr>
      </w:pPr>
    </w:p>
    <w:p>
      <w:pPr>
        <w:ind w:left="2260" w:right="20" w:hanging="754"/>
        <w:spacing w:after="0" w:line="282" w:lineRule="auto"/>
        <w:tabs>
          <w:tab w:leader="none" w:pos="187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may specify that the amount payable on exercise of an Appreciation Right will be paid by the Company in cash, shares of Common Stock or any combination thereof.</w:t>
      </w:r>
    </w:p>
    <w:p>
      <w:pPr>
        <w:spacing w:after="0" w:line="161" w:lineRule="exact"/>
        <w:rPr>
          <w:rFonts w:ascii="Times New Roman" w:cs="Times New Roman" w:eastAsia="Times New Roman" w:hAnsi="Times New Roman"/>
          <w:sz w:val="18"/>
          <w:szCs w:val="18"/>
          <w:color w:val="auto"/>
        </w:rPr>
      </w:pPr>
    </w:p>
    <w:p>
      <w:pPr>
        <w:ind w:left="2260" w:hanging="754"/>
        <w:spacing w:after="0" w:line="261" w:lineRule="auto"/>
        <w:tabs>
          <w:tab w:leader="none" w:pos="1871"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Participant with the Company or any Subsidiary, if any, that is necessary before the Appreciation Rights or installments thereof will vest. Appreciation Rights may provide for continued vesting or the earlier vesting of such Appreciation Rights, including, without limitation, in the event of the retirement, death, disability or termination of employment or service of a Participant or in the event of a Change in Control.</w:t>
      </w:r>
    </w:p>
    <w:p>
      <w:pPr>
        <w:spacing w:after="0" w:line="179" w:lineRule="exact"/>
        <w:rPr>
          <w:rFonts w:ascii="Times New Roman" w:cs="Times New Roman" w:eastAsia="Times New Roman" w:hAnsi="Times New Roman"/>
          <w:sz w:val="18"/>
          <w:szCs w:val="18"/>
          <w:color w:val="auto"/>
        </w:rPr>
      </w:pPr>
    </w:p>
    <w:p>
      <w:pPr>
        <w:ind w:left="1860" w:hanging="354"/>
        <w:spacing w:after="0"/>
        <w:tabs>
          <w:tab w:leader="none" w:pos="18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Appreciation Rights may specify Management Objectives regarding the vesting of such Appreciation Rights.</w:t>
      </w:r>
    </w:p>
    <w:p>
      <w:pPr>
        <w:spacing w:after="0" w:line="225" w:lineRule="exact"/>
        <w:rPr>
          <w:rFonts w:ascii="Times New Roman" w:cs="Times New Roman" w:eastAsia="Times New Roman" w:hAnsi="Times New Roman"/>
          <w:sz w:val="18"/>
          <w:szCs w:val="18"/>
          <w:color w:val="auto"/>
        </w:rPr>
      </w:pPr>
    </w:p>
    <w:p>
      <w:pPr>
        <w:ind w:left="1860" w:hanging="354"/>
        <w:spacing w:after="0"/>
        <w:tabs>
          <w:tab w:leader="none" w:pos="1860"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Rights granted under this Plan may not provide for any dividends or dividend equivalents thereon.</w:t>
      </w:r>
    </w:p>
    <w:p>
      <w:pPr>
        <w:spacing w:after="0" w:line="225" w:lineRule="exact"/>
        <w:rPr>
          <w:rFonts w:ascii="Times New Roman" w:cs="Times New Roman" w:eastAsia="Times New Roman" w:hAnsi="Times New Roman"/>
          <w:sz w:val="18"/>
          <w:szCs w:val="18"/>
          <w:color w:val="auto"/>
        </w:rPr>
      </w:pPr>
    </w:p>
    <w:p>
      <w:pPr>
        <w:ind w:left="2260" w:right="20" w:hanging="754"/>
        <w:spacing w:after="0" w:line="282" w:lineRule="auto"/>
        <w:tabs>
          <w:tab w:leader="none" w:pos="1871"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Appreciation Rights will be evidenced by an Evidence of Award. Each Evidence of Award will be subject to this Plan and will contain such terms and provisions, consistent with this Plan, as the Committee may approve.</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Also, regarding Appreciation Rights:</w:t>
      </w:r>
    </w:p>
    <w:p>
      <w:pPr>
        <w:spacing w:after="0" w:line="221" w:lineRule="exact"/>
        <w:rPr>
          <w:rFonts w:ascii="Times New Roman" w:cs="Times New Roman" w:eastAsia="Times New Roman" w:hAnsi="Times New Roman"/>
          <w:sz w:val="18"/>
          <w:szCs w:val="18"/>
          <w:color w:val="auto"/>
        </w:rPr>
      </w:pPr>
    </w:p>
    <w:p>
      <w:pPr>
        <w:ind w:left="2260" w:hanging="754"/>
        <w:spacing w:after="0" w:line="286" w:lineRule="auto"/>
        <w:tabs>
          <w:tab w:leader="none" w:pos="1871"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will specify in respect of each Appreciation Right a Base Price, which (except with respect to awards under </w:t>
      </w:r>
      <w:r>
        <w:rPr>
          <w:rFonts w:ascii="Times New Roman" w:cs="Times New Roman" w:eastAsia="Times New Roman" w:hAnsi="Times New Roman"/>
          <w:sz w:val="18"/>
          <w:szCs w:val="18"/>
          <w:b w:val="1"/>
          <w:bCs w:val="1"/>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may not be less than the Market Value per Share on the Date of Grant; and</w:t>
      </w:r>
    </w:p>
    <w:p>
      <w:pPr>
        <w:spacing w:after="0" w:line="158" w:lineRule="exact"/>
        <w:rPr>
          <w:rFonts w:ascii="Times New Roman" w:cs="Times New Roman" w:eastAsia="Times New Roman" w:hAnsi="Times New Roman"/>
          <w:sz w:val="18"/>
          <w:szCs w:val="18"/>
          <w:color w:val="auto"/>
        </w:rPr>
      </w:pPr>
    </w:p>
    <w:p>
      <w:pPr>
        <w:ind w:left="2260" w:right="20" w:hanging="754"/>
        <w:spacing w:after="0" w:line="282" w:lineRule="auto"/>
        <w:tabs>
          <w:tab w:leader="none" w:pos="18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Appreciation Right granted under this Plan may be exercised more than 10 years from the Date of Grant. The Committee may provide in any Evidence of Award for the automatic</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5" w:name="page16"/>
    <w:bookmarkEnd w:id="15"/>
    <w:p>
      <w:pPr>
        <w:ind w:left="2260"/>
        <w:spacing w:after="0"/>
        <w:rPr>
          <w:sz w:val="20"/>
          <w:szCs w:val="20"/>
          <w:color w:val="auto"/>
        </w:rPr>
      </w:pPr>
      <w:r>
        <w:rPr>
          <w:rFonts w:ascii="Times New Roman" w:cs="Times New Roman" w:eastAsia="Times New Roman" w:hAnsi="Times New Roman"/>
          <w:sz w:val="18"/>
          <w:szCs w:val="18"/>
          <w:color w:val="auto"/>
        </w:rPr>
        <w:t>exercise of an Appreciation Right upon such terms and conditions as established by the Committee.</w:t>
      </w:r>
    </w:p>
    <w:p>
      <w:pPr>
        <w:spacing w:after="0" w:line="221" w:lineRule="exact"/>
        <w:rPr>
          <w:sz w:val="20"/>
          <w:szCs w:val="20"/>
          <w:color w:val="auto"/>
        </w:rPr>
      </w:pPr>
    </w:p>
    <w:p>
      <w:pPr>
        <w:jc w:val="both"/>
        <w:ind w:firstLine="757"/>
        <w:spacing w:after="0" w:line="268" w:lineRule="auto"/>
        <w:tabs>
          <w:tab w:leader="none" w:pos="1122"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The Committee may, from time to time and upon such terms and conditions as it may determine, authorize the grant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 of Restricted Stock to Participants. Each such grant or sale may utilize any or all of the authorizations, and will be subject to all of the requirements, contained in the following provisions:</w:t>
      </w:r>
    </w:p>
    <w:p>
      <w:pPr>
        <w:spacing w:after="0" w:line="174"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grant or sale will constitute an immediate transfer of the ownership of shares of Common Stock to the Participant in consideration of the performance of services, entitling such Participant to voting, dividend and other ownership rights (subject to </w:t>
      </w:r>
      <w:r>
        <w:rPr>
          <w:rFonts w:ascii="Times New Roman" w:cs="Times New Roman" w:eastAsia="Times New Roman" w:hAnsi="Times New Roman"/>
          <w:sz w:val="18"/>
          <w:szCs w:val="18"/>
          <w:b w:val="1"/>
          <w:bCs w:val="1"/>
          <w:u w:val="single" w:color="auto"/>
          <w:color w:val="auto"/>
        </w:rPr>
        <w:t>Section 6(g)</w:t>
      </w:r>
      <w:r>
        <w:rPr>
          <w:rFonts w:ascii="Times New Roman" w:cs="Times New Roman" w:eastAsia="Times New Roman" w:hAnsi="Times New Roman"/>
          <w:sz w:val="18"/>
          <w:szCs w:val="18"/>
          <w:color w:val="auto"/>
        </w:rPr>
        <w:t xml:space="preserve"> of this Plan), but subject to the substantial risk of forfeiture and restrictions on transfer hereinafter described.</w:t>
      </w:r>
    </w:p>
    <w:p>
      <w:pPr>
        <w:spacing w:after="0" w:line="175" w:lineRule="exact"/>
        <w:rPr>
          <w:rFonts w:ascii="Times New Roman" w:cs="Times New Roman" w:eastAsia="Times New Roman" w:hAnsi="Times New Roman"/>
          <w:sz w:val="18"/>
          <w:szCs w:val="18"/>
          <w:color w:val="auto"/>
        </w:rPr>
      </w:pPr>
    </w:p>
    <w:p>
      <w:pPr>
        <w:ind w:firstLine="1505"/>
        <w:spacing w:after="0" w:line="282" w:lineRule="auto"/>
        <w:tabs>
          <w:tab w:leader="none" w:pos="18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may be made without additional consideration or in consideration of a payment by such Participant that is less than the Market Value per Share on the Date of Grant.</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grant or sale will provide that the Restricted Stock covered by such grant or sale will be subject to a “substantial risk of forfeiture” within the meaning of Section 83 of the Code for a period to be determined by the Committee on the Date of Grant or until achievement of Management Objectives referred to in </w:t>
      </w:r>
      <w:r>
        <w:rPr>
          <w:rFonts w:ascii="Times New Roman" w:cs="Times New Roman" w:eastAsia="Times New Roman" w:hAnsi="Times New Roman"/>
          <w:sz w:val="18"/>
          <w:szCs w:val="18"/>
          <w:b w:val="1"/>
          <w:bCs w:val="1"/>
          <w:u w:val="single" w:color="auto"/>
          <w:color w:val="auto"/>
        </w:rPr>
        <w:t>Section 6(e)</w:t>
      </w:r>
      <w:r>
        <w:rPr>
          <w:rFonts w:ascii="Times New Roman" w:cs="Times New Roman" w:eastAsia="Times New Roman" w:hAnsi="Times New Roman"/>
          <w:sz w:val="18"/>
          <w:szCs w:val="18"/>
          <w:color w:val="auto"/>
        </w:rPr>
        <w:t xml:space="preserve"> of this Plan.</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provide that during or after the period for which such substantial risk of forfeiture is to continue, the transferability of the Restricted Stock will be prohibited or restricted in the manner and to the extent prescribed by the Committee on the Date of Grant (which restrictions may include rights of repurchase or first refusal of the Company or provisions subjecting the Restricted Stock to a continuing substantial risk of forfeiture while held by any transferee).</w:t>
      </w:r>
    </w:p>
    <w:p>
      <w:pPr>
        <w:spacing w:after="0" w:line="17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Restricted Stock may specify Management Objectives regarding the vesting of such Restricted Stock.</w:t>
      </w:r>
    </w:p>
    <w:p>
      <w:pPr>
        <w:spacing w:after="0" w:line="225"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Restricted Stock may provide for continued vesting or the earlier vesting of such Restricted Stock, including, without limitation, in the event of the retirement, death, disability or termination of employment or service of a Participant or in the event of a Change in Control.</w:t>
      </w:r>
    </w:p>
    <w:p>
      <w:pPr>
        <w:spacing w:after="0" w:line="175" w:lineRule="exact"/>
        <w:rPr>
          <w:rFonts w:ascii="Times New Roman" w:cs="Times New Roman" w:eastAsia="Times New Roman" w:hAnsi="Times New Roman"/>
          <w:sz w:val="18"/>
          <w:szCs w:val="18"/>
          <w:color w:val="auto"/>
        </w:rPr>
      </w:pPr>
    </w:p>
    <w:p>
      <w:pPr>
        <w:jc w:val="both"/>
        <w:ind w:right="20" w:firstLine="1505"/>
        <w:spacing w:after="0" w:line="261" w:lineRule="auto"/>
        <w:tabs>
          <w:tab w:leader="none" w:pos="18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grant or sale of Restricted Stock may require that any and all dividends or other distributions paid thereon during the period of such restrictions be automatically deferred and/or reinvested in additional Restricted Stock, which will be subject to the same restrictions as the underlying award. For the avoidance of doubt, any such dividends or other distributions on Restricted Stock will be deferred until, and paid contingent upon, the vesting of such Restricted Stock.</w:t>
      </w:r>
    </w:p>
    <w:p>
      <w:pPr>
        <w:spacing w:after="0" w:line="179"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will be evidenced by an Evidence of Award. Each Evidence of Award will be subject to this Plan and will contain such terms and provisions, consistent with this Plan, as the Committee may approve. Unless otherwise directed by the Committee, (i) all certificates representing Restricted Stock will be held in custody by the Company until all restrictions thereon will have lapsed, together with a stock power or powers executed by the Participant in whose name such certificates are registered, endorsed in blank and covering such shares or (ii) all Restricted Stock will be held at the Company’s transfer agent in book entry form with appropriate restrictions relating to the transfer of such Restricted Stock.</w:t>
      </w:r>
    </w:p>
    <w:p>
      <w:pPr>
        <w:spacing w:after="0" w:line="183" w:lineRule="exact"/>
        <w:rPr>
          <w:rFonts w:ascii="Times New Roman" w:cs="Times New Roman" w:eastAsia="Times New Roman" w:hAnsi="Times New Roman"/>
          <w:sz w:val="18"/>
          <w:szCs w:val="18"/>
          <w:color w:val="auto"/>
        </w:rPr>
      </w:pPr>
    </w:p>
    <w:p>
      <w:pPr>
        <w:jc w:val="both"/>
        <w:ind w:firstLine="757"/>
        <w:spacing w:after="0" w:line="268" w:lineRule="auto"/>
        <w:tabs>
          <w:tab w:leader="none" w:pos="11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Units. </w:t>
      </w:r>
      <w:r>
        <w:rPr>
          <w:rFonts w:ascii="Times New Roman" w:cs="Times New Roman" w:eastAsia="Times New Roman" w:hAnsi="Times New Roman"/>
          <w:sz w:val="18"/>
          <w:szCs w:val="18"/>
          <w:color w:val="auto"/>
        </w:rPr>
        <w:t>The Committee may, from time to time and upon such terms and conditions as it may determine, authorize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granting or sale of Restricted Stock Units to Participants. Each such grant or sale may utilize any or all of the authorizations, and will be subject to all of the requirements, contained in the following provisions:</w:t>
      </w:r>
    </w:p>
    <w:p>
      <w:pPr>
        <w:spacing w:after="0" w:line="174"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will constitute the agreement by the Company to deliver shares of Common Stock or cash, or a combination thereof, to the Participant in the future in consideration of the performance of services, but subject to the fulfillment of such conditions (which may include achievement regarding Management Objectives) during the Restriction Period as the Committee may specify.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6" w:name="page17"/>
    <w:bookmarkEnd w:id="16"/>
    <w:p>
      <w:pPr>
        <w:ind w:firstLine="1505"/>
        <w:spacing w:after="0" w:line="282" w:lineRule="auto"/>
        <w:tabs>
          <w:tab w:leader="none" w:pos="18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or sale may be made without additional consideration or in consideration of a payment by such Participant that is less than the Market Value per Share on the Date of Grant.</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Plan, Restricted Stock Units may provide for continued vesting or the earlier lapse or other modification of the Restriction Period, including, without limitation, in the event of the retirement, death, disability or termination of employment or service of a Participant or in the event of a Change in Control.</w:t>
      </w:r>
    </w:p>
    <w:p>
      <w:pPr>
        <w:spacing w:after="0" w:line="175" w:lineRule="exact"/>
        <w:rPr>
          <w:rFonts w:ascii="Times New Roman" w:cs="Times New Roman" w:eastAsia="Times New Roman" w:hAnsi="Times New Roman"/>
          <w:sz w:val="18"/>
          <w:szCs w:val="18"/>
          <w:color w:val="auto"/>
        </w:rPr>
      </w:pPr>
    </w:p>
    <w:p>
      <w:pPr>
        <w:jc w:val="both"/>
        <w:ind w:firstLine="1505"/>
        <w:spacing w:after="0" w:line="258" w:lineRule="auto"/>
        <w:tabs>
          <w:tab w:leader="none" w:pos="18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the Restriction Period, the Participant will have no right to transfer any rights under his or her award and will have no rights of ownership in the shares of Common Stock deliverable upon payment of the Restricted Stock Units and will have no right to vote them, but the Committee may, at or after the Date of Grant, authorize the payment of dividend equivalents on such Restricted Stock Units on a deferred and contingent basis, either in cash or in additional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dividend equivalents or other distributions on shares of Common Stock underlying Restricted Stock Units will be deferred until, and paid contingent upon, the vesting of such Restricted Stock Units.</w:t>
      </w:r>
    </w:p>
    <w:p>
      <w:pPr>
        <w:spacing w:after="0" w:line="183"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18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Units will specify the time and manner of payment of the Restricted Stock Units that have been earned. Each grant or sale will specify that the amount payable with respect thereto will be paid by the Company in shares of Common Stock or cash, or a combination thereof.</w:t>
      </w:r>
    </w:p>
    <w:p>
      <w:pPr>
        <w:spacing w:after="0" w:line="175"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or sale of Restricted Stock Units will be evidenced by an Evidence of Award. Each Evidence of Award will be subject to this Plan and will contain such terms and provisions, consistent with this Plan, as the Committee may approve.</w:t>
      </w:r>
    </w:p>
    <w:p>
      <w:pPr>
        <w:spacing w:after="0" w:line="157" w:lineRule="exact"/>
        <w:rPr>
          <w:rFonts w:ascii="Times New Roman" w:cs="Times New Roman" w:eastAsia="Times New Roman" w:hAnsi="Times New Roman"/>
          <w:sz w:val="18"/>
          <w:szCs w:val="18"/>
          <w:color w:val="auto"/>
        </w:rPr>
      </w:pPr>
    </w:p>
    <w:p>
      <w:pPr>
        <w:jc w:val="both"/>
        <w:ind w:firstLine="757"/>
        <w:spacing w:after="0" w:line="268" w:lineRule="auto"/>
        <w:tabs>
          <w:tab w:leader="none" w:pos="1109"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Cash Incentive Awards, Performance Shares and Performance Units. </w:t>
      </w:r>
      <w:r>
        <w:rPr>
          <w:rFonts w:ascii="Times New Roman" w:cs="Times New Roman" w:eastAsia="Times New Roman" w:hAnsi="Times New Roman"/>
          <w:sz w:val="18"/>
          <w:szCs w:val="18"/>
          <w:color w:val="auto"/>
        </w:rPr>
        <w:t>The Committee may, from time to time and upon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it may determine, authorize the granting of Cash Incentive Awards, Performance Shares and Performance Units. Each such grant may utilize any or all of the authorizations, and will be subject to all of the requirements, contained in the following provisions:</w:t>
      </w:r>
    </w:p>
    <w:p>
      <w:pPr>
        <w:spacing w:after="0" w:line="174" w:lineRule="exact"/>
        <w:rPr>
          <w:rFonts w:ascii="Times New Roman" w:cs="Times New Roman" w:eastAsia="Times New Roman" w:hAnsi="Times New Roman"/>
          <w:sz w:val="18"/>
          <w:szCs w:val="18"/>
          <w:color w:val="auto"/>
        </w:rPr>
      </w:pPr>
    </w:p>
    <w:p>
      <w:pPr>
        <w:jc w:val="both"/>
        <w:ind w:firstLine="1505"/>
        <w:spacing w:after="0" w:line="282" w:lineRule="auto"/>
        <w:tabs>
          <w:tab w:leader="none" w:pos="18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number or amount of Performance Shares or Performance Units, or cash amount payable with respect to a Cash Incentive Award, to which it pertains, which number or amount may be subject to adjustment to reflect changes in compensation or other factors.</w:t>
      </w:r>
    </w:p>
    <w:p>
      <w:pPr>
        <w:spacing w:after="0" w:line="161"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with respect to each grant of a Cash Incentive Award, Performance Shares or Performance Units will be such period of time as will be determined by the Committee, which may be subject to continued vesting or earlier lapse or other modification, including, without limitation, in the event of the retirement, death, disability or termination of employment or service of a Participant or in the event of a Change in Control.</w:t>
      </w:r>
    </w:p>
    <w:p>
      <w:pPr>
        <w:spacing w:after="0" w:line="17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Cash Incentive Award, Performance Shares or Performance Units will specify Management Objectives regarding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earning of the award.</w:t>
      </w:r>
    </w:p>
    <w:p>
      <w:pPr>
        <w:spacing w:after="0" w:line="206"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time and manner of payment of a Cash Incentive Award, Performance Shares or Performance Units that have been earned. Any grant may specify that the amount payable with respect thereto may be paid by the Company in cash, in shares of Common Stock, in Restricted Stock or Restricted Stock Units or in any combination thereof.</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on the Date of Grant of Performance Shares or Performance Units, provide for the payment of dividend equivalents to the holder thereof either in cash or in additional shares of Common Stock, which dividend equivalents will be subject to deferral and payment on a contingent basis based on the Participant’s earning and vesting of the Performance Shares or Performance Units, as applicable, with respect to which such dividend equivalents are paid.</w:t>
      </w:r>
    </w:p>
    <w:p>
      <w:pPr>
        <w:spacing w:after="0" w:line="179"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 Cash Incentive Award, Performance Shares or Performance Units will be evidenced by an Evidence of Award. Each Evidence of Award will be subject to this Plan and will contain such terms and provisions, consistent with this Plan, as the Committee may approve.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7" w:name="page18"/>
    <w:bookmarkEnd w:id="17"/>
    <w:p>
      <w:pPr>
        <w:ind w:left="1120" w:hanging="363"/>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Awards.</w:t>
      </w:r>
    </w:p>
    <w:p>
      <w:pPr>
        <w:spacing w:after="0" w:line="225" w:lineRule="exact"/>
        <w:rPr>
          <w:rFonts w:ascii="Times New Roman" w:cs="Times New Roman" w:eastAsia="Times New Roman" w:hAnsi="Times New Roman"/>
          <w:sz w:val="18"/>
          <w:szCs w:val="18"/>
          <w:color w:val="auto"/>
        </w:rPr>
      </w:pPr>
    </w:p>
    <w:p>
      <w:pPr>
        <w:jc w:val="both"/>
        <w:ind w:firstLine="1505"/>
        <w:spacing w:after="0" w:line="254" w:lineRule="auto"/>
        <w:tabs>
          <w:tab w:leader="none" w:pos="18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the applicable limits set forth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the Committee may authorize the grant to any Participant of shares of Common Stock or such other awards that may be denominated or payable in, valued in whole or in part by reference to, or otherwise based on, or related to, shares of Common Stock or factors that may influence the value of such shares, including, without limitation, convertible or exchangeable debt securities, other rights convertible or exchangeable into shares of Common Stock, purchase rights for shares of Common Stock, awards with value and payment contingent upon performance of the Company or specified Subsidiaries, Affiliates or other business units thereof or any other factors designated by the Committee, and awards valued by reference to the book value of the shares of Common Stock or the value of securities of, or the performance of specified Subsidiaries or Affiliates or other business units of the Company. The Committee will determine the terms and conditions of such awards. Shares of Common Stock delivered pursuant to an award in the nature of a purchase right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purchased for such consideration, and paid for at such time, by such methods, and in such forms, including, without limitation, cash, shares of Common Stock, other awards, notes or other property, as the Committee determines.</w:t>
      </w:r>
    </w:p>
    <w:p>
      <w:pPr>
        <w:spacing w:after="0" w:line="189"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 as an element of or supplement to any other award granted under this Plan, may also be granted pursuant to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authorize the grant of shares of Common Stock as a bonus, or may authorize the grant of other awards in lieu of obligations of the Company or a Subsidiary to pay cash or deliver other property under this Plan or under other plans or compensatory arrangements, subject to such terms as will be determined by the Committee in a manner that complies with Section 409A of the Code.</w:t>
      </w:r>
    </w:p>
    <w:p>
      <w:pPr>
        <w:spacing w:after="0" w:line="175"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at or after the Date of Grant, authorize the payment of dividends or dividend equivalents on awards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on a deferred and contingent basis, either in cash or in additional shares of Common Stock;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dividend equivalents or other distributions on shares of Common Stock underlying awards granted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deferred until, and paid contingent upon, the earning and vesting of such awards.</w:t>
      </w:r>
    </w:p>
    <w:p>
      <w:pPr>
        <w:spacing w:after="0" w:line="175" w:lineRule="exact"/>
        <w:rPr>
          <w:rFonts w:ascii="Times New Roman" w:cs="Times New Roman" w:eastAsia="Times New Roman" w:hAnsi="Times New Roman"/>
          <w:sz w:val="18"/>
          <w:szCs w:val="18"/>
          <w:color w:val="auto"/>
        </w:rPr>
      </w:pPr>
    </w:p>
    <w:p>
      <w:pPr>
        <w:jc w:val="both"/>
        <w:ind w:firstLine="1505"/>
        <w:spacing w:after="0" w:line="268" w:lineRule="auto"/>
        <w:tabs>
          <w:tab w:leader="none" w:pos="18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grant of an award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will be evidenced by an Evidence of Award. Each such Evidence of Award will be subject to this Plan and will contain such terms and provisions, consistent with this Plan, as the Committee may approve, and will specify the time and terms of delivery of the applicable award.</w:t>
      </w:r>
    </w:p>
    <w:p>
      <w:pPr>
        <w:spacing w:after="0" w:line="170" w:lineRule="exact"/>
        <w:rPr>
          <w:rFonts w:ascii="Times New Roman" w:cs="Times New Roman" w:eastAsia="Times New Roman" w:hAnsi="Times New Roman"/>
          <w:sz w:val="18"/>
          <w:szCs w:val="18"/>
          <w:color w:val="auto"/>
        </w:rPr>
      </w:pPr>
    </w:p>
    <w:p>
      <w:pPr>
        <w:jc w:val="both"/>
        <w:ind w:firstLine="1505"/>
        <w:spacing w:after="0" w:line="268" w:lineRule="auto"/>
        <w:tabs>
          <w:tab w:leader="none" w:pos="18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Plan, awards under this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may provide for the earning or vesting of, or earlier elimination of restrictions applicable to, such award, including, without limitation, in the event of the retirement, death, disability or termination of employment or service of a Participant or in the event of a Change in Control.</w:t>
      </w:r>
    </w:p>
    <w:p>
      <w:pPr>
        <w:spacing w:after="0" w:line="170"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this Plan.</w:t>
      </w:r>
    </w:p>
    <w:p>
      <w:pPr>
        <w:spacing w:after="0" w:line="229"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Plan will be administered by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at the discretion of the Board, this Plan may be administered by the Board, including with respect to the administration of any responsibilities and duties held by the Committee hereunder. The Committee may from time to time delegate all or any part of its authority under this Plan to a subcommittee thereof. To the extent of any such delegation, references in this Plan to the Committee will be deemed to be references to such subcommittee.</w:t>
      </w:r>
    </w:p>
    <w:p>
      <w:pPr>
        <w:spacing w:after="0" w:line="179" w:lineRule="exact"/>
        <w:rPr>
          <w:rFonts w:ascii="Times New Roman" w:cs="Times New Roman" w:eastAsia="Times New Roman" w:hAnsi="Times New Roman"/>
          <w:sz w:val="18"/>
          <w:szCs w:val="18"/>
          <w:color w:val="auto"/>
        </w:rPr>
      </w:pPr>
    </w:p>
    <w:p>
      <w:pPr>
        <w:jc w:val="both"/>
        <w:ind w:firstLine="1505"/>
        <w:spacing w:after="0" w:line="258" w:lineRule="auto"/>
        <w:tabs>
          <w:tab w:leader="none" w:pos="18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interpretation and construction by the Committee of any provision of this Plan or of any Evidence of Award (or related documents) and any determination by the Committee pursuant to any provision of this Plan or of any such agreement, notification or document will be final and conclusive. No member of the Committee will be liable for any such action or determination made in good faith. In addition, the Committee is authorized to take any action it determines in its sole discretion to be appropriate subject only to the express limitations contained in this Plan, and no authorization in any Plan section or other provision of this Plan is intended or may be deemed to constitute a limitation on the authority of the Committee.</w:t>
      </w:r>
    </w:p>
    <w:p>
      <w:pPr>
        <w:spacing w:after="0" w:line="183"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the Committee may delegate to one or more of its members, to one or more officers of the Company, or to one or more agents or advisors, such administrative duties or powers as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it may deem advisable, and the Committee, the subcommittee, or any person to whom duties or powers have been delegated as aforesaid, may employ one or more persons to render advice with respect to any responsibility the Committee, the subcommittee or such person may have under this Plan. To the extent permitted by law, and in compliance with any applicable legal requirements, the Committee may, by resolution, authorize one or more officers of the Company (in their capacity as officers of the Company) to authorize the granting or sale of awards under this Plan on the same basis as the Committee;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Committee will not delegate such authority to any such officer(s) for awards granted to such officer(s) or any employee who is an officer (for purposes of Section 16 of the Exchange Act), Director, or more than 10% Beneficial Owner of any class of the Company’s equity securities that is registered pursuant to Section 12 of the Exchange Act, as determined in accordance with Section 16 of the Exchange Act; (ii) the resolution providing for such authorization to officer(s) will set forth the information required by Section 157(c) of the Delaware General Corporation Law; and (iii) the officer(s) will report periodically to the Committee regarding the nature and scope of the awards granted pursuant to the authority delegated.</w:t>
      </w:r>
    </w:p>
    <w:p>
      <w:pPr>
        <w:spacing w:after="0" w:line="184" w:lineRule="exact"/>
        <w:rPr>
          <w:sz w:val="20"/>
          <w:szCs w:val="20"/>
          <w:color w:val="auto"/>
        </w:rPr>
      </w:pPr>
    </w:p>
    <w:p>
      <w:pPr>
        <w:jc w:val="both"/>
        <w:ind w:firstLine="757"/>
        <w:spacing w:after="0" w:line="252" w:lineRule="auto"/>
        <w:tabs>
          <w:tab w:leader="none" w:pos="11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Adjustments. </w:t>
      </w:r>
      <w:r>
        <w:rPr>
          <w:rFonts w:ascii="Times New Roman" w:cs="Times New Roman" w:eastAsia="Times New Roman" w:hAnsi="Times New Roman"/>
          <w:sz w:val="18"/>
          <w:szCs w:val="18"/>
          <w:color w:val="auto"/>
        </w:rPr>
        <w:t>The Committee shall make or provide for such adjustments in the number of and kind of shares of Common Stock covered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by outstanding Option Rights, Appreciation Rights, Restricted Stock, Restricted Stock Units, Performance Shares and Performance Units granted hereunder and, if applicable, in the number of and kind of shares of Common Stock covered by other awards granted pursuant to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 Plan, in the Option Price and Base Price provided in outstanding Option Rights and Appreciation Rights, respectively, in Cash Incentive Awards, and in other award terms, as the Committee, in its sole discretion, exercised in good faith, determines is equitably required to prevent dilution or enlargement of the rights of Participants that otherwise would result from (a) any extraordinary cash dividend, stock dividend, stock split, combination of shares, recapitalization or other change in the capital 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 the foregoing. Moreover, in the event of any such transaction or event or in the event of a Change in Control, the Committee may provide in substitution for any or all outstanding awards under this Plan such alternative consideration (including cash), if any, as it, in good faith, may determine to be equitable in the circumstances and shall require in connection therewith the surrender of all awards so replaced in a manner that complies with Section 409A of the Code. In addition, for each Option Right or Appreciation Right with an Option Price or Base Price, respectively, greater than the consideration offered in connection with any such transaction or event or Change in Control, the Committee may in its sole discretion elect to cancel such Option Right or Appreciation Right without any payment to the person holding such Option Right or Appreciation Right. The Committee shall also make or provide for such adjustments in the number of shares of Common Stock specified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as the Committee in its sole discretion, exercised in good faith, determines is appropriate to reflect any transaction or event described in this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any such adjustment to the number specified in </w:t>
      </w:r>
      <w:r>
        <w:rPr>
          <w:rFonts w:ascii="Times New Roman" w:cs="Times New Roman" w:eastAsia="Times New Roman" w:hAnsi="Times New Roman"/>
          <w:sz w:val="18"/>
          <w:szCs w:val="18"/>
          <w:b w:val="1"/>
          <w:bCs w:val="1"/>
          <w:u w:val="single" w:color="auto"/>
          <w:color w:val="auto"/>
        </w:rPr>
        <w:t>Section 3(c)</w:t>
      </w:r>
      <w:r>
        <w:rPr>
          <w:rFonts w:ascii="Times New Roman" w:cs="Times New Roman" w:eastAsia="Times New Roman" w:hAnsi="Times New Roman"/>
          <w:sz w:val="18"/>
          <w:szCs w:val="18"/>
          <w:color w:val="auto"/>
        </w:rPr>
        <w:t xml:space="preserve"> of this Plan will be made only if and to the extent that such adjustment would not cause any Option Right intended to qualify as an Incentive Stock Option to fail to so qualify.</w:t>
      </w:r>
    </w:p>
    <w:p>
      <w:pPr>
        <w:spacing w:after="0" w:line="191" w:lineRule="exact"/>
        <w:rPr>
          <w:rFonts w:ascii="Times New Roman" w:cs="Times New Roman" w:eastAsia="Times New Roman" w:hAnsi="Times New Roman"/>
          <w:sz w:val="18"/>
          <w:szCs w:val="18"/>
          <w:color w:val="auto"/>
        </w:rPr>
      </w:pPr>
    </w:p>
    <w:p>
      <w:pPr>
        <w:jc w:val="both"/>
        <w:ind w:firstLine="757"/>
        <w:spacing w:after="0" w:line="268" w:lineRule="auto"/>
        <w:tabs>
          <w:tab w:leader="none" w:pos="11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Change in Control</w:t>
      </w:r>
      <w:r>
        <w:rPr>
          <w:rFonts w:ascii="Times New Roman" w:cs="Times New Roman" w:eastAsia="Times New Roman" w:hAnsi="Times New Roman"/>
          <w:sz w:val="18"/>
          <w:szCs w:val="18"/>
          <w:color w:val="auto"/>
        </w:rPr>
        <w:t>. For purposes of this Plan, except as may be otherwise prescribed by the Committee in an Evidence of Award made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Plan or as otherwise provided in another plan or agreement applicable to the Participant, a “Change in Control” will be deemed to have occurred upon the occurrence (after the Effective Date) of any of the following events:</w:t>
      </w:r>
    </w:p>
    <w:p>
      <w:pPr>
        <w:spacing w:after="0" w:line="174" w:lineRule="exact"/>
        <w:rPr>
          <w:rFonts w:ascii="Times New Roman" w:cs="Times New Roman" w:eastAsia="Times New Roman" w:hAnsi="Times New Roman"/>
          <w:sz w:val="18"/>
          <w:szCs w:val="18"/>
          <w:color w:val="auto"/>
        </w:rPr>
      </w:pPr>
    </w:p>
    <w:p>
      <w:pPr>
        <w:jc w:val="both"/>
        <w:ind w:firstLine="1505"/>
        <w:spacing w:after="0" w:line="258" w:lineRule="auto"/>
        <w:tabs>
          <w:tab w:leader="none" w:pos="18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entity or group (within the meaning of Section 13(d)(3) or 14(d)(2) of the Exchange Act) (a “Person”) (A) is or becomes the Beneficial Owner of more than 35% of the combined voting power of the then-outstanding Voting Stock of the Company or succeeds in having nominees as directors elected in an “election contest” within the meaning of Rule 14a-12(c) under the Exchange Act and/or through the use of any proxy access procedures set forth in the Company’s organizational documents) and (B) within 18 months after either such event, individuals who were members of the Board immediately prior to either such event cease to constitute a majority of the members of the Board; or</w:t>
      </w:r>
    </w:p>
    <w:p>
      <w:pPr>
        <w:spacing w:after="0" w:line="183"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ceases to be comprised of Incumbent Directors; or</w:t>
      </w:r>
    </w:p>
    <w:p>
      <w:pPr>
        <w:spacing w:after="0" w:line="225" w:lineRule="exact"/>
        <w:rPr>
          <w:rFonts w:ascii="Times New Roman" w:cs="Times New Roman" w:eastAsia="Times New Roman" w:hAnsi="Times New Roman"/>
          <w:sz w:val="18"/>
          <w:szCs w:val="18"/>
          <w:color w:val="auto"/>
        </w:rPr>
      </w:pPr>
    </w:p>
    <w:p>
      <w:pPr>
        <w:jc w:val="both"/>
        <w:ind w:firstLine="1505"/>
        <w:spacing w:after="0" w:line="258" w:lineRule="auto"/>
        <w:tabs>
          <w:tab w:leader="none" w:pos="1857"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 reorganization, merger, consolidation, plan of liquidation or dissolution, recapitalization or sale or other disposition of all or substantially all of the assets of the Company or the acquisition of the stock or assets of another corporation, or other transaction (each, a “Business Transaction”), unless, in any such case, (A) no Person (other than the Company, any entity resulting from such Business Transaction or any employee benefit plan (or related trust) sponsored or maintained by the Company, any Subsidiary or such entity resulting from such Business Transaction) beneficially owns, directly or indirectly, 35% or more of the combined</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9" w:name="page20"/>
    <w:bookmarkEnd w:id="19"/>
    <w:p>
      <w:pPr>
        <w:jc w:val="both"/>
        <w:spacing w:after="0" w:line="266" w:lineRule="auto"/>
        <w:rPr>
          <w:sz w:val="20"/>
          <w:szCs w:val="20"/>
          <w:color w:val="auto"/>
        </w:rPr>
      </w:pPr>
      <w:r>
        <w:rPr>
          <w:rFonts w:ascii="Times New Roman" w:cs="Times New Roman" w:eastAsia="Times New Roman" w:hAnsi="Times New Roman"/>
          <w:sz w:val="18"/>
          <w:szCs w:val="18"/>
          <w:color w:val="auto"/>
        </w:rPr>
        <w:t>voting power of the then-outstanding shares of Voting Stock of the entity resulting from such Business Transaction (or, if it is such resulting entity, the Company) and (B) at least one-half of the members of the board of directors of the entity resulting from such Business Transaction were Incumbent Directors at the time of the execution of the initial agreement providing for such Business Transaction.</w:t>
      </w:r>
    </w:p>
    <w:p>
      <w:pPr>
        <w:spacing w:after="0" w:line="172" w:lineRule="exact"/>
        <w:rPr>
          <w:sz w:val="20"/>
          <w:szCs w:val="20"/>
          <w:color w:val="auto"/>
        </w:rPr>
      </w:pPr>
    </w:p>
    <w:p>
      <w:pPr>
        <w:ind w:left="1220" w:hanging="369"/>
        <w:spacing w:after="0"/>
        <w:tabs>
          <w:tab w:leader="none" w:pos="122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Detrimental Activity and Recapture/Recoupment Provisions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jc w:val="both"/>
        <w:ind w:firstLine="1505"/>
        <w:spacing w:after="0" w:line="254" w:lineRule="auto"/>
        <w:tabs>
          <w:tab w:leader="none" w:pos="185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Evidence of Award may provide for the cancellation or forfeiture of an award or the forfeiture and repayment to the Company of any gain related to an award, or other provisions intended to have a similar effect, upon such terms and conditions as may be determined by the Compensation Committee of the Board from time to time, if a Participant, either (a) during employment or other service with the Company or a Subsidiary, or (b) within a specified period after termination of such employment or service, engages in any detrimental activity, as described in the applicable Evidence of Award. In addition, notwithstanding anything in this Plan to the contrary, any Evidence of Award may also provide for the cancellation or forfeiture of an award or the forfeiture and repayment to the Company of any cash or Common Stock issued under and/or any other benefit related to an award, or other provisions intended to have a similar effect, including upon such terms and conditions as may be required by the Compensation Committee of the Board and any applicable rules or regulations promulgated by the Securities and Exchange Commission or any national securities exchange or national securities association on which the Common Stock may be traded.</w:t>
      </w:r>
    </w:p>
    <w:p>
      <w:pPr>
        <w:spacing w:after="0" w:line="188" w:lineRule="exact"/>
        <w:rPr>
          <w:rFonts w:ascii="Times New Roman" w:cs="Times New Roman" w:eastAsia="Times New Roman" w:hAnsi="Times New Roman"/>
          <w:sz w:val="18"/>
          <w:szCs w:val="18"/>
          <w:color w:val="auto"/>
        </w:rPr>
      </w:pPr>
    </w:p>
    <w:p>
      <w:pPr>
        <w:jc w:val="both"/>
        <w:ind w:firstLine="1505"/>
        <w:spacing w:after="0" w:line="252" w:lineRule="auto"/>
        <w:tabs>
          <w:tab w:leader="none" w:pos="1857"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Evidence of Award (or any part thereof) may provide for the cancellation or forfeiture of an award or the forfeiture and repayment to the Company of any gain or earnings related to an award, or other provisions intended to have a similar effect, upon such terms and conditions as may be determined by the Compensation Committee of the Board in accordance with (i) any Company clawback or recoupment policy, including the ABM Industries Incorporated Amended and Restated Recoupment Policy, as may be amended from time to time, and any other policies that are adopted to comply with the requirements of any applicable laws, rules, regulations, stock exchange listing standards or otherwise, or (ii) any applicable laws that impose mandatory clawback or recoupment requirements under the circumstances set forth in such laws, including as required by the Sarbanes-Oxley Act of 2002, the Dodd-Frank Wall Street Reform and Consumer Protection Act, or other applicable laws, rules, regulations or stock exchange listing standards, as may be in effect from time to time, and which may operate to create additional rights for the Company with respect to awards and the recovery of amounts relating thereto. By accepting awards under this Plan, the Participants consent to be bound by the terms of the ABM Industries Incorporated Amended and Restated Recoupment Policy, as may be amended from time to time, if applicable, and agree and acknowledge that they are obligated to cooperate with, and provide any and all assistance necessary to, the Company in its efforts to recover or recoup any award, any gains or earnings related to any award, or any other amount paid under this Plan or otherwise subject to clawback or recoupment pursuant to such laws, rules, regulations, stock exchange listing standards or Company policy. Such cooperation and assistance will include, but is not limited to, executing, completing and submitting any documentation necessary to facilitate the recovery or recoupment by the Company from the Participants of any such amounts, including from the Participants’ accounts or from any other compensation to the extent permissible under Section 409A of the Code.</w:t>
      </w:r>
    </w:p>
    <w:p>
      <w:pPr>
        <w:spacing w:after="0" w:line="191" w:lineRule="exact"/>
        <w:rPr>
          <w:rFonts w:ascii="Times New Roman" w:cs="Times New Roman" w:eastAsia="Times New Roman" w:hAnsi="Times New Roman"/>
          <w:sz w:val="18"/>
          <w:szCs w:val="18"/>
          <w:color w:val="auto"/>
        </w:rPr>
      </w:pPr>
    </w:p>
    <w:p>
      <w:pPr>
        <w:jc w:val="both"/>
        <w:ind w:left="100" w:firstLine="751"/>
        <w:spacing w:after="0" w:line="254" w:lineRule="auto"/>
        <w:tabs>
          <w:tab w:leader="none" w:pos="1222"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Non-U.S. Participants. </w:t>
      </w:r>
      <w:r>
        <w:rPr>
          <w:rFonts w:ascii="Times New Roman" w:cs="Times New Roman" w:eastAsia="Times New Roman" w:hAnsi="Times New Roman"/>
          <w:sz w:val="18"/>
          <w:szCs w:val="18"/>
          <w:color w:val="auto"/>
        </w:rPr>
        <w:t>In order to facilitate the making of any grant or combination of grants under this Plan, the Committee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for such special terms for awards to Participants who are foreign nationals or who are employed by the Company or any Subsidiary outside of the United States of America or who provide services to the Company or any Subsidiary under an agreement with a foreign nation or agency, as the Committee may consider necessary or appropriate to accommodate differences in local law, tax policy or custom. Moreover, the Committee may approve such supplements to or amendments, restatements or alternative versions of this Plan (including sub-plans) (to be considered part of this Plan) as it may consider necessary or appropriate for such purposes, without thereby affecting the terms of this Plan as in effect for any other purpose, and the secretary or other appropriate officer of the Company may certify any such document as having been approved and adopted in the same manner as this Plan. No such special terms, supplements, amendments or restatements, however, will include any provisions that are inconsistent with the terms of this Plan as then in effect unless this Plan could have been amended to eliminate such inconsistency without further approval by the Stockholders.</w:t>
      </w:r>
    </w:p>
    <w:p>
      <w:pPr>
        <w:spacing w:after="0" w:line="188"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p>
    <w:p>
      <w:pPr>
        <w:spacing w:after="0" w:line="225" w:lineRule="exact"/>
        <w:rPr>
          <w:rFonts w:ascii="Times New Roman" w:cs="Times New Roman" w:eastAsia="Times New Roman" w:hAnsi="Times New Roman"/>
          <w:sz w:val="18"/>
          <w:szCs w:val="18"/>
          <w:color w:val="auto"/>
        </w:rPr>
      </w:pPr>
    </w:p>
    <w:p>
      <w:pPr>
        <w:jc w:val="both"/>
        <w:ind w:firstLine="1505"/>
        <w:spacing w:after="0" w:line="268" w:lineRule="auto"/>
        <w:tabs>
          <w:tab w:leader="none" w:pos="1857"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determined by the Committee, and subject to compliance with </w:t>
      </w:r>
      <w:r>
        <w:rPr>
          <w:rFonts w:ascii="Times New Roman" w:cs="Times New Roman" w:eastAsia="Times New Roman" w:hAnsi="Times New Roman"/>
          <w:sz w:val="18"/>
          <w:szCs w:val="18"/>
          <w:b w:val="1"/>
          <w:bCs w:val="1"/>
          <w:u w:val="single" w:color="auto"/>
          <w:color w:val="auto"/>
        </w:rPr>
        <w:t>Section 17(b)</w:t>
      </w:r>
      <w:r>
        <w:rPr>
          <w:rFonts w:ascii="Times New Roman" w:cs="Times New Roman" w:eastAsia="Times New Roman" w:hAnsi="Times New Roman"/>
          <w:sz w:val="18"/>
          <w:szCs w:val="18"/>
          <w:color w:val="auto"/>
        </w:rPr>
        <w:t xml:space="preserve"> of this Plan and Section 409A of the Code, no Option Right, Appreciation Right, Restricted Stock, Restricted Stock Unit, Performance Share, Performance Unit, Cash Incentive Award, award contemplated by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color w:val="auto"/>
        </w:rPr>
        <w:t xml:space="preserve"> of this</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0" w:name="page21"/>
    <w:bookmarkEnd w:id="20"/>
    <w:p>
      <w:pPr>
        <w:jc w:val="both"/>
        <w:spacing w:after="0" w:line="258" w:lineRule="auto"/>
        <w:rPr>
          <w:sz w:val="20"/>
          <w:szCs w:val="20"/>
          <w:color w:val="auto"/>
        </w:rPr>
      </w:pPr>
      <w:r>
        <w:rPr>
          <w:rFonts w:ascii="Times New Roman" w:cs="Times New Roman" w:eastAsia="Times New Roman" w:hAnsi="Times New Roman"/>
          <w:sz w:val="18"/>
          <w:szCs w:val="18"/>
          <w:color w:val="auto"/>
        </w:rPr>
        <w:t>Plan or dividend equivalents paid with respect to awards made under this Plan will be transferable by the Participant except by will or the laws of descent and distribution. Where transfer is permitted, references to “Participant” will be construed, as the Committee deems appropriate, to include any permitted transferee to whom such award is transferred. Except as otherwise determined by the Committee, Option Rights and Appreciation Rights will be exercisable during the Participant’s lifetime only by him or her or, in the event of the Participant’s legal incapacity to do so, by his or her guardian or legal representative acting on behalf of the Participant in a fiduciary capacity under state law or court supervision.</w:t>
      </w:r>
    </w:p>
    <w:p>
      <w:pPr>
        <w:spacing w:after="0" w:line="183" w:lineRule="exact"/>
        <w:rPr>
          <w:sz w:val="20"/>
          <w:szCs w:val="20"/>
          <w:color w:val="auto"/>
        </w:rPr>
      </w:pPr>
    </w:p>
    <w:p>
      <w:pPr>
        <w:jc w:val="both"/>
        <w:ind w:firstLine="1505"/>
        <w:spacing w:after="0" w:line="258" w:lineRule="auto"/>
        <w:tabs>
          <w:tab w:leader="none" w:pos="1857"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specify on the Date of Grant that part or all of the shares of Common Stock that are (i) to be issued or transferred by the Company upon the exercise of Option Rights or Appreciation Rights, upon the termination of the Restriction Period applicable to Restricted Stock Units or upon payment under any grant of Performance Shares or Performance Units or (ii) no longer subject to the substantial risk of forfeiture and restrictions on transfer referred to in </w:t>
      </w:r>
      <w:r>
        <w:rPr>
          <w:rFonts w:ascii="Times New Roman" w:cs="Times New Roman" w:eastAsia="Times New Roman" w:hAnsi="Times New Roman"/>
          <w:sz w:val="18"/>
          <w:szCs w:val="18"/>
          <w:b w:val="1"/>
          <w:bCs w:val="1"/>
          <w:u w:val="single" w:color="auto"/>
          <w:color w:val="auto"/>
        </w:rPr>
        <w:t>Section 6</w:t>
      </w:r>
      <w:r>
        <w:rPr>
          <w:rFonts w:ascii="Times New Roman" w:cs="Times New Roman" w:eastAsia="Times New Roman" w:hAnsi="Times New Roman"/>
          <w:sz w:val="18"/>
          <w:szCs w:val="18"/>
          <w:color w:val="auto"/>
        </w:rPr>
        <w:t xml:space="preserve"> of this Plan, will be subject to further restrictions on transfer, including minimum holding periods.</w:t>
      </w:r>
    </w:p>
    <w:p>
      <w:pPr>
        <w:spacing w:after="0" w:line="179" w:lineRule="exact"/>
        <w:rPr>
          <w:rFonts w:ascii="Times New Roman" w:cs="Times New Roman" w:eastAsia="Times New Roman" w:hAnsi="Times New Roman"/>
          <w:sz w:val="18"/>
          <w:szCs w:val="18"/>
          <w:color w:val="auto"/>
        </w:rPr>
      </w:pPr>
    </w:p>
    <w:p>
      <w:pPr>
        <w:jc w:val="both"/>
        <w:ind w:firstLine="757"/>
        <w:spacing w:after="0" w:line="252" w:lineRule="auto"/>
        <w:tabs>
          <w:tab w:leader="none" w:pos="112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Withholding Taxes. </w:t>
      </w:r>
      <w:r>
        <w:rPr>
          <w:rFonts w:ascii="Times New Roman" w:cs="Times New Roman" w:eastAsia="Times New Roman" w:hAnsi="Times New Roman"/>
          <w:sz w:val="18"/>
          <w:szCs w:val="18"/>
          <w:color w:val="auto"/>
        </w:rPr>
        <w:t>To the extent that the Company is required to withhold federal, state, local or foreign taxes or other amounts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connection with any payment made or benefit realized by a Participant or other person under this Plan, and the amounts available to the Company for such withholding are insufficient, it will be a condition to the receipt of such payment or the realization of such benefit that the Participant or such other person make arrangements satisfactory to the Company for payment of the balance of such taxes or other amounts required to be withheld, which arrangements (in the discretion of the Committee) may include relinquishment of a portion of such benefit. If a Participant’s benefit is to be received in the form of shares of Common Stock, and such Participant fails to make arrangements for the payment of taxes or other amounts, then, unless otherwise determined by the Committee, the Company will withhold shares of Common Stock having a value equal to the amount required to be withheld. Notwithstanding the foregoing, when a Participant is required to pay the Company an amount required to be withheld under applicable income, employment, tax and other laws, the Committee may require the Participant to satisfy the obligation, in whole or in part, by having withheld, from the shares of Common Stock delivered or required to be delivered to the Participant, shares of Common Stock having a value equal to the amount required to be withheld or by delivering to the Company other shares of Common Stock held by such Participant. The shares of Common Stock used for tax or other withholding will be valued at an amount equal to the fair market value of such shares of Common Stock on the date the benefit is to be included in Participant’s income. In no event will the fair market value of the shares of Common Stock to be withheld and delivered pursuant to this </w:t>
      </w:r>
      <w:r>
        <w:rPr>
          <w:rFonts w:ascii="Times New Roman" w:cs="Times New Roman" w:eastAsia="Times New Roman" w:hAnsi="Times New Roman"/>
          <w:sz w:val="18"/>
          <w:szCs w:val="18"/>
          <w:b w:val="1"/>
          <w:bCs w:val="1"/>
          <w:u w:val="single" w:color="auto"/>
          <w:color w:val="auto"/>
        </w:rPr>
        <w:t>Section 16</w:t>
      </w:r>
      <w:r>
        <w:rPr>
          <w:rFonts w:ascii="Times New Roman" w:cs="Times New Roman" w:eastAsia="Times New Roman" w:hAnsi="Times New Roman"/>
          <w:sz w:val="18"/>
          <w:szCs w:val="18"/>
          <w:color w:val="auto"/>
        </w:rPr>
        <w:t xml:space="preserve"> exceed the minimum amount required to be withheld, unless (a) an additional amount can be withheld and not result in adverse accounting consequences, and (b) such additional withholding amount is authorized by the Committee. Participants will also make such arrangements as the Company may require for the payment of any withholding tax or other obligation that may arise in connection with the disposition of shares of Common Stock acquired upon the exercise of Option Rights. In any case, a Participant will be solely responsible and liable for the satisfaction of all taxes required to be withheld under applicable income, employment, tax or other laws in connection with any payment made or benefit realized by a Participant under this Plan, and neither the Company nor any of its affiliates will have any obligation to indemnify or otherwise hold a Participant harmless from any or all of such taxes.</w:t>
      </w:r>
    </w:p>
    <w:p>
      <w:pPr>
        <w:spacing w:after="0" w:line="190"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Section 409A of the Code.</w:t>
      </w:r>
    </w:p>
    <w:p>
      <w:pPr>
        <w:spacing w:after="0" w:line="229" w:lineRule="exact"/>
        <w:rPr>
          <w:rFonts w:ascii="Times New Roman" w:cs="Times New Roman" w:eastAsia="Times New Roman" w:hAnsi="Times New Roman"/>
          <w:sz w:val="18"/>
          <w:szCs w:val="18"/>
          <w:color w:val="auto"/>
        </w:rPr>
      </w:pPr>
    </w:p>
    <w:p>
      <w:pPr>
        <w:jc w:val="both"/>
        <w:ind w:firstLine="1505"/>
        <w:spacing w:after="0" w:line="261" w:lineRule="auto"/>
        <w:tabs>
          <w:tab w:leader="none" w:pos="18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it is intended that this Plan and any grants made hereunder comply with the provisions of Section 409A of the Code, so that the income inclusion provisions of Section 409A(a)(1) of the Code do not apply to the Participants. This Plan and any grants made hereunder will be administered in a manner consistent with this intent. Any reference in this Plan to Section 409A of the Code will also include any regulations or any other formal guidance promulgated with respect to such section by the U.S. Department of the Treasury or the Internal Revenue Service.</w:t>
      </w:r>
    </w:p>
    <w:p>
      <w:pPr>
        <w:spacing w:after="0" w:line="179" w:lineRule="exact"/>
        <w:rPr>
          <w:rFonts w:ascii="Times New Roman" w:cs="Times New Roman" w:eastAsia="Times New Roman" w:hAnsi="Times New Roman"/>
          <w:sz w:val="18"/>
          <w:szCs w:val="18"/>
          <w:color w:val="auto"/>
        </w:rPr>
      </w:pPr>
    </w:p>
    <w:p>
      <w:pPr>
        <w:jc w:val="both"/>
        <w:ind w:firstLine="1505"/>
        <w:spacing w:after="0" w:line="258" w:lineRule="auto"/>
        <w:tabs>
          <w:tab w:leader="none" w:pos="1857"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 Participant nor any of a Participant’s creditors or beneficiaries will have the right to subject any deferred compensation (within the meaning of Section 409A of the Code) payable under this Plan and grants hereunder to any anticipation, alienation, sale, transfer, assignment, pledge, encumbrance, attachment or garnishment. Except as permitted under Section 409A of the Code, any deferred compensation (within the meaning of Section 409A of the Code) payable to a Participant or for a Participant’s benefit under this Plan and grants hereunder may not be reduced by, or offset against, any amount owed by a Participant to the Company or any of its Subsidiaries.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1" w:name="page22"/>
    <w:bookmarkEnd w:id="21"/>
    <w:p>
      <w:pPr>
        <w:jc w:val="both"/>
        <w:ind w:firstLine="1505"/>
        <w:spacing w:after="0" w:line="256" w:lineRule="auto"/>
        <w:tabs>
          <w:tab w:leader="none" w:pos="18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of a Participant’s separation from service (within the meaning of Section 409A of the Code), (i) the Participant will be a specified employee (within the meaning of Section 409A of the Code and using the identification methodology selected by the Company from time to time) and (ii) the Company makes a good faith determination that an amount payable hereunder constitutes deferred compensation (within the meaning of Section 409A of the Code) the payment of which is required to be delayed pursuant to the six-month delay rule set forth in Section 409A of the Code in order to avoid taxes or penalties under Section 409A of the Code, then the Company will not pay such amount on the otherwise scheduled payment date but will instead pay it, without interest, on the fifth business day of the seventh month after such separation from service.</w:t>
      </w:r>
    </w:p>
    <w:p>
      <w:pPr>
        <w:spacing w:after="0" w:line="187"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any award that constitutes nonqualified deferred compensation subject to Section 409A of the Code and that is payable on account of a Change in Control (including any installments or stream of payments that are accelerated on account of a Change in Control), a Change in Control will occur only if such event also constitutes a “change in the ownership,” “change in effective control,” and/or a “change in the ownership of a substantial portion of assets” of the Company as those terms are defined under Treasury Regulation §1.409A-3(i)(5), but only to the extent necessary to establish a time and form of payment that complies with Section 409A of the Code, without altering the definition of Change in Control for any purpose in respect of such award.</w:t>
      </w:r>
    </w:p>
    <w:p>
      <w:pPr>
        <w:spacing w:after="0" w:line="187"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this Plan and grants hereunder to the contrary, in light of the uncertainty with respect to the proper application of Section 409A of the Code, the Company reserves the right to make amendments to this Plan and grants hereunder as the Company deems necessary or desirable to avoid the imposition of taxes or penalties under Section 409A of the Code. In any case, a Participant will be solely responsible and liable for the satisfaction of all taxes and penalties that may be imposed on a Participant or for a Participant’s account in connection with this Plan and grants hereunder (including any taxes and penalties under Section 409A of the Code), and neither the Company nor any of its affiliates will have any obligation to indemnify or otherwise hold a Participant harmless from any or all of such taxes or penalties.</w:t>
      </w:r>
    </w:p>
    <w:p>
      <w:pPr>
        <w:spacing w:after="0" w:line="183"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w:t>
      </w:r>
    </w:p>
    <w:p>
      <w:pPr>
        <w:spacing w:after="0" w:line="229" w:lineRule="exact"/>
        <w:rPr>
          <w:rFonts w:ascii="Times New Roman" w:cs="Times New Roman" w:eastAsia="Times New Roman" w:hAnsi="Times New Roman"/>
          <w:sz w:val="18"/>
          <w:szCs w:val="18"/>
          <w:color w:val="auto"/>
        </w:rPr>
      </w:pPr>
    </w:p>
    <w:p>
      <w:pPr>
        <w:jc w:val="both"/>
        <w:ind w:firstLine="1505"/>
        <w:spacing w:after="0" w:line="255" w:lineRule="auto"/>
        <w:tabs>
          <w:tab w:leader="none" w:pos="18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Board may at any time and from time to time amend this Plan in whole or in part;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an amendment to this Plan, for purposes of applicable stock exchange rules and except as permitted under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(i) would materially increase the number of securities which may be issued under this Plan, (ii) would materially modify the requirements for participation in this Plan, or (iii) must otherwise be approved by the Stockholders in order to comply with applicable law or the rules of the New York Stock Exchange, or, if the shares of Common Stock are not traded on the New York Stock Exchange, the principal national securities exchange upon which the shares of Common Stock are traded or quoted, all as determined by the Board, then, such amendment will be subject to Stockholder approval and will not be effective unless and until such approval has been obtained.</w:t>
      </w:r>
    </w:p>
    <w:p>
      <w:pPr>
        <w:spacing w:after="0" w:line="184" w:lineRule="exact"/>
        <w:rPr>
          <w:rFonts w:ascii="Times New Roman" w:cs="Times New Roman" w:eastAsia="Times New Roman" w:hAnsi="Times New Roman"/>
          <w:sz w:val="18"/>
          <w:szCs w:val="18"/>
          <w:color w:val="auto"/>
        </w:rPr>
      </w:pPr>
    </w:p>
    <w:p>
      <w:pPr>
        <w:jc w:val="both"/>
        <w:ind w:firstLine="1505"/>
        <w:spacing w:after="0" w:line="255" w:lineRule="auto"/>
        <w:tabs>
          <w:tab w:leader="none" w:pos="18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in connection with a corporate transaction or event described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Section 22</w:t>
      </w:r>
      <w:r>
        <w:rPr>
          <w:rFonts w:ascii="Times New Roman" w:cs="Times New Roman" w:eastAsia="Times New Roman" w:hAnsi="Times New Roman"/>
          <w:sz w:val="18"/>
          <w:szCs w:val="18"/>
          <w:color w:val="auto"/>
        </w:rPr>
        <w:t xml:space="preserve"> of this Plan or in connection with a Change in Control, the terms of outstanding awards may not be amended to reduce the Option Price of outstanding Option Rights or the Base Price of outstanding Appreciation Rights, or cancel outstanding “underwater” Option Rights or Appreciation Rights (including following a Participant’s voluntary surrender of “underwater” Option Rights or Appreciation Rights) in exchange for cash, other awards or Option Rights or Appreciation Rights with an Option Price or Base Price, as applicable, that is less than the Option Price of the original Option Rights or Base Price of the original Appreciation Rights, as applicable, without Stockholder approval. This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is intended to prohibit the repricing of “underwater” Option Rights and Appreciation Rights and will not be construed to prohibit the adjustments provided for in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or the substitutions permitted by </w:t>
      </w:r>
      <w:r>
        <w:rPr>
          <w:rFonts w:ascii="Times New Roman" w:cs="Times New Roman" w:eastAsia="Times New Roman" w:hAnsi="Times New Roman"/>
          <w:sz w:val="18"/>
          <w:szCs w:val="18"/>
          <w:b w:val="1"/>
          <w:bCs w:val="1"/>
          <w:u w:val="single" w:color="auto"/>
          <w:color w:val="auto"/>
        </w:rPr>
        <w:t>Section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Notwithstanding any provision of this Plan to the contrary,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not be amended without approval by the Stockholders.</w:t>
      </w:r>
    </w:p>
    <w:p>
      <w:pPr>
        <w:spacing w:after="0" w:line="184"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permitted by Section 409A of the Code, but subject to </w:t>
      </w:r>
      <w:r>
        <w:rPr>
          <w:rFonts w:ascii="Times New Roman" w:cs="Times New Roman" w:eastAsia="Times New Roman" w:hAnsi="Times New Roman"/>
          <w:sz w:val="18"/>
          <w:szCs w:val="18"/>
          <w:b w:val="1"/>
          <w:bCs w:val="1"/>
          <w:u w:val="single" w:color="auto"/>
          <w:color w:val="auto"/>
        </w:rPr>
        <w:t>Section 18(d)</w:t>
      </w:r>
      <w:r>
        <w:rPr>
          <w:rFonts w:ascii="Times New Roman" w:cs="Times New Roman" w:eastAsia="Times New Roman" w:hAnsi="Times New Roman"/>
          <w:sz w:val="18"/>
          <w:szCs w:val="18"/>
          <w:color w:val="auto"/>
        </w:rPr>
        <w:t xml:space="preserve"> of this Plan, including in the case of termination of employment or service, or in the case of unforeseeable emergency or other circumstances or in the event of a Change in Control, to the extent a Participant holds an Option Right or Appreciation Right not immediately exercisable in full, or any Restricted Stock as to which the substantial risk of forfeiture or the prohibition or restriction on transfer has not lapsed, or any Restricted Stock Units as to which the Restriction Period has not been completed, or any Cash Incentive Awards, Performance Shares or Performance Units that have not been fully earned, or any dividend equivalents or other awards made pursuant to </w:t>
      </w:r>
      <w:r>
        <w:rPr>
          <w:rFonts w:ascii="Times New Roman" w:cs="Times New Roman" w:eastAsia="Times New Roman" w:hAnsi="Times New Roman"/>
          <w:sz w:val="18"/>
          <w:szCs w:val="18"/>
          <w:b w:val="1"/>
          <w:bCs w:val="1"/>
          <w:u w:val="single" w:color="auto"/>
          <w:color w:val="auto"/>
        </w:rPr>
        <w:t>Section 9</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this Plan subject to any vesting schedule or transfer restriction, or who holds shares of Common Stock subject to any transfer restriction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jc w:val="both"/>
        <w:spacing w:after="0" w:line="259" w:lineRule="auto"/>
        <w:rPr>
          <w:sz w:val="20"/>
          <w:szCs w:val="20"/>
          <w:color w:val="auto"/>
        </w:rPr>
      </w:pPr>
      <w:r>
        <w:rPr>
          <w:rFonts w:ascii="Times New Roman" w:cs="Times New Roman" w:eastAsia="Times New Roman" w:hAnsi="Times New Roman"/>
          <w:sz w:val="18"/>
          <w:szCs w:val="18"/>
          <w:color w:val="auto"/>
        </w:rPr>
        <w:t xml:space="preserve">pursuant to </w:t>
      </w:r>
      <w:r>
        <w:rPr>
          <w:rFonts w:ascii="Times New Roman" w:cs="Times New Roman" w:eastAsia="Times New Roman" w:hAnsi="Times New Roman"/>
          <w:sz w:val="18"/>
          <w:szCs w:val="18"/>
          <w:b w:val="1"/>
          <w:bCs w:val="1"/>
          <w:u w:val="single" w:color="auto"/>
          <w:color w:val="auto"/>
        </w:rPr>
        <w:t>Section 15(b)</w:t>
      </w:r>
      <w:r>
        <w:rPr>
          <w:rFonts w:ascii="Times New Roman" w:cs="Times New Roman" w:eastAsia="Times New Roman" w:hAnsi="Times New Roman"/>
          <w:sz w:val="18"/>
          <w:szCs w:val="18"/>
          <w:color w:val="auto"/>
        </w:rPr>
        <w:t xml:space="preserve"> of this Plan, the Committee may, in its sole discretion, provide for continued vesting or accelerate the time at which such Option Right, Appreciation Right or other award may vest or be exercised or the time at which such substantial risk of forfeiture or prohibition or restriction on transfer will lapse or the time when such Restriction Period will end or the time at which such Cash Incentive Awards, Performance Shares or Performance Units will be deemed to have been earned or the time when such transfer restriction will terminate or may waive any other limitation or requirement under any such award.</w:t>
      </w:r>
    </w:p>
    <w:p>
      <w:pPr>
        <w:spacing w:after="0" w:line="179" w:lineRule="exact"/>
        <w:rPr>
          <w:sz w:val="20"/>
          <w:szCs w:val="20"/>
          <w:color w:val="auto"/>
        </w:rPr>
      </w:pPr>
    </w:p>
    <w:p>
      <w:pPr>
        <w:jc w:val="both"/>
        <w:ind w:firstLine="1505"/>
        <w:spacing w:after="0" w:line="262" w:lineRule="auto"/>
        <w:tabs>
          <w:tab w:leader="none" w:pos="1857"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b w:val="1"/>
          <w:bCs w:val="1"/>
          <w:u w:val="single" w:color="auto"/>
          <w:color w:val="auto"/>
        </w:rPr>
        <w:t>Section 18(b)</w:t>
      </w:r>
      <w:r>
        <w:rPr>
          <w:rFonts w:ascii="Times New Roman" w:cs="Times New Roman" w:eastAsia="Times New Roman" w:hAnsi="Times New Roman"/>
          <w:sz w:val="18"/>
          <w:szCs w:val="18"/>
          <w:color w:val="auto"/>
        </w:rPr>
        <w:t xml:space="preserve"> of this Plan, the Committee may amend the terms of any award theretofore granted under this Plan prospectively or retroactively. Except for adjustments made pursuant to </w:t>
      </w:r>
      <w:r>
        <w:rPr>
          <w:rFonts w:ascii="Times New Roman" w:cs="Times New Roman" w:eastAsia="Times New Roman" w:hAnsi="Times New Roman"/>
          <w:sz w:val="18"/>
          <w:szCs w:val="18"/>
          <w:b w:val="1"/>
          <w:bCs w:val="1"/>
          <w:u w:val="single" w:color="auto"/>
          <w:color w:val="auto"/>
        </w:rPr>
        <w:t>Section 11</w:t>
      </w:r>
      <w:r>
        <w:rPr>
          <w:rFonts w:ascii="Times New Roman" w:cs="Times New Roman" w:eastAsia="Times New Roman" w:hAnsi="Times New Roman"/>
          <w:sz w:val="18"/>
          <w:szCs w:val="18"/>
          <w:color w:val="auto"/>
        </w:rPr>
        <w:t xml:space="preserve"> of this Plan, no such amendment will materially impair the rights of any Participant without his or her consent. The Board may, in its discretion, terminate this Plan at any time. Termination of this Plan will not affect the rights of Participants or their successors under any awards outstanding hereunder and not exercised in full on the date of termination.</w:t>
      </w:r>
    </w:p>
    <w:p>
      <w:pPr>
        <w:spacing w:after="0" w:line="176" w:lineRule="exact"/>
        <w:rPr>
          <w:rFonts w:ascii="Times New Roman" w:cs="Times New Roman" w:eastAsia="Times New Roman" w:hAnsi="Times New Roman"/>
          <w:sz w:val="18"/>
          <w:szCs w:val="18"/>
          <w:color w:val="auto"/>
        </w:rPr>
      </w:pPr>
    </w:p>
    <w:p>
      <w:pPr>
        <w:ind w:firstLine="757"/>
        <w:spacing w:after="0" w:line="286" w:lineRule="auto"/>
        <w:tabs>
          <w:tab w:leader="none" w:pos="110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Governing Law. </w:t>
      </w:r>
      <w:r>
        <w:rPr>
          <w:rFonts w:ascii="Times New Roman" w:cs="Times New Roman" w:eastAsia="Times New Roman" w:hAnsi="Times New Roman"/>
          <w:sz w:val="18"/>
          <w:szCs w:val="18"/>
          <w:color w:val="auto"/>
        </w:rPr>
        <w:t>This Plan and all grants and awards and actions taken hereunder will be governed by and construed in accordance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internal substantive laws of the State of Delaware.</w:t>
      </w:r>
    </w:p>
    <w:p>
      <w:pPr>
        <w:spacing w:after="0" w:line="154" w:lineRule="exact"/>
        <w:rPr>
          <w:rFonts w:ascii="Times New Roman" w:cs="Times New Roman" w:eastAsia="Times New Roman" w:hAnsi="Times New Roman"/>
          <w:sz w:val="18"/>
          <w:szCs w:val="18"/>
          <w:color w:val="auto"/>
        </w:rPr>
      </w:pPr>
    </w:p>
    <w:p>
      <w:pPr>
        <w:jc w:val="both"/>
        <w:ind w:firstLine="757"/>
        <w:spacing w:after="0" w:line="256" w:lineRule="auto"/>
        <w:tabs>
          <w:tab w:leader="none" w:pos="110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Effective Date/Termination. </w:t>
      </w:r>
      <w:r>
        <w:rPr>
          <w:rFonts w:ascii="Times New Roman" w:cs="Times New Roman" w:eastAsia="Times New Roman" w:hAnsi="Times New Roman"/>
          <w:sz w:val="18"/>
          <w:szCs w:val="18"/>
          <w:color w:val="auto"/>
        </w:rPr>
        <w:t>This Plan will be effective as of the Effective Date. No grants will be made on or after the Effective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under the Predecessor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outstanding awards granted under the Predecessor Plan will continue unaffected following the Effective Date. No grant will be made under this Plan on or after the tenth anniversary of March 26, 2025, but all grants made prior to such date will continue in effect thereafter subject to the terms thereof and of this Plan. For clarification purposes, the terms and conditions of this Plan will not apply to or otherwise impact previously granted and outstanding awards under the Predecessor Plan, as applicable (except for purposes of providing for Common Stock under such awards to be added to the aggregate number of shares of Common Stock available under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 pursuant to the share counting rules of this Plan).</w:t>
      </w:r>
    </w:p>
    <w:p>
      <w:pPr>
        <w:spacing w:after="0" w:line="182"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 Provisions.</w:t>
      </w:r>
    </w:p>
    <w:p>
      <w:pPr>
        <w:spacing w:after="0" w:line="229" w:lineRule="exact"/>
        <w:rPr>
          <w:rFonts w:ascii="Times New Roman" w:cs="Times New Roman" w:eastAsia="Times New Roman" w:hAnsi="Times New Roman"/>
          <w:sz w:val="18"/>
          <w:szCs w:val="18"/>
          <w:color w:val="auto"/>
        </w:rPr>
      </w:pPr>
    </w:p>
    <w:p>
      <w:pPr>
        <w:ind w:right="20" w:firstLine="1505"/>
        <w:spacing w:after="0" w:line="282" w:lineRule="auto"/>
        <w:tabs>
          <w:tab w:leader="none" w:pos="18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not be required to issue any fractional shares of Common Stock pursuant to this Plan. The Committee may provide for the elimination of fractions or for the settlement of fractions in cash.</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will not confer upon any Participant any right with respect to continuance of employment or other service with the Company or any Subsidiary, nor will it interfere in any way with any right the Company or any Subsidiary would otherwise have to terminate such Participant’s employment or other service at any time.</w:t>
      </w:r>
    </w:p>
    <w:p>
      <w:pPr>
        <w:spacing w:after="0" w:line="171" w:lineRule="exact"/>
        <w:rPr>
          <w:rFonts w:ascii="Times New Roman" w:cs="Times New Roman" w:eastAsia="Times New Roman" w:hAnsi="Times New Roman"/>
          <w:sz w:val="18"/>
          <w:szCs w:val="18"/>
          <w:color w:val="auto"/>
        </w:rPr>
      </w:pPr>
    </w:p>
    <w:p>
      <w:pPr>
        <w:jc w:val="both"/>
        <w:ind w:firstLine="1505"/>
        <w:spacing w:after="0" w:line="268" w:lineRule="auto"/>
        <w:tabs>
          <w:tab w:leader="none" w:pos="18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respect to </w:t>
      </w:r>
      <w:r>
        <w:rPr>
          <w:rFonts w:ascii="Times New Roman" w:cs="Times New Roman" w:eastAsia="Times New Roman" w:hAnsi="Times New Roman"/>
          <w:sz w:val="18"/>
          <w:szCs w:val="18"/>
          <w:b w:val="1"/>
          <w:bCs w:val="1"/>
          <w:u w:val="single" w:color="auto"/>
          <w:color w:val="auto"/>
        </w:rPr>
        <w:t>Section 21(e)</w:t>
      </w:r>
      <w:r>
        <w:rPr>
          <w:rFonts w:ascii="Times New Roman" w:cs="Times New Roman" w:eastAsia="Times New Roman" w:hAnsi="Times New Roman"/>
          <w:sz w:val="18"/>
          <w:szCs w:val="18"/>
          <w:color w:val="auto"/>
        </w:rPr>
        <w:t xml:space="preserve"> of this Plan, to the extent that any provision of this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this Plan.</w:t>
      </w:r>
    </w:p>
    <w:p>
      <w:pPr>
        <w:spacing w:after="0" w:line="174" w:lineRule="exact"/>
        <w:rPr>
          <w:rFonts w:ascii="Times New Roman" w:cs="Times New Roman" w:eastAsia="Times New Roman" w:hAnsi="Times New Roman"/>
          <w:sz w:val="18"/>
          <w:szCs w:val="18"/>
          <w:color w:val="auto"/>
        </w:rPr>
      </w:pPr>
    </w:p>
    <w:p>
      <w:pPr>
        <w:jc w:val="both"/>
        <w:ind w:right="20" w:firstLine="1505"/>
        <w:spacing w:after="0" w:line="266" w:lineRule="auto"/>
        <w:tabs>
          <w:tab w:leader="none" w:pos="18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under this Plan may be exercised by the holder thereof if such exercise, and the receipt of cash or stock thereunder, would be, in the opinion of counsel selected by the Company, contrary to law or the regulations of any duly constituted authority having jurisdiction over this Plan.</w:t>
      </w:r>
    </w:p>
    <w:p>
      <w:pPr>
        <w:spacing w:after="0" w:line="175" w:lineRule="exact"/>
        <w:rPr>
          <w:rFonts w:ascii="Times New Roman" w:cs="Times New Roman" w:eastAsia="Times New Roman" w:hAnsi="Times New Roman"/>
          <w:sz w:val="18"/>
          <w:szCs w:val="18"/>
          <w:color w:val="auto"/>
        </w:rPr>
      </w:pPr>
    </w:p>
    <w:p>
      <w:pPr>
        <w:ind w:right="40" w:firstLine="1505"/>
        <w:spacing w:after="0" w:line="282" w:lineRule="auto"/>
        <w:tabs>
          <w:tab w:leader="none" w:pos="18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on leave approved by a duly constituted officer of the Company or any of its Subsidiaries will not be considered interruption or termination of service of any employee for any purposes of this Plan or awards granted hereunder.</w:t>
      </w:r>
    </w:p>
    <w:p>
      <w:pPr>
        <w:spacing w:after="0" w:line="161"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Participant will have any rights as a Stockholder with respect to any shares of Common Stock subject to awards granted to him or her under this Plan prior to the date as of which he or she is actually recorded as the holder of such shares of Common Stock upon the stock records of the Company.</w:t>
      </w:r>
    </w:p>
    <w:p>
      <w:pPr>
        <w:spacing w:after="0" w:line="175" w:lineRule="exact"/>
        <w:rPr>
          <w:rFonts w:ascii="Times New Roman" w:cs="Times New Roman" w:eastAsia="Times New Roman" w:hAnsi="Times New Roman"/>
          <w:sz w:val="18"/>
          <w:szCs w:val="18"/>
          <w:color w:val="auto"/>
        </w:rPr>
      </w:pPr>
    </w:p>
    <w:p>
      <w:pPr>
        <w:jc w:val="both"/>
        <w:ind w:firstLine="1505"/>
        <w:spacing w:after="0" w:line="266" w:lineRule="auto"/>
        <w:tabs>
          <w:tab w:leader="none" w:pos="1857"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condition the grant of any award or combination of awards authorized under this Plan on the surrender or deferral by the Participant of his or her right to receive a cash bonus or other compensation otherwise payable by the Company or a Subsidiary to the Participant.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3" w:name="page24"/>
    <w:bookmarkEnd w:id="23"/>
    <w:p>
      <w:pPr>
        <w:jc w:val="both"/>
        <w:ind w:firstLine="1505"/>
        <w:spacing w:after="0" w:line="261" w:lineRule="auto"/>
        <w:tabs>
          <w:tab w:leader="none" w:pos="18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Option Rights and Appreciation Rights, the Committee may permit Participants to elect to defer the issuance of shares of Common Stock under this Plan pursuant to such rules, procedures or programs as it may establish for purposes of this Plan and which are intended to comply with the requirements of Section 409A of the Code. The Committee also may provide that deferred issuances and settlements include the crediting of dividend equivalents or interest on the deferral amounts.</w:t>
      </w:r>
    </w:p>
    <w:p>
      <w:pPr>
        <w:spacing w:after="0" w:line="179" w:lineRule="exact"/>
        <w:rPr>
          <w:rFonts w:ascii="Times New Roman" w:cs="Times New Roman" w:eastAsia="Times New Roman" w:hAnsi="Times New Roman"/>
          <w:sz w:val="18"/>
          <w:szCs w:val="18"/>
          <w:color w:val="auto"/>
        </w:rPr>
      </w:pPr>
    </w:p>
    <w:p>
      <w:pPr>
        <w:jc w:val="both"/>
        <w:ind w:firstLine="1505"/>
        <w:spacing w:after="0" w:line="255" w:lineRule="auto"/>
        <w:tabs>
          <w:tab w:leader="none" w:pos="1857"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this Plan is or becomes invalid, illegal or unenforceable in any jurisdiction, or would disqualify this Plan or any award under any law deemed applicable by the Committee, such provision will be construed or deemed amended or limited in scope to conform to applicable laws or, in the discretion of the Committee, it will be stricken and the remainder of this Plan will remain in full force and effect. Notwithstanding anything in this Plan or an Evidence of Award to the contrary, nothing in this Plan or in an Evidence of Award prevents a Participant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a Participant is not prohibited from providing information voluntarily to the Securities and Exchange Commission pursuant to Section 21F of the Exchange Act.</w:t>
      </w:r>
    </w:p>
    <w:p>
      <w:pPr>
        <w:spacing w:after="0" w:line="184" w:lineRule="exact"/>
        <w:rPr>
          <w:rFonts w:ascii="Times New Roman" w:cs="Times New Roman" w:eastAsia="Times New Roman" w:hAnsi="Times New Roman"/>
          <w:sz w:val="18"/>
          <w:szCs w:val="18"/>
          <w:color w:val="auto"/>
        </w:rPr>
      </w:pPr>
    </w:p>
    <w:p>
      <w:pPr>
        <w:ind w:left="1120" w:hanging="363"/>
        <w:spacing w:after="0"/>
        <w:tabs>
          <w:tab w:leader="none" w:pos="11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Stock-Based Awards in Substitution for Awards Granted by Another Company. </w:t>
      </w:r>
      <w:r>
        <w:rPr>
          <w:rFonts w:ascii="Times New Roman" w:cs="Times New Roman" w:eastAsia="Times New Roman" w:hAnsi="Times New Roman"/>
          <w:sz w:val="18"/>
          <w:szCs w:val="18"/>
          <w:color w:val="auto"/>
        </w:rPr>
        <w:t>Notwithstanding anything in this Plan to the contrary:</w:t>
      </w:r>
    </w:p>
    <w:p>
      <w:pPr>
        <w:spacing w:after="0" w:line="229" w:lineRule="exact"/>
        <w:rPr>
          <w:rFonts w:ascii="Times New Roman" w:cs="Times New Roman" w:eastAsia="Times New Roman" w:hAnsi="Times New Roman"/>
          <w:sz w:val="18"/>
          <w:szCs w:val="18"/>
          <w:color w:val="auto"/>
        </w:rPr>
      </w:pPr>
    </w:p>
    <w:p>
      <w:pPr>
        <w:jc w:val="both"/>
        <w:ind w:firstLine="1505"/>
        <w:spacing w:after="0" w:line="254" w:lineRule="auto"/>
        <w:tabs>
          <w:tab w:leader="none" w:pos="18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be granted under this Plan in substitution for or in conversion of, or in connection with an assumption of, stock options, stock appreciation rights, restricted stock, restricted stock units or other stock or stock-based awards held by awardees of an entity engaging in a corporate acquisition or merger transaction with the Company or any Subsidiary. Any conversion, substitution or assumption will be effective as of the close of the merger or acquisition, and, to the extent applicable, will be conducted in a manner that complies with Section 409A of the Code. The awards so granted may reflect the original terms of the awards being assumed or substituted or converted for and need not comply with other specific terms of this Plan, and may account for shares of Common Stock substituted for the securities covered by the original awards and the number of shares subject to the original awards, as well as any exercise or purchase prices applicable to the original awards, adjusted to account for differences in stock prices in connection with the transaction.</w:t>
      </w:r>
    </w:p>
    <w:p>
      <w:pPr>
        <w:spacing w:after="0" w:line="191" w:lineRule="exact"/>
        <w:rPr>
          <w:rFonts w:ascii="Times New Roman" w:cs="Times New Roman" w:eastAsia="Times New Roman" w:hAnsi="Times New Roman"/>
          <w:sz w:val="18"/>
          <w:szCs w:val="18"/>
          <w:color w:val="auto"/>
        </w:rPr>
      </w:pPr>
    </w:p>
    <w:p>
      <w:pPr>
        <w:jc w:val="both"/>
        <w:ind w:firstLine="1505"/>
        <w:spacing w:after="0" w:line="256" w:lineRule="auto"/>
        <w:tabs>
          <w:tab w:leader="none" w:pos="18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company acquired by the Company or any Subsidiary or with which the Company or any Subsidiary merges has shares available under a pre-existing plan previously approved by stockholders and not adopted in contemplation of such acquisition or merger, the shares available for grant pursuant to the terms of such plan (as adjusted, to the extent appropriate, to reflect such acquisition or merger) may be used for awards made after such acquisition or merger under this Plan;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awards using such available shares may not be made after the date awards or grants could have been made under the terms of the pre-existing plan absent the acquisition or merger, and may only be made to individuals who were not employees or directors of the Company or any Subsidiary prior to such acquisition or merger.</w:t>
      </w:r>
    </w:p>
    <w:p>
      <w:pPr>
        <w:spacing w:after="0" w:line="187" w:lineRule="exact"/>
        <w:rPr>
          <w:rFonts w:ascii="Times New Roman" w:cs="Times New Roman" w:eastAsia="Times New Roman" w:hAnsi="Times New Roman"/>
          <w:sz w:val="18"/>
          <w:szCs w:val="18"/>
          <w:color w:val="auto"/>
        </w:rPr>
      </w:pPr>
    </w:p>
    <w:p>
      <w:pPr>
        <w:jc w:val="both"/>
        <w:ind w:firstLine="1505"/>
        <w:spacing w:after="0" w:line="258" w:lineRule="auto"/>
        <w:tabs>
          <w:tab w:leader="none" w:pos="1857"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shares of Common Stock that are issued or transferred by, or that are subject to any awards that are granted by, or become obligations of, the Company under </w:t>
      </w:r>
      <w:r>
        <w:rPr>
          <w:rFonts w:ascii="Times New Roman" w:cs="Times New Roman" w:eastAsia="Times New Roman" w:hAnsi="Times New Roman"/>
          <w:sz w:val="18"/>
          <w:szCs w:val="18"/>
          <w:b w:val="1"/>
          <w:bCs w:val="1"/>
          <w:u w:val="single" w:color="auto"/>
          <w:color w:val="auto"/>
        </w:rPr>
        <w:t>Sections 22(a)</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b w:val="1"/>
          <w:bCs w:val="1"/>
          <w:u w:val="single" w:color="auto"/>
          <w:color w:val="auto"/>
        </w:rPr>
        <w:t>Section 22(b)</w:t>
      </w:r>
      <w:r>
        <w:rPr>
          <w:rFonts w:ascii="Times New Roman" w:cs="Times New Roman" w:eastAsia="Times New Roman" w:hAnsi="Times New Roman"/>
          <w:sz w:val="18"/>
          <w:szCs w:val="18"/>
          <w:color w:val="auto"/>
        </w:rPr>
        <w:t xml:space="preserve"> of this Plan will not reduce the shares of Common Stock available for issuance or transfer under this Plan or otherwise count against the limits contained in </w:t>
      </w:r>
      <w:r>
        <w:rPr>
          <w:rFonts w:ascii="Times New Roman" w:cs="Times New Roman" w:eastAsia="Times New Roman" w:hAnsi="Times New Roman"/>
          <w:sz w:val="18"/>
          <w:szCs w:val="18"/>
          <w:b w:val="1"/>
          <w:bCs w:val="1"/>
          <w:u w:val="single" w:color="auto"/>
          <w:color w:val="auto"/>
        </w:rPr>
        <w:t>Section 3</w:t>
      </w:r>
      <w:r>
        <w:rPr>
          <w:rFonts w:ascii="Times New Roman" w:cs="Times New Roman" w:eastAsia="Times New Roman" w:hAnsi="Times New Roman"/>
          <w:sz w:val="18"/>
          <w:szCs w:val="18"/>
          <w:color w:val="auto"/>
        </w:rPr>
        <w:t xml:space="preserve"> of this Plan. In addition, no shares of Common Stock subject to an award that is granted by, or becomes an obligation of, the Company under </w:t>
      </w:r>
      <w:r>
        <w:rPr>
          <w:rFonts w:ascii="Times New Roman" w:cs="Times New Roman" w:eastAsia="Times New Roman" w:hAnsi="Times New Roman"/>
          <w:sz w:val="18"/>
          <w:szCs w:val="18"/>
          <w:b w:val="1"/>
          <w:bCs w:val="1"/>
          <w:u w:val="single" w:color="auto"/>
          <w:color w:val="auto"/>
        </w:rPr>
        <w:t>Sections 22(a)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b w:val="1"/>
          <w:bCs w:val="1"/>
          <w:u w:val="single" w:color="auto"/>
          <w:color w:val="auto"/>
        </w:rPr>
        <w:t>Section 22(b)</w:t>
      </w:r>
      <w:r>
        <w:rPr>
          <w:rFonts w:ascii="Times New Roman" w:cs="Times New Roman" w:eastAsia="Times New Roman" w:hAnsi="Times New Roman"/>
          <w:sz w:val="18"/>
          <w:szCs w:val="18"/>
          <w:color w:val="auto"/>
        </w:rPr>
        <w:t xml:space="preserve"> of this Plan, will be added to the aggregate limit contained in </w:t>
      </w:r>
      <w:r>
        <w:rPr>
          <w:rFonts w:ascii="Times New Roman" w:cs="Times New Roman" w:eastAsia="Times New Roman" w:hAnsi="Times New Roman"/>
          <w:sz w:val="18"/>
          <w:szCs w:val="18"/>
          <w:b w:val="1"/>
          <w:bCs w:val="1"/>
          <w:u w:val="single" w:color="auto"/>
          <w:color w:val="auto"/>
        </w:rPr>
        <w:t>Section 3(a)(i)</w:t>
      </w:r>
      <w:r>
        <w:rPr>
          <w:rFonts w:ascii="Times New Roman" w:cs="Times New Roman" w:eastAsia="Times New Roman" w:hAnsi="Times New Roman"/>
          <w:sz w:val="18"/>
          <w:szCs w:val="18"/>
          <w:color w:val="auto"/>
        </w:rPr>
        <w:t xml:space="preserve"> of this Plan.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2"/>
          <w:szCs w:val="22"/>
          <w:b w:val="1"/>
          <w:bCs w:val="1"/>
          <w:color w:val="auto"/>
        </w:rPr>
        <w:t>Exhibit 107.1</w:t>
      </w:r>
    </w:p>
    <w:p>
      <w:pPr>
        <w:spacing w:after="0" w:line="38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S-8</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(Form Type)</w:t>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ABM Industries Incorporated</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u w:val="single" w:color="auto"/>
          <w:color w:val="auto"/>
        </w:rPr>
        <w:t>Table 1: Newly Registered Securities</w:t>
      </w:r>
    </w:p>
    <w:p>
      <w:pPr>
        <w:spacing w:after="0" w:line="237"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1340" w:type="dxa"/>
            <w:vAlign w:val="bottom"/>
            <w:tcBorders>
              <w:top w:val="single" w:sz="8" w:color="auto"/>
              <w:left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w:t>
            </w:r>
          </w:p>
        </w:tc>
        <w:tc>
          <w:tcPr>
            <w:tcW w:w="1340" w:type="dxa"/>
            <w:vAlign w:val="bottom"/>
            <w:tcBorders>
              <w:top w:val="single" w:sz="8" w:color="auto"/>
              <w:right w:val="single" w:sz="8" w:color="auto"/>
            </w:tcBorders>
          </w:tcPr>
          <w:p>
            <w:pPr>
              <w:spacing w:after="0"/>
              <w:rPr>
                <w:sz w:val="18"/>
                <w:szCs w:val="18"/>
                <w:color w:val="auto"/>
              </w:rPr>
            </w:pP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Proposed</w:t>
            </w:r>
          </w:p>
        </w:tc>
        <w:tc>
          <w:tcPr>
            <w:tcW w:w="1340" w:type="dxa"/>
            <w:vAlign w:val="bottom"/>
            <w:tcBorders>
              <w:top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Maximum</w:t>
            </w:r>
          </w:p>
        </w:tc>
        <w:tc>
          <w:tcPr>
            <w:tcW w:w="1320" w:type="dxa"/>
            <w:vAlign w:val="bottom"/>
            <w:tcBorders>
              <w:top w:val="single" w:sz="8" w:color="auto"/>
              <w:right w:val="single" w:sz="8" w:color="auto"/>
            </w:tcBorders>
          </w:tcPr>
          <w:p>
            <w:pPr>
              <w:spacing w:after="0"/>
              <w:rPr>
                <w:sz w:val="18"/>
                <w:szCs w:val="18"/>
                <w:color w:val="auto"/>
              </w:rPr>
            </w:pPr>
          </w:p>
        </w:tc>
        <w:tc>
          <w:tcPr>
            <w:tcW w:w="13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Amount of</w:t>
            </w:r>
          </w:p>
        </w:tc>
        <w:tc>
          <w:tcPr>
            <w:tcW w:w="0" w:type="dxa"/>
            <w:vAlign w:val="bottom"/>
          </w:tcPr>
          <w:p>
            <w:pPr>
              <w:spacing w:after="0"/>
              <w:rPr>
                <w:sz w:val="1"/>
                <w:szCs w:val="1"/>
                <w:color w:val="auto"/>
              </w:rPr>
            </w:pPr>
          </w:p>
        </w:tc>
      </w:tr>
      <w:tr>
        <w:trPr>
          <w:trHeight w:val="108"/>
        </w:trPr>
        <w:tc>
          <w:tcPr>
            <w:tcW w:w="1340" w:type="dxa"/>
            <w:vAlign w:val="bottom"/>
            <w:tcBorders>
              <w:left w:val="single" w:sz="8" w:color="auto"/>
              <w:right w:val="single" w:sz="8" w:color="auto"/>
            </w:tcBorders>
          </w:tcPr>
          <w:p>
            <w:pPr>
              <w:spacing w:after="0"/>
              <w:rPr>
                <w:sz w:val="9"/>
                <w:szCs w:val="9"/>
                <w:color w:val="auto"/>
              </w:rPr>
            </w:pPr>
          </w:p>
        </w:tc>
        <w:tc>
          <w:tcPr>
            <w:tcW w:w="134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Security Class</w:t>
            </w:r>
          </w:p>
        </w:tc>
        <w:tc>
          <w:tcPr>
            <w:tcW w:w="1340" w:type="dxa"/>
            <w:vAlign w:val="bottom"/>
            <w:tcBorders>
              <w:right w:val="single" w:sz="8" w:color="auto"/>
            </w:tcBorders>
            <w:vMerge w:val="continue"/>
          </w:tcPr>
          <w:p>
            <w:pPr>
              <w:spacing w:after="0"/>
              <w:rPr>
                <w:sz w:val="9"/>
                <w:szCs w:val="9"/>
                <w:color w:val="auto"/>
              </w:rPr>
            </w:pPr>
          </w:p>
        </w:tc>
        <w:tc>
          <w:tcPr>
            <w:tcW w:w="134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rPr>
              <w:t>Amount</w:t>
            </w:r>
          </w:p>
        </w:tc>
        <w:tc>
          <w:tcPr>
            <w:tcW w:w="134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Maximum</w:t>
            </w:r>
          </w:p>
        </w:tc>
        <w:tc>
          <w:tcPr>
            <w:tcW w:w="1340" w:type="dxa"/>
            <w:vAlign w:val="bottom"/>
            <w:tcBorders>
              <w:right w:val="single" w:sz="8" w:color="auto"/>
            </w:tcBorders>
            <w:vMerge w:val="restart"/>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8"/>
              </w:rPr>
              <w:t>Aggregate</w:t>
            </w:r>
          </w:p>
        </w:tc>
        <w:tc>
          <w:tcPr>
            <w:tcW w:w="1320" w:type="dxa"/>
            <w:vAlign w:val="bottom"/>
            <w:tcBorders>
              <w:right w:val="single" w:sz="8" w:color="auto"/>
            </w:tcBorders>
          </w:tcPr>
          <w:p>
            <w:pPr>
              <w:spacing w:after="0"/>
              <w:rPr>
                <w:sz w:val="9"/>
                <w:szCs w:val="9"/>
                <w:color w:val="auto"/>
              </w:rPr>
            </w:pPr>
          </w:p>
        </w:tc>
        <w:tc>
          <w:tcPr>
            <w:tcW w:w="13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4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Security Type</w:t>
            </w:r>
          </w:p>
        </w:tc>
        <w:tc>
          <w:tcPr>
            <w:tcW w:w="134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Calculation</w:t>
            </w:r>
          </w:p>
        </w:tc>
        <w:tc>
          <w:tcPr>
            <w:tcW w:w="134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40" w:type="dxa"/>
            <w:vAlign w:val="bottom"/>
            <w:tcBorders>
              <w:right w:val="single" w:sz="8" w:color="auto"/>
            </w:tcBorders>
            <w:vMerge w:val="continue"/>
          </w:tcPr>
          <w:p>
            <w:pPr>
              <w:spacing w:after="0"/>
              <w:rPr>
                <w:sz w:val="7"/>
                <w:szCs w:val="7"/>
                <w:color w:val="auto"/>
              </w:rPr>
            </w:pP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Fee Rate</w:t>
            </w:r>
          </w:p>
        </w:tc>
        <w:tc>
          <w:tcPr>
            <w:tcW w:w="13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Registration</w:t>
            </w:r>
          </w:p>
        </w:tc>
        <w:tc>
          <w:tcPr>
            <w:tcW w:w="0" w:type="dxa"/>
            <w:vAlign w:val="bottom"/>
          </w:tcPr>
          <w:p>
            <w:pPr>
              <w:spacing w:after="0"/>
              <w:rPr>
                <w:sz w:val="1"/>
                <w:szCs w:val="1"/>
                <w:color w:val="auto"/>
              </w:rPr>
            </w:pPr>
          </w:p>
        </w:tc>
      </w:tr>
      <w:tr>
        <w:trPr>
          <w:trHeight w:val="204"/>
        </w:trPr>
        <w:tc>
          <w:tcPr>
            <w:tcW w:w="1340" w:type="dxa"/>
            <w:vAlign w:val="bottom"/>
            <w:tcBorders>
              <w:left w:val="single" w:sz="8" w:color="auto"/>
              <w:right w:val="single" w:sz="8" w:color="auto"/>
            </w:tcBorders>
            <w:vMerge w:val="continue"/>
          </w:tcPr>
          <w:p>
            <w:pPr>
              <w:spacing w:after="0"/>
              <w:rPr>
                <w:sz w:val="17"/>
                <w:szCs w:val="17"/>
                <w:color w:val="auto"/>
              </w:rPr>
            </w:pPr>
          </w:p>
        </w:tc>
        <w:tc>
          <w:tcPr>
            <w:tcW w:w="1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Title</w:t>
            </w:r>
          </w:p>
        </w:tc>
        <w:tc>
          <w:tcPr>
            <w:tcW w:w="1340" w:type="dxa"/>
            <w:vAlign w:val="bottom"/>
            <w:tcBorders>
              <w:right w:val="single" w:sz="8" w:color="auto"/>
            </w:tcBorders>
            <w:vMerge w:val="continue"/>
          </w:tcPr>
          <w:p>
            <w:pPr>
              <w:spacing w:after="0"/>
              <w:rPr>
                <w:sz w:val="17"/>
                <w:szCs w:val="17"/>
                <w:color w:val="auto"/>
              </w:rPr>
            </w:pPr>
          </w:p>
        </w:tc>
        <w:tc>
          <w:tcPr>
            <w:tcW w:w="1340" w:type="dxa"/>
            <w:vAlign w:val="bottom"/>
            <w:tcBorders>
              <w:right w:val="single" w:sz="8" w:color="auto"/>
            </w:tcBorders>
          </w:tcPr>
          <w:p>
            <w:pPr>
              <w:jc w:val="center"/>
              <w:spacing w:after="0" w:line="204" w:lineRule="exact"/>
              <w:rPr>
                <w:sz w:val="20"/>
                <w:szCs w:val="20"/>
                <w:color w:val="auto"/>
              </w:rPr>
            </w:pPr>
            <w:r>
              <w:rPr>
                <w:rFonts w:ascii="Times New Roman" w:cs="Times New Roman" w:eastAsia="Times New Roman" w:hAnsi="Times New Roman"/>
                <w:sz w:val="17"/>
                <w:szCs w:val="17"/>
                <w:b w:val="1"/>
                <w:bCs w:val="1"/>
                <w:color w:val="auto"/>
                <w:w w:val="97"/>
              </w:rPr>
              <w:t>Registered</w:t>
            </w:r>
            <w:r>
              <w:rPr>
                <w:rFonts w:ascii="Times New Roman" w:cs="Times New Roman" w:eastAsia="Times New Roman" w:hAnsi="Times New Roman"/>
                <w:sz w:val="23"/>
                <w:szCs w:val="23"/>
                <w:b w:val="1"/>
                <w:bCs w:val="1"/>
                <w:color w:val="auto"/>
                <w:w w:val="97"/>
                <w:vertAlign w:val="superscript"/>
              </w:rPr>
              <w:t>(1)(2)</w:t>
            </w:r>
          </w:p>
        </w:tc>
        <w:tc>
          <w:tcPr>
            <w:tcW w:w="1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Offering Price</w:t>
            </w:r>
          </w:p>
        </w:tc>
        <w:tc>
          <w:tcPr>
            <w:tcW w:w="134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b w:val="1"/>
                <w:bCs w:val="1"/>
                <w:color w:val="auto"/>
                <w:w w:val="99"/>
              </w:rPr>
              <w:t>Offering</w:t>
            </w:r>
          </w:p>
        </w:tc>
        <w:tc>
          <w:tcPr>
            <w:tcW w:w="1320" w:type="dxa"/>
            <w:vAlign w:val="bottom"/>
            <w:tcBorders>
              <w:right w:val="single" w:sz="8" w:color="auto"/>
            </w:tcBorders>
            <w:vMerge w:val="continue"/>
          </w:tcPr>
          <w:p>
            <w:pPr>
              <w:spacing w:after="0"/>
              <w:rPr>
                <w:sz w:val="17"/>
                <w:szCs w:val="17"/>
                <w:color w:val="auto"/>
              </w:rPr>
            </w:pPr>
          </w:p>
        </w:tc>
        <w:tc>
          <w:tcPr>
            <w:tcW w:w="13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87"/>
        </w:trPr>
        <w:tc>
          <w:tcPr>
            <w:tcW w:w="1340" w:type="dxa"/>
            <w:vAlign w:val="bottom"/>
            <w:tcBorders>
              <w:left w:val="single" w:sz="8" w:color="auto"/>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Rule</w:t>
            </w:r>
          </w:p>
        </w:tc>
        <w:tc>
          <w:tcPr>
            <w:tcW w:w="13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18"/>
                <w:szCs w:val="18"/>
                <w:b w:val="1"/>
                <w:bCs w:val="1"/>
                <w:color w:val="auto"/>
                <w:w w:val="95"/>
              </w:rPr>
              <w:t>Per Unit</w:t>
            </w:r>
            <w:r>
              <w:rPr>
                <w:rFonts w:ascii="Times New Roman" w:cs="Times New Roman" w:eastAsia="Times New Roman" w:hAnsi="Times New Roman"/>
                <w:sz w:val="24"/>
                <w:szCs w:val="24"/>
                <w:b w:val="1"/>
                <w:bCs w:val="1"/>
                <w:color w:val="auto"/>
                <w:w w:val="95"/>
                <w:vertAlign w:val="superscript"/>
              </w:rPr>
              <w:t>(3)</w:t>
            </w:r>
          </w:p>
        </w:tc>
        <w:tc>
          <w:tcPr>
            <w:tcW w:w="1340" w:type="dxa"/>
            <w:vAlign w:val="bottom"/>
            <w:tcBorders>
              <w:bottom w:val="single" w:sz="8" w:color="auto"/>
              <w:right w:val="single" w:sz="8" w:color="auto"/>
            </w:tcBorders>
          </w:tcPr>
          <w:p>
            <w:pPr>
              <w:jc w:val="center"/>
              <w:spacing w:after="0" w:line="266" w:lineRule="exact"/>
              <w:rPr>
                <w:sz w:val="20"/>
                <w:szCs w:val="20"/>
                <w:color w:val="auto"/>
              </w:rPr>
            </w:pPr>
            <w:r>
              <w:rPr>
                <w:rFonts w:ascii="Times New Roman" w:cs="Times New Roman" w:eastAsia="Times New Roman" w:hAnsi="Times New Roman"/>
                <w:sz w:val="18"/>
                <w:szCs w:val="18"/>
                <w:b w:val="1"/>
                <w:bCs w:val="1"/>
                <w:color w:val="auto"/>
                <w:w w:val="92"/>
              </w:rPr>
              <w:t>Price</w:t>
            </w:r>
            <w:r>
              <w:rPr>
                <w:rFonts w:ascii="Times New Roman" w:cs="Times New Roman" w:eastAsia="Times New Roman" w:hAnsi="Times New Roman"/>
                <w:sz w:val="24"/>
                <w:szCs w:val="24"/>
                <w:b w:val="1"/>
                <w:bCs w:val="1"/>
                <w:color w:val="auto"/>
                <w:w w:val="92"/>
                <w:vertAlign w:val="superscript"/>
              </w:rPr>
              <w:t>(3)</w:t>
            </w:r>
          </w:p>
        </w:tc>
        <w:tc>
          <w:tcPr>
            <w:tcW w:w="1320" w:type="dxa"/>
            <w:vAlign w:val="bottom"/>
            <w:tcBorders>
              <w:bottom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Fee</w:t>
            </w:r>
          </w:p>
        </w:tc>
        <w:tc>
          <w:tcPr>
            <w:tcW w:w="0" w:type="dxa"/>
            <w:vAlign w:val="bottom"/>
          </w:tcPr>
          <w:p>
            <w:pPr>
              <w:spacing w:after="0"/>
              <w:rPr>
                <w:sz w:val="1"/>
                <w:szCs w:val="1"/>
                <w:color w:val="auto"/>
              </w:rPr>
            </w:pPr>
          </w:p>
        </w:tc>
      </w:tr>
      <w:tr>
        <w:trPr>
          <w:trHeight w:val="174"/>
        </w:trPr>
        <w:tc>
          <w:tcPr>
            <w:tcW w:w="1340" w:type="dxa"/>
            <w:vAlign w:val="bottom"/>
            <w:tcBorders>
              <w:left w:val="single" w:sz="8" w:color="auto"/>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Equity</w:t>
            </w:r>
          </w:p>
        </w:tc>
        <w:tc>
          <w:tcPr>
            <w:tcW w:w="13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rPr>
              <w:t>Common</w:t>
            </w:r>
          </w:p>
        </w:tc>
        <w:tc>
          <w:tcPr>
            <w:tcW w:w="13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7"/>
              </w:rPr>
              <w:t>Other</w:t>
            </w:r>
          </w:p>
        </w:tc>
        <w:tc>
          <w:tcPr>
            <w:tcW w:w="13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2,425,000</w:t>
            </w:r>
          </w:p>
        </w:tc>
        <w:tc>
          <w:tcPr>
            <w:tcW w:w="13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$46.875</w:t>
            </w:r>
          </w:p>
        </w:tc>
        <w:tc>
          <w:tcPr>
            <w:tcW w:w="134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8"/>
              </w:rPr>
              <w:t>$113,671,875</w:t>
            </w:r>
          </w:p>
        </w:tc>
        <w:tc>
          <w:tcPr>
            <w:tcW w:w="1320" w:type="dxa"/>
            <w:vAlign w:val="bottom"/>
            <w:tcBorders>
              <w:right w:val="single" w:sz="8" w:color="auto"/>
            </w:tcBorders>
          </w:tcPr>
          <w:p>
            <w:pPr>
              <w:jc w:val="right"/>
              <w:ind w:right="170"/>
              <w:spacing w:after="0" w:line="175" w:lineRule="exact"/>
              <w:rPr>
                <w:sz w:val="20"/>
                <w:szCs w:val="20"/>
                <w:color w:val="auto"/>
              </w:rPr>
            </w:pPr>
            <w:r>
              <w:rPr>
                <w:rFonts w:ascii="Times New Roman" w:cs="Times New Roman" w:eastAsia="Times New Roman" w:hAnsi="Times New Roman"/>
                <w:sz w:val="18"/>
                <w:szCs w:val="18"/>
                <w:color w:val="auto"/>
              </w:rPr>
              <w:t>0.00015310</w:t>
            </w:r>
          </w:p>
        </w:tc>
        <w:tc>
          <w:tcPr>
            <w:tcW w:w="1320" w:type="dxa"/>
            <w:vAlign w:val="bottom"/>
            <w:tcBorders>
              <w:right w:val="single" w:sz="8" w:color="auto"/>
            </w:tcBorders>
          </w:tcPr>
          <w:p>
            <w:pPr>
              <w:jc w:val="center"/>
              <w:spacing w:after="0" w:line="175" w:lineRule="exact"/>
              <w:rPr>
                <w:sz w:val="20"/>
                <w:szCs w:val="20"/>
                <w:color w:val="auto"/>
              </w:rPr>
            </w:pPr>
            <w:r>
              <w:rPr>
                <w:rFonts w:ascii="Times New Roman" w:cs="Times New Roman" w:eastAsia="Times New Roman" w:hAnsi="Times New Roman"/>
                <w:sz w:val="18"/>
                <w:szCs w:val="18"/>
                <w:color w:val="auto"/>
                <w:w w:val="99"/>
              </w:rPr>
              <w:t>$17,404</w:t>
            </w: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stock, par</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40" w:type="dxa"/>
            <w:vAlign w:val="bottom"/>
            <w:tcBorders>
              <w:left w:val="single" w:sz="8" w:color="auto"/>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value $0.01 per</w:t>
            </w: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3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share</w:t>
            </w: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3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Total Offering Amounts</w:t>
            </w: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$113,671,875</w:t>
            </w: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$17,404</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Total Fee Offsets</w:t>
            </w: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9"/>
        </w:trPr>
        <w:tc>
          <w:tcPr>
            <w:tcW w:w="1340" w:type="dxa"/>
            <w:vAlign w:val="bottom"/>
            <w:tcBorders>
              <w:left w:val="single" w:sz="8" w:color="auto"/>
              <w:bottom w:val="single" w:sz="8" w:color="auto"/>
            </w:tcBorders>
          </w:tcPr>
          <w:p>
            <w:pPr>
              <w:spacing w:after="0"/>
              <w:rPr>
                <w:sz w:val="18"/>
                <w:szCs w:val="18"/>
                <w:color w:val="auto"/>
              </w:rPr>
            </w:pPr>
          </w:p>
        </w:tc>
        <w:tc>
          <w:tcPr>
            <w:tcW w:w="2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Fee Due</w:t>
            </w: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$17,404</w:t>
            </w: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480" w:right="100" w:hanging="471"/>
        <w:spacing w:after="0" w:line="268" w:lineRule="auto"/>
        <w:tabs>
          <w:tab w:leader="none" w:pos="3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of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this Registration Statement also covers such indeterminable number of additional shares of common stock of the Registrant as may become issuable to prevent dilution in the event of stock splits, stock dividends, recapitalization or similar transactions.</w:t>
      </w:r>
    </w:p>
    <w:p>
      <w:pPr>
        <w:spacing w:after="0" w:line="174" w:lineRule="exact"/>
        <w:rPr>
          <w:rFonts w:ascii="Times New Roman" w:cs="Times New Roman" w:eastAsia="Times New Roman" w:hAnsi="Times New Roman"/>
          <w:sz w:val="18"/>
          <w:szCs w:val="18"/>
          <w:color w:val="auto"/>
        </w:rPr>
      </w:pPr>
    </w:p>
    <w:p>
      <w:pPr>
        <w:jc w:val="right"/>
        <w:ind w:left="480" w:right="60" w:hanging="471"/>
        <w:spacing w:after="0" w:line="312" w:lineRule="auto"/>
        <w:tabs>
          <w:tab w:leader="none" w:pos="373"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shares of common stock, par value $0.01 per share, of ABM Industries Incorporated issuable pursuant to the ABM Industries Incorporated 2021 Equity and Incentive Compensation Plan (Amended and Restated February 10, 2025) being registered pursuant to this Registration Statement.</w:t>
      </w:r>
    </w:p>
    <w:p>
      <w:pPr>
        <w:spacing w:after="0" w:line="139" w:lineRule="exact"/>
        <w:rPr>
          <w:rFonts w:ascii="Times New Roman" w:cs="Times New Roman" w:eastAsia="Times New Roman" w:hAnsi="Times New Roman"/>
          <w:sz w:val="17"/>
          <w:szCs w:val="17"/>
          <w:color w:val="auto"/>
        </w:rPr>
      </w:pPr>
    </w:p>
    <w:p>
      <w:pPr>
        <w:ind w:left="480" w:right="460" w:hanging="471"/>
        <w:spacing w:after="0" w:line="282" w:lineRule="auto"/>
        <w:tabs>
          <w:tab w:leader="none" w:pos="373"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solely for the purpose of calculating the registration fee pursuant to Rule 457(c) and Rule 457(h) of the Securities Act, based upon the average of the high and low prices of the common stock of the Registrant on the New York Stock Exchange on March 21,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6" w:right="339" w:bottom="1440" w:gutter="0" w:footer="0" w:header="0"/>
        </w:sectPr>
      </w:pPr>
    </w:p>
    <w:bookmarkStart w:id="25" w:name="page26"/>
    <w:bookmarkEnd w:id="2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1)"/>
      <w:numFmt w:val="lowerLetter"/>
      <w:start w:val="1"/>
    </w:lvl>
  </w:abstractNum>
  <w:abstractNum w:abstractNumId="1">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
    <w:nsid w:val="2D1D5AE9"/>
    <w:multiLevelType w:val="hybridMultilevel"/>
    <w:lvl w:ilvl="0">
      <w:lvlJc w:val="left"/>
      <w:lvlText w:val="(%1)"/>
      <w:numFmt w:val="lowerRoman"/>
      <w:start w:val="3"/>
    </w:lvl>
  </w:abstractNum>
  <w:abstractNum w:abstractNumId="3">
    <w:nsid w:val="6763845E"/>
    <w:multiLevelType w:val="hybridMultilevel"/>
    <w:lvl w:ilvl="0">
      <w:lvlJc w:val="left"/>
      <w:lvlText w:val="%1"/>
      <w:numFmt w:val="lowerLetter"/>
      <w:start w:val="1"/>
    </w:lvl>
    <w:lvl w:ilvl="1">
      <w:lvlJc w:val="left"/>
      <w:lvlText w:val="(%2)"/>
      <w:numFmt w:val="decimal"/>
      <w:start w:val="2"/>
    </w:lvl>
  </w:abstractNum>
  <w:abstractNum w:abstractNumId="4">
    <w:nsid w:val="75A2A8D4"/>
    <w:multiLevelType w:val="hybridMultilevel"/>
    <w:lvl w:ilvl="0">
      <w:lvlJc w:val="left"/>
      <w:lvlText w:val="(%1)"/>
      <w:numFmt w:val="lowerLetter"/>
      <w:start w:val="2"/>
    </w:lvl>
    <w:lvl w:ilvl="1">
      <w:lvlJc w:val="left"/>
      <w:lvlText w:val="%2"/>
      <w:numFmt w:val="decimal"/>
      <w:start w:val="1"/>
    </w:lvl>
  </w:abstractNum>
  <w:abstractNum w:abstractNumId="5">
    <w:nsid w:val="8EDBDAB"/>
    <w:multiLevelType w:val="hybridMultilevel"/>
    <w:lvl w:ilvl="0">
      <w:lvlJc w:val="left"/>
      <w:lvlText w:val="%1."/>
      <w:numFmt w:val="decimal"/>
      <w:start w:val="1"/>
    </w:lvl>
    <w:lvl w:ilvl="1">
      <w:lvlJc w:val="left"/>
      <w:lvlText w:val="(%2)"/>
      <w:numFmt w:val="lowerLetter"/>
      <w:start w:val="1"/>
    </w:lvl>
  </w:abstractNum>
  <w:abstractNum w:abstractNumId="6">
    <w:nsid w:val="79838CB2"/>
    <w:multiLevelType w:val="hybridMultilevel"/>
    <w:lvl w:ilvl="0">
      <w:lvlJc w:val="left"/>
      <w:lvlText w:val="(%1)"/>
      <w:numFmt w:val="lowerLetter"/>
      <w:start w:val="16"/>
    </w:lvl>
  </w:abstractNum>
  <w:abstractNum w:abstractNumId="7">
    <w:nsid w:val="4353D0CD"/>
    <w:multiLevelType w:val="hybridMultilevel"/>
    <w:lvl w:ilvl="0">
      <w:lvlJc w:val="left"/>
      <w:lvlText w:val="(%1)"/>
      <w:numFmt w:val="lowerLetter"/>
      <w:start w:val="21"/>
    </w:lvl>
  </w:abstractNum>
  <w:abstractNum w:abstractNumId="8">
    <w:nsid w:val="B03E0C6"/>
    <w:multiLevelType w:val="hybridMultilevel"/>
    <w:lvl w:ilvl="0">
      <w:lvlJc w:val="left"/>
      <w:lvlText w:val="(%1)"/>
      <w:numFmt w:val="lowerLetter"/>
      <w:start w:val="27"/>
    </w:lvl>
  </w:abstractNum>
  <w:abstractNum w:abstractNumId="9">
    <w:nsid w:val="189A769B"/>
    <w:multiLevelType w:val="hybridMultilevel"/>
    <w:lvl w:ilvl="0">
      <w:lvlJc w:val="left"/>
      <w:lvlText w:val="%1"/>
      <w:numFmt w:val="decimal"/>
      <w:start w:val="1"/>
    </w:lvl>
    <w:lvl w:ilvl="1">
      <w:lvlJc w:val="left"/>
      <w:lvlText w:val="(%2)"/>
      <w:numFmt w:val="lowerLetter"/>
      <w:start w:val="37"/>
    </w:lvl>
    <w:lvl w:ilvl="2">
      <w:lvlJc w:val="left"/>
      <w:lvlText w:val="%3"/>
      <w:numFmt w:val="lowerRoman"/>
      <w:start w:val="1"/>
    </w:lvl>
  </w:abstractNum>
  <w:abstractNum w:abstractNumId="10">
    <w:nsid w:val="54E49EB4"/>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
    <w:nsid w:val="71F32454"/>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2">
    <w:nsid w:val="2CA88611"/>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13">
    <w:nsid w:val="836C40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4">
    <w:nsid w:val="2901D82"/>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15">
    <w:nsid w:val="3A95F874"/>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16">
    <w:nsid w:val="8138641"/>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4"/>
    </w:lvl>
  </w:abstractNum>
  <w:abstractNum w:abstractNumId="17">
    <w:nsid w:val="1E7FF521"/>
    <w:multiLevelType w:val="hybridMultilevel"/>
    <w:lvl w:ilvl="0">
      <w:lvlJc w:val="left"/>
      <w:lvlText w:val="%1"/>
      <w:numFmt w:val="decimal"/>
      <w:start w:val="1"/>
    </w:lvl>
    <w:lvl w:ilvl="1">
      <w:lvlJc w:val="left"/>
      <w:lvlText w:val="(%2)"/>
      <w:numFmt w:val="lowerLetter"/>
      <w:start w:val="3"/>
    </w:lvl>
  </w:abstractNum>
  <w:abstractNum w:abstractNumId="18">
    <w:nsid w:val="7C3DBD3D"/>
    <w:multiLevelType w:val="hybridMultilevel"/>
    <w:lvl w:ilvl="0">
      <w:lvlJc w:val="left"/>
      <w:lvlText w:val="%1."/>
      <w:numFmt w:val="decimal"/>
      <w:start w:val="4"/>
    </w:lvl>
    <w:lvl w:ilvl="1">
      <w:lvlJc w:val="left"/>
      <w:lvlText w:val="(%2)"/>
      <w:numFmt w:val="lowerLetter"/>
      <w:start w:val="1"/>
    </w:lvl>
  </w:abstractNum>
  <w:abstractNum w:abstractNumId="19">
    <w:nsid w:val="737B8DD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20">
    <w:nsid w:val="6CEAF087"/>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1">
    <w:nsid w:val="22221A70"/>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2">
    <w:nsid w:val="4516DDE9"/>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23">
    <w:nsid w:val="3006C83E"/>
    <w:multiLevelType w:val="hybridMultilevel"/>
    <w:lvl w:ilvl="0">
      <w:lvlJc w:val="left"/>
      <w:lvlText w:val="%1"/>
      <w:numFmt w:val="decimal"/>
      <w:start w:val="1"/>
    </w:lvl>
    <w:lvl w:ilvl="1">
      <w:lvlJc w:val="left"/>
      <w:lvlText w:val="(%2)"/>
      <w:numFmt w:val="lowerLetter"/>
      <w:start w:val="61"/>
    </w:lvl>
    <w:lvl w:ilvl="2">
      <w:lvlJc w:val="left"/>
      <w:lvlText w:val="(%3)"/>
      <w:numFmt w:val="lowerRoman"/>
      <w:start w:val="4"/>
    </w:lvl>
  </w:abstractNum>
  <w:abstractNum w:abstractNumId="24">
    <w:nsid w:val="614FD4A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25">
    <w:nsid w:val="419AC241"/>
    <w:multiLevelType w:val="hybridMultilevel"/>
    <w:lvl w:ilvl="0">
      <w:lvlJc w:val="left"/>
      <w:lvlText w:val="%1"/>
      <w:numFmt w:val="decimal"/>
      <w:start w:val="1"/>
    </w:lvl>
    <w:lvl w:ilvl="1">
      <w:lvlJc w:val="left"/>
      <w:lvlText w:val="(%2)"/>
      <w:numFmt w:val="lowerLetter"/>
      <w:start w:val="9"/>
    </w:lvl>
    <w:lvl w:ilvl="2">
      <w:lvlJc w:val="left"/>
      <w:lvlText w:val="%3"/>
      <w:numFmt w:val="lowerRoman"/>
      <w:start w:val="1"/>
    </w:lvl>
  </w:abstractNum>
  <w:abstractNum w:abstractNumId="26">
    <w:nsid w:val="5577F8E1"/>
    <w:multiLevelType w:val="hybridMultilevel"/>
    <w:lvl w:ilvl="0">
      <w:lvlJc w:val="left"/>
      <w:lvlText w:val="%1"/>
      <w:numFmt w:val="decimal"/>
      <w:start w:val="1"/>
    </w:lvl>
    <w:lvl w:ilvl="1">
      <w:lvlJc w:val="left"/>
      <w:lvlText w:val="(%2)"/>
      <w:numFmt w:val="lowerLetter"/>
      <w:start w:val="35"/>
    </w:lvl>
    <w:lvl w:ilvl="2">
      <w:lvlJc w:val="left"/>
      <w:lvlText w:val="%3"/>
      <w:numFmt w:val="lowerRoman"/>
      <w:start w:val="1"/>
    </w:lvl>
  </w:abstractNum>
  <w:abstractNum w:abstractNumId="27">
    <w:nsid w:val="440BADFC"/>
    <w:multiLevelType w:val="hybridMultilevel"/>
    <w:lvl w:ilvl="0">
      <w:lvlJc w:val="left"/>
      <w:lvlText w:val="%1."/>
      <w:numFmt w:val="decimal"/>
      <w:start w:val="6"/>
    </w:lvl>
    <w:lvl w:ilvl="1">
      <w:lvlJc w:val="left"/>
      <w:lvlText w:val="(%2)"/>
      <w:numFmt w:val="lowerLetter"/>
      <w:start w:val="1"/>
    </w:lvl>
  </w:abstractNum>
  <w:abstractNum w:abstractNumId="28">
    <w:nsid w:val="5072367"/>
    <w:multiLevelType w:val="hybridMultilevel"/>
    <w:lvl w:ilvl="0">
      <w:lvlJc w:val="left"/>
      <w:lvlText w:val="%1"/>
      <w:numFmt w:val="decimal"/>
      <w:start w:val="1"/>
    </w:lvl>
    <w:lvl w:ilvl="1">
      <w:lvlJc w:val="left"/>
      <w:lvlText w:val="(%2)"/>
      <w:numFmt w:val="lowerLetter"/>
      <w:start w:val="2"/>
    </w:lvl>
  </w:abstractNum>
  <w:abstractNum w:abstractNumId="29">
    <w:nsid w:val="3804823E"/>
    <w:multiLevelType w:val="hybridMultilevel"/>
    <w:lvl w:ilvl="0">
      <w:lvlJc w:val="left"/>
      <w:lvlText w:val="%1."/>
      <w:numFmt w:val="decimal"/>
      <w:start w:val="8"/>
    </w:lvl>
    <w:lvl w:ilvl="1">
      <w:lvlJc w:val="left"/>
      <w:lvlText w:val="(%2)"/>
      <w:numFmt w:val="lowerLetter"/>
      <w:start w:val="1"/>
    </w:lvl>
  </w:abstractNum>
  <w:abstractNum w:abstractNumId="30">
    <w:nsid w:val="77465F01"/>
    <w:multiLevelType w:val="hybridMultilevel"/>
    <w:lvl w:ilvl="0">
      <w:lvlJc w:val="left"/>
      <w:lvlText w:val="%1."/>
      <w:numFmt w:val="decimal"/>
      <w:start w:val="9"/>
    </w:lvl>
    <w:lvl w:ilvl="1">
      <w:lvlJc w:val="left"/>
      <w:lvlText w:val="(%2)"/>
      <w:numFmt w:val="lowerLetter"/>
      <w:start w:val="1"/>
    </w:lvl>
  </w:abstractNum>
  <w:abstractNum w:abstractNumId="31">
    <w:nsid w:val="7724C67E"/>
    <w:multiLevelType w:val="hybridMultilevel"/>
    <w:lvl w:ilvl="0">
      <w:lvlJc w:val="left"/>
      <w:lvlText w:val="%1."/>
      <w:numFmt w:val="decimal"/>
      <w:start w:val="11"/>
    </w:lvl>
    <w:lvl w:ilvl="1">
      <w:lvlJc w:val="left"/>
      <w:lvlText w:val="(%2)"/>
      <w:numFmt w:val="lowerLetter"/>
      <w:start w:val="1"/>
    </w:lvl>
  </w:abstractNum>
  <w:abstractNum w:abstractNumId="32">
    <w:nsid w:val="5C482A97"/>
    <w:multiLevelType w:val="hybridMultilevel"/>
    <w:lvl w:ilvl="0">
      <w:lvlJc w:val="left"/>
      <w:lvlText w:val="%1"/>
      <w:numFmt w:val="decimal"/>
      <w:start w:val="1"/>
    </w:lvl>
    <w:lvl w:ilvl="1">
      <w:lvlJc w:val="left"/>
      <w:lvlText w:val="%2."/>
      <w:numFmt w:val="decimal"/>
      <w:start w:val="13"/>
    </w:lvl>
    <w:lvl w:ilvl="2">
      <w:lvlJc w:val="left"/>
      <w:lvlText w:val="(%3)"/>
      <w:numFmt w:val="lowerLetter"/>
      <w:start w:val="1"/>
    </w:lvl>
  </w:abstractNum>
  <w:abstractNum w:abstractNumId="33">
    <w:nsid w:val="2463B9EA"/>
    <w:multiLevelType w:val="hybridMultilevel"/>
    <w:lvl w:ilvl="0">
      <w:lvlJc w:val="left"/>
      <w:lvlText w:val="%1."/>
      <w:numFmt w:val="decimal"/>
      <w:start w:val="15"/>
    </w:lvl>
    <w:lvl w:ilvl="1">
      <w:lvlJc w:val="left"/>
      <w:lvlText w:val="%2"/>
      <w:numFmt w:val="decimal"/>
      <w:start w:val="1"/>
    </w:lvl>
    <w:lvl w:ilvl="2">
      <w:lvlJc w:val="left"/>
      <w:lvlText w:val="(%3)"/>
      <w:numFmt w:val="lowerLetter"/>
      <w:start w:val="1"/>
    </w:lvl>
  </w:abstractNum>
  <w:abstractNum w:abstractNumId="34">
    <w:nsid w:val="5E884ADC"/>
    <w:multiLevelType w:val="hybridMultilevel"/>
    <w:lvl w:ilvl="0">
      <w:lvlJc w:val="left"/>
      <w:lvlText w:val="%1"/>
      <w:numFmt w:val="decimal"/>
      <w:start w:val="1"/>
    </w:lvl>
    <w:lvl w:ilvl="1">
      <w:lvlJc w:val="left"/>
      <w:lvlText w:val="(%2)"/>
      <w:numFmt w:val="lowerLetter"/>
      <w:start w:val="2"/>
    </w:lvl>
  </w:abstractNum>
  <w:abstractNum w:abstractNumId="35">
    <w:nsid w:val="51EAD36B"/>
    <w:multiLevelType w:val="hybridMultilevel"/>
    <w:lvl w:ilvl="0">
      <w:lvlJc w:val="left"/>
      <w:lvlText w:val="%1."/>
      <w:numFmt w:val="decimal"/>
      <w:start w:val="16"/>
    </w:lvl>
    <w:lvl w:ilvl="1">
      <w:lvlJc w:val="left"/>
      <w:lvlText w:val="(%2)"/>
      <w:numFmt w:val="lowerLetter"/>
      <w:start w:val="1"/>
    </w:lvl>
  </w:abstractNum>
  <w:abstractNum w:abstractNumId="36">
    <w:nsid w:val="2D517796"/>
    <w:multiLevelType w:val="hybridMultilevel"/>
    <w:lvl w:ilvl="0">
      <w:lvlJc w:val="left"/>
      <w:lvlText w:val="%1"/>
      <w:numFmt w:val="decimal"/>
      <w:start w:val="1"/>
    </w:lvl>
    <w:lvl w:ilvl="1">
      <w:lvlJc w:val="left"/>
      <w:lvlText w:val="(%2)"/>
      <w:numFmt w:val="lowerLetter"/>
      <w:start w:val="3"/>
    </w:lvl>
  </w:abstractNum>
  <w:abstractNum w:abstractNumId="37">
    <w:nsid w:val="580BD78F"/>
    <w:multiLevelType w:val="hybridMultilevel"/>
    <w:lvl w:ilvl="0">
      <w:lvlJc w:val="left"/>
      <w:lvlText w:val="%1."/>
      <w:numFmt w:val="decimal"/>
      <w:start w:val="18"/>
    </w:lvl>
    <w:lvl w:ilvl="1">
      <w:lvlJc w:val="left"/>
      <w:lvlText w:val="(%2)"/>
      <w:numFmt w:val="lowerLetter"/>
      <w:start w:val="1"/>
    </w:lvl>
  </w:abstractNum>
  <w:abstractNum w:abstractNumId="38">
    <w:nsid w:val="153EA438"/>
    <w:multiLevelType w:val="hybridMultilevel"/>
    <w:lvl w:ilvl="0">
      <w:lvlJc w:val="left"/>
      <w:lvlText w:val="%1"/>
      <w:numFmt w:val="decimal"/>
      <w:start w:val="1"/>
    </w:lvl>
    <w:lvl w:ilvl="1">
      <w:lvlJc w:val="left"/>
      <w:lvlText w:val="(%2)"/>
      <w:numFmt w:val="lowerLetter"/>
      <w:start w:val="4"/>
    </w:lvl>
  </w:abstractNum>
  <w:abstractNum w:abstractNumId="39">
    <w:nsid w:val="3855585C"/>
    <w:multiLevelType w:val="hybridMultilevel"/>
    <w:lvl w:ilvl="0">
      <w:lvlJc w:val="left"/>
      <w:lvlText w:val="%1."/>
      <w:numFmt w:val="decimal"/>
      <w:start w:val="19"/>
    </w:lvl>
    <w:lvl w:ilvl="1">
      <w:lvlJc w:val="left"/>
      <w:lvlText w:val="(%2)"/>
      <w:numFmt w:val="lowerLetter"/>
      <w:start w:val="1"/>
    </w:lvl>
  </w:abstractNum>
  <w:abstractNum w:abstractNumId="40">
    <w:nsid w:val="70A64E2A"/>
    <w:multiLevelType w:val="hybridMultilevel"/>
    <w:lvl w:ilvl="0">
      <w:lvlJc w:val="left"/>
      <w:lvlText w:val="%1"/>
      <w:numFmt w:val="decimal"/>
      <w:start w:val="1"/>
    </w:lvl>
    <w:lvl w:ilvl="1">
      <w:lvlJc w:val="left"/>
      <w:lvlText w:val="(%2)"/>
      <w:numFmt w:val="lowerLetter"/>
      <w:start w:val="8"/>
    </w:lvl>
  </w:abstractNum>
  <w:abstractNum w:abstractNumId="41">
    <w:nsid w:val="6A2342EC"/>
    <w:multiLevelType w:val="hybridMultilevel"/>
    <w:lvl w:ilvl="0">
      <w:lvlJc w:val="left"/>
      <w:lvlText w:val="%1."/>
      <w:numFmt w:val="decimal"/>
      <w:start w:val="22"/>
    </w:lvl>
    <w:lvl w:ilvl="1">
      <w:lvlJc w:val="left"/>
      <w:lvlText w:val="(%2)"/>
      <w:numFmt w:val="lowerLetter"/>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jpe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18" Type="http://schemas.openxmlformats.org/officeDocument/2006/relationships/hyperlink" Target="https://www.sec.gov/Archives/edgar/data/771497/000110465920039488/tm2014024d1_ex3-1.htm" TargetMode="External"/><Relationship Id="rId19" Type="http://schemas.openxmlformats.org/officeDocument/2006/relationships/hyperlink" Target="https://www.sec.gov/Archives/edgar/data/771497/000095017024037283/abm-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2025-03-27T14:49:21Z</dcterms:created>
  <dcterms:modified xsi:type="dcterms:W3CDTF">2025-03-27T14:49:21Z</dcterms:modified>
</cp:coreProperties>
</file>