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308610</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1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1816735</wp:posOffset>
            </wp:positionH>
            <wp:positionV relativeFrom="paragraph">
              <wp:posOffset>119380</wp:posOffset>
            </wp:positionV>
            <wp:extent cx="36334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1816735</wp:posOffset>
            </wp:positionH>
            <wp:positionV relativeFrom="paragraph">
              <wp:posOffset>135890</wp:posOffset>
            </wp:positionV>
            <wp:extent cx="36334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8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5" w:lineRule="exact"/>
        <w:rPr>
          <w:sz w:val="24"/>
          <w:szCs w:val="24"/>
          <w:color w:val="auto"/>
        </w:rPr>
      </w:pPr>
    </w:p>
    <w:p>
      <w:pPr>
        <w:ind w:left="8"/>
        <w:spacing w:after="0"/>
        <w:tabs>
          <w:tab w:leader="none" w:pos="8087"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June 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3633470</wp:posOffset>
            </wp:positionH>
            <wp:positionV relativeFrom="paragraph">
              <wp:posOffset>15240</wp:posOffset>
            </wp:positionV>
            <wp:extent cx="36334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3470" cy="7620"/>
                    </a:xfrm>
                    <a:prstGeom prst="rect">
                      <a:avLst/>
                    </a:prstGeom>
                    <a:noFill/>
                  </pic:spPr>
                </pic:pic>
              </a:graphicData>
            </a:graphic>
          </wp:anchor>
        </w:drawing>
        <w:drawing>
          <wp:anchor simplePos="0" relativeHeight="251657728" behindDoc="1" locked="0" layoutInCell="0" allowOverlap="1">
            <wp:simplePos x="0" y="0"/>
            <wp:positionH relativeFrom="column">
              <wp:posOffset>1816735</wp:posOffset>
            </wp:positionH>
            <wp:positionV relativeFrom="paragraph">
              <wp:posOffset>139700</wp:posOffset>
            </wp:positionV>
            <wp:extent cx="36334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6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7"/>
          <w:szCs w:val="37"/>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63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4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1816735</wp:posOffset>
            </wp:positionH>
            <wp:positionV relativeFrom="paragraph">
              <wp:posOffset>127000</wp:posOffset>
            </wp:positionV>
            <wp:extent cx="36334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81" w:lineRule="exact"/>
        <w:rPr>
          <w:sz w:val="24"/>
          <w:szCs w:val="24"/>
          <w:color w:val="auto"/>
        </w:rPr>
      </w:pPr>
    </w:p>
    <w:tbl>
      <w:tblPr>
        <w:tblLayout w:type="fixed"/>
        <w:tblInd w:w="8"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960" w:type="dxa"/>
            <w:vAlign w:val="bottom"/>
            <w:gridSpan w:val="2"/>
          </w:tcPr>
          <w:p>
            <w:pPr>
              <w:jc w:val="center"/>
              <w:ind w:left="613"/>
              <w:spacing w:after="0"/>
              <w:rPr>
                <w:sz w:val="20"/>
                <w:szCs w:val="20"/>
                <w:color w:val="auto"/>
              </w:rPr>
            </w:pPr>
            <w:r>
              <w:rPr>
                <w:rFonts w:ascii="Times New Roman" w:cs="Times New Roman" w:eastAsia="Times New Roman" w:hAnsi="Times New Roman"/>
                <w:sz w:val="15"/>
                <w:szCs w:val="15"/>
                <w:b w:val="1"/>
                <w:bCs w:val="1"/>
                <w:color w:val="auto"/>
              </w:rPr>
              <w:t>1-8929</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8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94-1369354</w:t>
            </w:r>
          </w:p>
        </w:tc>
      </w:tr>
      <w:tr>
        <w:trPr>
          <w:trHeight w:val="99"/>
        </w:trPr>
        <w:tc>
          <w:tcPr>
            <w:tcW w:w="20" w:type="dxa"/>
            <w:vAlign w:val="bottom"/>
          </w:tcPr>
          <w:p>
            <w:pPr>
              <w:spacing w:after="0"/>
              <w:rPr>
                <w:sz w:val="8"/>
                <w:szCs w:val="8"/>
                <w:color w:val="auto"/>
              </w:rPr>
            </w:pPr>
          </w:p>
        </w:tc>
        <w:tc>
          <w:tcPr>
            <w:tcW w:w="3640" w:type="dxa"/>
            <w:vAlign w:val="bottom"/>
            <w:tcBorders>
              <w:top w:val="single" w:sz="8" w:color="auto"/>
            </w:tcBorders>
            <w:gridSpan w:val="2"/>
          </w:tcPr>
          <w:p>
            <w:pPr>
              <w:jc w:val="center"/>
              <w:ind w:right="20"/>
              <w:spacing w:after="0" w:line="99" w:lineRule="exact"/>
              <w:rPr>
                <w:sz w:val="20"/>
                <w:szCs w:val="20"/>
                <w:color w:val="auto"/>
              </w:rPr>
            </w:pPr>
            <w:r>
              <w:rPr>
                <w:rFonts w:ascii="Times New Roman" w:cs="Times New Roman" w:eastAsia="Times New Roman" w:hAnsi="Times New Roman"/>
                <w:sz w:val="11"/>
                <w:szCs w:val="11"/>
                <w:color w:val="auto"/>
              </w:rPr>
              <w:t>(State or other jurisdiction</w:t>
            </w:r>
          </w:p>
        </w:tc>
        <w:tc>
          <w:tcPr>
            <w:tcW w:w="240" w:type="dxa"/>
            <w:vAlign w:val="bottom"/>
          </w:tcPr>
          <w:p>
            <w:pPr>
              <w:spacing w:after="0"/>
              <w:rPr>
                <w:sz w:val="8"/>
                <w:szCs w:val="8"/>
                <w:color w:val="auto"/>
              </w:rPr>
            </w:pPr>
          </w:p>
        </w:tc>
        <w:tc>
          <w:tcPr>
            <w:tcW w:w="3760" w:type="dxa"/>
            <w:vAlign w:val="bottom"/>
            <w:tcBorders>
              <w:top w:val="single" w:sz="8" w:color="auto"/>
            </w:tcBorders>
            <w:gridSpan w:val="4"/>
          </w:tcPr>
          <w:p>
            <w:pPr>
              <w:jc w:val="center"/>
              <w:ind w:right="120"/>
              <w:spacing w:after="0" w:line="99" w:lineRule="exact"/>
              <w:rPr>
                <w:sz w:val="20"/>
                <w:szCs w:val="20"/>
                <w:color w:val="auto"/>
              </w:rPr>
            </w:pPr>
            <w:r>
              <w:rPr>
                <w:rFonts w:ascii="Times New Roman" w:cs="Times New Roman" w:eastAsia="Times New Roman" w:hAnsi="Times New Roman"/>
                <w:sz w:val="11"/>
                <w:szCs w:val="11"/>
                <w:color w:val="auto"/>
              </w:rPr>
              <w:t>(Commission File</w:t>
            </w:r>
          </w:p>
        </w:tc>
        <w:tc>
          <w:tcPr>
            <w:tcW w:w="920" w:type="dxa"/>
            <w:vAlign w:val="bottom"/>
            <w:tcBorders>
              <w:top w:val="single" w:sz="8" w:color="auto"/>
            </w:tcBorders>
          </w:tcPr>
          <w:p>
            <w:pPr>
              <w:spacing w:after="0"/>
              <w:rPr>
                <w:sz w:val="8"/>
                <w:szCs w:val="8"/>
                <w:color w:val="auto"/>
              </w:rPr>
            </w:pPr>
          </w:p>
        </w:tc>
        <w:tc>
          <w:tcPr>
            <w:tcW w:w="2860" w:type="dxa"/>
            <w:vAlign w:val="bottom"/>
            <w:tcBorders>
              <w:top w:val="single" w:sz="8" w:color="auto"/>
            </w:tcBorders>
          </w:tcPr>
          <w:p>
            <w:pPr>
              <w:jc w:val="center"/>
              <w:ind w:right="740"/>
              <w:spacing w:after="0" w:line="99" w:lineRule="exact"/>
              <w:rPr>
                <w:sz w:val="20"/>
                <w:szCs w:val="20"/>
                <w:color w:val="auto"/>
              </w:rPr>
            </w:pPr>
            <w:r>
              <w:rPr>
                <w:rFonts w:ascii="Times New Roman" w:cs="Times New Roman" w:eastAsia="Times New Roman" w:hAnsi="Times New Roman"/>
                <w:sz w:val="11"/>
                <w:szCs w:val="11"/>
                <w:color w:val="auto"/>
              </w:rPr>
              <w:t>(IRS Employer</w:t>
            </w:r>
          </w:p>
        </w:tc>
      </w:tr>
      <w:tr>
        <w:trPr>
          <w:trHeight w:val="160"/>
        </w:trPr>
        <w:tc>
          <w:tcPr>
            <w:tcW w:w="20" w:type="dxa"/>
            <w:vAlign w:val="bottom"/>
          </w:tcPr>
          <w:p>
            <w:pPr>
              <w:spacing w:after="0"/>
              <w:rPr>
                <w:sz w:val="13"/>
                <w:szCs w:val="13"/>
                <w:color w:val="auto"/>
              </w:rPr>
            </w:pPr>
          </w:p>
        </w:tc>
        <w:tc>
          <w:tcPr>
            <w:tcW w:w="388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color w:val="auto"/>
              </w:rPr>
              <w:t>of incorporation)</w:t>
            </w:r>
          </w:p>
        </w:tc>
        <w:tc>
          <w:tcPr>
            <w:tcW w:w="376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rPr>
              <w:t>Number)</w:t>
            </w:r>
          </w:p>
        </w:tc>
        <w:tc>
          <w:tcPr>
            <w:tcW w:w="920" w:type="dxa"/>
            <w:vAlign w:val="bottom"/>
          </w:tcPr>
          <w:p>
            <w:pPr>
              <w:spacing w:after="0"/>
              <w:rPr>
                <w:sz w:val="13"/>
                <w:szCs w:val="13"/>
                <w:color w:val="auto"/>
              </w:rPr>
            </w:pPr>
          </w:p>
        </w:tc>
        <w:tc>
          <w:tcPr>
            <w:tcW w:w="2860" w:type="dxa"/>
            <w:vAlign w:val="bottom"/>
          </w:tcPr>
          <w:p>
            <w:pPr>
              <w:jc w:val="center"/>
              <w:ind w:right="7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72"/>
        </w:trPr>
        <w:tc>
          <w:tcPr>
            <w:tcW w:w="39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One Liberty Plaza, 7</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5"/>
                <w:szCs w:val="15"/>
                <w:b w:val="1"/>
                <w:bCs w:val="1"/>
                <w:color w:val="auto"/>
              </w:rPr>
              <w:t xml:space="preserve"> Floor</w:t>
            </w: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3"/>
        </w:trPr>
        <w:tc>
          <w:tcPr>
            <w:tcW w:w="39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New York, New York</w:t>
            </w:r>
          </w:p>
        </w:tc>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80" w:type="dxa"/>
            <w:vAlign w:val="bottom"/>
            <w:gridSpan w:val="2"/>
          </w:tcPr>
          <w:p>
            <w:pPr>
              <w:jc w:val="right"/>
              <w:ind w:right="1920"/>
              <w:spacing w:after="0"/>
              <w:rPr>
                <w:sz w:val="20"/>
                <w:szCs w:val="20"/>
                <w:color w:val="auto"/>
              </w:rPr>
            </w:pPr>
            <w:r>
              <w:rPr>
                <w:rFonts w:ascii="Times New Roman" w:cs="Times New Roman" w:eastAsia="Times New Roman" w:hAnsi="Times New Roman"/>
                <w:sz w:val="15"/>
                <w:szCs w:val="15"/>
                <w:b w:val="1"/>
                <w:bCs w:val="1"/>
                <w:color w:val="auto"/>
              </w:rPr>
              <w:t>10006</w:t>
            </w:r>
          </w:p>
        </w:tc>
      </w:tr>
      <w:tr>
        <w:trPr>
          <w:trHeight w:val="151"/>
        </w:trPr>
        <w:tc>
          <w:tcPr>
            <w:tcW w:w="20" w:type="dxa"/>
            <w:vAlign w:val="bottom"/>
          </w:tcPr>
          <w:p>
            <w:pPr>
              <w:spacing w:after="0"/>
              <w:rPr>
                <w:sz w:val="13"/>
                <w:szCs w:val="13"/>
                <w:color w:val="auto"/>
              </w:rPr>
            </w:pPr>
          </w:p>
        </w:tc>
        <w:tc>
          <w:tcPr>
            <w:tcW w:w="3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8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tcPr>
          <w:p>
            <w:pPr>
              <w:jc w:val="center"/>
              <w:ind w:right="1380"/>
              <w:spacing w:after="0"/>
              <w:rPr>
                <w:sz w:val="20"/>
                <w:szCs w:val="20"/>
                <w:color w:val="auto"/>
              </w:rPr>
            </w:pPr>
            <w:r>
              <w:rPr>
                <w:rFonts w:ascii="Times New Roman" w:cs="Times New Roman" w:eastAsia="Times New Roman" w:hAnsi="Times New Roman"/>
                <w:sz w:val="12"/>
                <w:szCs w:val="12"/>
                <w:color w:val="auto"/>
              </w:rPr>
              <w:t>(Zip Code)</w:t>
            </w:r>
          </w:p>
        </w:tc>
      </w:tr>
      <w:tr>
        <w:trPr>
          <w:trHeight w:val="336"/>
        </w:trPr>
        <w:tc>
          <w:tcPr>
            <w:tcW w:w="39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18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right"/>
              <w:ind w:right="2320"/>
              <w:spacing w:after="0"/>
              <w:rPr>
                <w:sz w:val="20"/>
                <w:szCs w:val="20"/>
                <w:color w:val="auto"/>
              </w:rPr>
            </w:pPr>
            <w:r>
              <w:rPr>
                <w:rFonts w:ascii="Times New Roman" w:cs="Times New Roman" w:eastAsia="Times New Roman" w:hAnsi="Times New Roman"/>
                <w:sz w:val="15"/>
                <w:szCs w:val="15"/>
                <w:b w:val="1"/>
                <w:bCs w:val="1"/>
                <w:color w:val="auto"/>
              </w:rPr>
              <w:t>(212) 297-0200</w:t>
            </w:r>
          </w:p>
        </w:tc>
      </w:tr>
      <w:tr>
        <w:trPr>
          <w:trHeight w:val="361"/>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N/A</w:t>
            </w:r>
          </w:p>
        </w:tc>
        <w:tc>
          <w:tcPr>
            <w:tcW w:w="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15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92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r>
    </w:tbl>
    <w:p>
      <w:pPr>
        <w:spacing w:after="0" w:line="18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68" w:hanging="268"/>
        <w:spacing w:after="0"/>
        <w:tabs>
          <w:tab w:leader="none" w:pos="268"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6" w:lineRule="exact"/>
        <w:rPr>
          <w:rFonts w:ascii="MS PGothic" w:cs="MS PGothic" w:eastAsia="MS PGothic" w:hAnsi="MS PGothic"/>
          <w:sz w:val="15"/>
          <w:szCs w:val="15"/>
          <w:color w:val="auto"/>
        </w:rPr>
      </w:pPr>
    </w:p>
    <w:p>
      <w:pPr>
        <w:ind w:left="268" w:hanging="268"/>
        <w:spacing w:after="0"/>
        <w:tabs>
          <w:tab w:leader="none" w:pos="268"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6" w:lineRule="exact"/>
        <w:rPr>
          <w:rFonts w:ascii="MS PGothic" w:cs="MS PGothic" w:eastAsia="MS PGothic" w:hAnsi="MS PGothic"/>
          <w:sz w:val="15"/>
          <w:szCs w:val="15"/>
          <w:color w:val="auto"/>
        </w:rPr>
      </w:pPr>
    </w:p>
    <w:p>
      <w:pPr>
        <w:ind w:left="268" w:hanging="268"/>
        <w:spacing w:after="0"/>
        <w:tabs>
          <w:tab w:leader="none" w:pos="268"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6" w:lineRule="exact"/>
        <w:rPr>
          <w:rFonts w:ascii="MS PGothic" w:cs="MS PGothic" w:eastAsia="MS PGothic" w:hAnsi="MS PGothic"/>
          <w:sz w:val="15"/>
          <w:szCs w:val="15"/>
          <w:color w:val="auto"/>
        </w:rPr>
      </w:pPr>
    </w:p>
    <w:p>
      <w:pPr>
        <w:ind w:left="268" w:hanging="268"/>
        <w:spacing w:after="0"/>
        <w:tabs>
          <w:tab w:leader="none" w:pos="268"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97" w:lineRule="exact"/>
        <w:rPr>
          <w:sz w:val="24"/>
          <w:szCs w:val="24"/>
          <w:color w:val="auto"/>
        </w:rPr>
      </w:pPr>
    </w:p>
    <w:p>
      <w:pPr>
        <w:ind w:left="8" w:right="460"/>
        <w:spacing w:after="0" w:line="293"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268" w:hanging="268"/>
        <w:spacing w:after="0"/>
        <w:tabs>
          <w:tab w:leader="none" w:pos="268"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Emerging growth company</w:t>
      </w:r>
    </w:p>
    <w:p>
      <w:pPr>
        <w:spacing w:after="0" w:line="196" w:lineRule="exact"/>
        <w:rPr>
          <w:rFonts w:ascii="MS PGothic" w:cs="MS PGothic" w:eastAsia="MS PGothic" w:hAnsi="MS PGothic"/>
          <w:sz w:val="15"/>
          <w:szCs w:val="15"/>
          <w:color w:val="auto"/>
        </w:rPr>
      </w:pPr>
    </w:p>
    <w:p>
      <w:pPr>
        <w:ind w:left="268" w:right="480" w:hanging="268"/>
        <w:spacing w:after="0" w:line="293" w:lineRule="auto"/>
        <w:tabs>
          <w:tab w:leader="none" w:pos="268"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663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726630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503555</wp:posOffset>
            </wp:positionV>
            <wp:extent cx="7266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664"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2.02. Results of Operations and Financial Condition.</w:t>
      </w:r>
    </w:p>
    <w:p>
      <w:pPr>
        <w:spacing w:after="0" w:line="20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5"/>
          <w:szCs w:val="15"/>
          <w:color w:val="auto"/>
        </w:rPr>
        <w:t>On June 7, 2017, ABM Industries Incorporated (the “Company”) issued a press release announcing financial results related to the second quarter of fiscal year 2017. A copy of the press release is attached as Exhibit 99.1, which is incorporated into this item by 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7.01. Regulation FD</w:t>
      </w:r>
    </w:p>
    <w:p>
      <w:pPr>
        <w:spacing w:after="0" w:line="20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auto"/>
        </w:rPr>
        <w:t>As disclosed in the press release attached as Exhibit 99.1, the Company will hold a live web cast on June 8, 2017 relating to the Company’s financial results for the second quarter of fiscal year 2017. A copy of the slides to be presented at the Company’s web cast and discussed in the conference call relating to such financial results is being furnished as Exhibit 99.2 to this Form 8-K.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201"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5"/>
          <w:szCs w:val="15"/>
          <w:color w:val="auto"/>
        </w:rPr>
        <w:t>On June 7, 2017, the Company announced that the Board of Directors of the Company declared a quarterly dividend of $0.17 per share, payable on August 7, 2017 to stockholders of record on July 6, 2017. A copy of the press release announcing the declaration of the dividend is attached as Exhibit 99.1, which is incorporated into this item by 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91"/>
              </w:rPr>
              <w:t>99.1</w:t>
            </w:r>
          </w:p>
        </w:tc>
        <w:tc>
          <w:tcPr>
            <w:tcW w:w="10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Press Release issued by ABM Industries Incorporated, dated June 7, 2017, announcing financial results related to the second quarter of fiscal year 2017 and the declaration</w:t>
            </w:r>
          </w:p>
        </w:tc>
      </w:tr>
      <w:tr>
        <w:trPr>
          <w:trHeight w:val="199"/>
        </w:trPr>
        <w:tc>
          <w:tcPr>
            <w:tcW w:w="540" w:type="dxa"/>
            <w:vAlign w:val="bottom"/>
          </w:tcPr>
          <w:p>
            <w:pPr>
              <w:spacing w:after="0"/>
              <w:rPr>
                <w:sz w:val="17"/>
                <w:szCs w:val="17"/>
                <w:color w:val="auto"/>
              </w:rPr>
            </w:pPr>
          </w:p>
        </w:tc>
        <w:tc>
          <w:tcPr>
            <w:tcW w:w="10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of a dividend payable August 7, 2017 to stockholders of record on July 6, 2017.</w:t>
            </w:r>
          </w:p>
        </w:tc>
      </w:tr>
      <w:tr>
        <w:trPr>
          <w:trHeight w:val="369"/>
        </w:trPr>
        <w:tc>
          <w:tcPr>
            <w:tcW w:w="5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91"/>
              </w:rPr>
              <w:t>99.2</w:t>
            </w:r>
          </w:p>
        </w:tc>
        <w:tc>
          <w:tcPr>
            <w:tcW w:w="10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Slides of ABM Industries Incorporated dated June 8, 2017.</w:t>
            </w:r>
          </w:p>
        </w:tc>
      </w:tr>
      <w:tr>
        <w:trPr>
          <w:trHeight w:val="577"/>
        </w:trPr>
        <w:tc>
          <w:tcPr>
            <w:tcW w:w="540" w:type="dxa"/>
            <w:vAlign w:val="bottom"/>
            <w:tcBorders>
              <w:bottom w:val="single" w:sz="8" w:color="auto"/>
            </w:tcBorders>
          </w:tcPr>
          <w:p>
            <w:pPr>
              <w:spacing w:after="0"/>
              <w:rPr>
                <w:sz w:val="24"/>
                <w:szCs w:val="24"/>
                <w:color w:val="auto"/>
              </w:rPr>
            </w:pPr>
          </w:p>
        </w:tc>
        <w:tc>
          <w:tcPr>
            <w:tcW w:w="10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0"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1" w:lineRule="exact"/>
        <w:rPr>
          <w:sz w:val="20"/>
          <w:szCs w:val="20"/>
          <w:color w:val="auto"/>
        </w:rPr>
      </w:pPr>
    </w:p>
    <w:p>
      <w:pPr>
        <w:ind w:right="520" w:firstLine="421"/>
        <w:spacing w:after="0" w:line="293"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960" w:type="dxa"/>
            <w:vAlign w:val="bottom"/>
            <w:gridSpan w:val="2"/>
          </w:tcPr>
          <w:p>
            <w:pPr>
              <w:ind w:left="2240"/>
              <w:spacing w:after="0"/>
              <w:rPr>
                <w:sz w:val="20"/>
                <w:szCs w:val="20"/>
                <w:color w:val="auto"/>
              </w:rPr>
            </w:pPr>
            <w:r>
              <w:rPr>
                <w:rFonts w:ascii="Times New Roman" w:cs="Times New Roman" w:eastAsia="Times New Roman" w:hAnsi="Times New Roman"/>
                <w:sz w:val="15"/>
                <w:szCs w:val="15"/>
                <w:color w:val="auto"/>
              </w:rPr>
              <w:t>ABM INDUSTRIES INCORPORATED</w:t>
            </w:r>
          </w:p>
        </w:tc>
      </w:tr>
      <w:tr>
        <w:trPr>
          <w:trHeight w:val="335"/>
        </w:trPr>
        <w:tc>
          <w:tcPr>
            <w:tcW w:w="34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Dated: June 7, 2017</w:t>
            </w:r>
          </w:p>
        </w:tc>
        <w:tc>
          <w:tcPr>
            <w:tcW w:w="2640" w:type="dxa"/>
            <w:vAlign w:val="bottom"/>
          </w:tcPr>
          <w:p>
            <w:pPr>
              <w:ind w:left="2240"/>
              <w:spacing w:after="0"/>
              <w:rPr>
                <w:sz w:val="20"/>
                <w:szCs w:val="20"/>
                <w:color w:val="auto"/>
              </w:rPr>
            </w:pPr>
            <w:r>
              <w:rPr>
                <w:rFonts w:ascii="Times New Roman" w:cs="Times New Roman" w:eastAsia="Times New Roman" w:hAnsi="Times New Roman"/>
                <w:sz w:val="15"/>
                <w:szCs w:val="15"/>
                <w:color w:val="auto"/>
              </w:rPr>
              <w:t>By:</w:t>
            </w:r>
          </w:p>
        </w:tc>
        <w:tc>
          <w:tcPr>
            <w:tcW w:w="5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 Barbara L. Smithers</w:t>
            </w:r>
          </w:p>
        </w:tc>
      </w:tr>
      <w:tr>
        <w:trPr>
          <w:trHeight w:val="185"/>
        </w:trPr>
        <w:tc>
          <w:tcPr>
            <w:tcW w:w="4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Barbara L. Smithers</w:t>
            </w:r>
          </w:p>
        </w:tc>
      </w:tr>
      <w:tr>
        <w:trPr>
          <w:trHeight w:val="185"/>
        </w:trPr>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Vice President, Deputy General</w:t>
            </w:r>
          </w:p>
        </w:tc>
      </w:tr>
      <w:tr>
        <w:trPr>
          <w:trHeight w:val="199"/>
        </w:trPr>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3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Counsel and Assistant Secretary</w:t>
            </w:r>
          </w:p>
        </w:tc>
      </w:tr>
      <w:tr>
        <w:trPr>
          <w:trHeight w:val="577"/>
        </w:trPr>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0" w:right="2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0900" w:type="dxa"/>
            <w:vAlign w:val="bottom"/>
          </w:tcPr>
          <w:p>
            <w:pPr>
              <w:ind w:left="458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55"/>
        </w:trPr>
        <w:tc>
          <w:tcPr>
            <w:tcW w:w="5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91"/>
              </w:rPr>
              <w:t>99.1</w:t>
            </w:r>
          </w:p>
        </w:tc>
        <w:tc>
          <w:tcPr>
            <w:tcW w:w="10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Press Release issued by ABM Industries Incorporated, dated June 7, 2017, announcing financial results related to the second quarter of fiscal year 2017 and the declaration</w:t>
            </w:r>
          </w:p>
        </w:tc>
      </w:tr>
      <w:tr>
        <w:trPr>
          <w:trHeight w:val="199"/>
        </w:trPr>
        <w:tc>
          <w:tcPr>
            <w:tcW w:w="540" w:type="dxa"/>
            <w:vAlign w:val="bottom"/>
          </w:tcPr>
          <w:p>
            <w:pPr>
              <w:spacing w:after="0"/>
              <w:rPr>
                <w:sz w:val="17"/>
                <w:szCs w:val="17"/>
                <w:color w:val="auto"/>
              </w:rPr>
            </w:pPr>
          </w:p>
        </w:tc>
        <w:tc>
          <w:tcPr>
            <w:tcW w:w="10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of a dividend payable August 7, 2017 to stockholders of record on July 6, 2017.</w:t>
            </w:r>
          </w:p>
        </w:tc>
      </w:tr>
      <w:tr>
        <w:trPr>
          <w:trHeight w:val="369"/>
        </w:trPr>
        <w:tc>
          <w:tcPr>
            <w:tcW w:w="54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91"/>
              </w:rPr>
              <w:t>99.2</w:t>
            </w:r>
          </w:p>
        </w:tc>
        <w:tc>
          <w:tcPr>
            <w:tcW w:w="109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Slides of ABM Industries Incorporated dated June 8, 2017.</w:t>
            </w:r>
          </w:p>
        </w:tc>
      </w:tr>
      <w:tr>
        <w:trPr>
          <w:trHeight w:val="577"/>
        </w:trPr>
        <w:tc>
          <w:tcPr>
            <w:tcW w:w="540" w:type="dxa"/>
            <w:vAlign w:val="bottom"/>
            <w:tcBorders>
              <w:bottom w:val="single" w:sz="8" w:color="auto"/>
            </w:tcBorders>
          </w:tcPr>
          <w:p>
            <w:pPr>
              <w:spacing w:after="0"/>
              <w:rPr>
                <w:sz w:val="24"/>
                <w:szCs w:val="24"/>
                <w:color w:val="auto"/>
              </w:rPr>
            </w:pPr>
          </w:p>
        </w:tc>
        <w:tc>
          <w:tcPr>
            <w:tcW w:w="10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0"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1069340" cy="644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9340" cy="64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ANNOUNCES RESULTS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FISCAL 2017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 xml:space="preserve">Revenue Increase of 4.2% to $1.3 billion; Organic Growth of </w:t>
      </w:r>
      <w:r>
        <w:rPr>
          <w:rFonts w:ascii="Arial" w:cs="Arial" w:eastAsia="Arial" w:hAnsi="Arial"/>
          <w:sz w:val="17"/>
          <w:szCs w:val="17"/>
          <w:color w:val="auto"/>
        </w:rPr>
        <w:t>3.6%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GAAP Continuing EPS of $0.56; Adjusted Continuing EPS of $0.49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Full Year Guidance Outlook Increased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Completion of ABM Government Services Sale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Declaration of 205</w:t>
      </w:r>
      <w:r>
        <w:rPr>
          <w:rFonts w:ascii="Arial" w:cs="Arial" w:eastAsia="Arial" w:hAnsi="Arial"/>
          <w:sz w:val="28"/>
          <w:szCs w:val="28"/>
          <w:i w:val="1"/>
          <w:iCs w:val="1"/>
          <w:color w:val="auto"/>
          <w:vertAlign w:val="superscript"/>
        </w:rPr>
        <w:t>th</w:t>
      </w:r>
      <w:r>
        <w:rPr>
          <w:rFonts w:ascii="Arial" w:cs="Arial" w:eastAsia="Arial" w:hAnsi="Arial"/>
          <w:sz w:val="17"/>
          <w:szCs w:val="17"/>
          <w:i w:val="1"/>
          <w:iCs w:val="1"/>
          <w:color w:val="auto"/>
        </w:rPr>
        <w:t xml:space="preserve"> Consecutive Quarterly Dividend</w:t>
      </w:r>
    </w:p>
    <w:p>
      <w:pPr>
        <w:spacing w:after="0" w:line="8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New York, NY - June 7, 2017 - ABM (NYSE: ABM), a leading provider of facility solutions, today announced financial results for the second quarter of fiscal 2017.</w:t>
      </w:r>
    </w:p>
    <w:p>
      <w:pPr>
        <w:sectPr>
          <w:pgSz w:w="11900" w:h="16838" w:orient="portrait"/>
          <w:cols w:equalWidth="0" w:num="1">
            <w:col w:w="11440"/>
          </w:cols>
          <w:pgMar w:left="240" w:top="320" w:right="219" w:bottom="1440" w:gutter="0" w:footer="0" w:header="0"/>
        </w:sectPr>
      </w:pPr>
    </w:p>
    <w:p>
      <w:pPr>
        <w:spacing w:after="0" w:line="3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i w:val="1"/>
          <w:iCs w:val="1"/>
          <w:color w:val="auto"/>
        </w:rPr>
        <w:t>(in millions, except per share amounts)</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Three Months Ended</w:t>
            </w:r>
          </w:p>
        </w:tc>
        <w:tc>
          <w:tcPr>
            <w:tcW w:w="1160" w:type="dxa"/>
            <w:vAlign w:val="bottom"/>
          </w:tcPr>
          <w:p>
            <w:pPr>
              <w:spacing w:after="0"/>
              <w:rPr>
                <w:sz w:val="12"/>
                <w:szCs w:val="12"/>
                <w:color w:val="auto"/>
              </w:rPr>
            </w:pPr>
          </w:p>
        </w:tc>
        <w:tc>
          <w:tcPr>
            <w:tcW w:w="1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Six Months Ended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42"/>
              <w:spacing w:after="0"/>
              <w:rPr>
                <w:sz w:val="20"/>
                <w:szCs w:val="20"/>
                <w:color w:val="auto"/>
              </w:rPr>
            </w:pPr>
            <w:r>
              <w:rPr>
                <w:rFonts w:ascii="Arial" w:cs="Arial" w:eastAsia="Arial" w:hAnsi="Arial"/>
                <w:sz w:val="12"/>
                <w:szCs w:val="12"/>
                <w:b w:val="1"/>
                <w:bCs w:val="1"/>
                <w:color w:val="auto"/>
                <w:w w:val="97"/>
              </w:rPr>
              <w:t>April 30,</w:t>
            </w:r>
          </w:p>
        </w:tc>
        <w:tc>
          <w:tcPr>
            <w:tcW w:w="11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Increase/</w:t>
            </w:r>
          </w:p>
        </w:tc>
        <w:tc>
          <w:tcPr>
            <w:tcW w:w="5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522"/>
              <w:spacing w:after="0"/>
              <w:rPr>
                <w:sz w:val="20"/>
                <w:szCs w:val="20"/>
                <w:color w:val="auto"/>
              </w:rPr>
            </w:pPr>
            <w:r>
              <w:rPr>
                <w:rFonts w:ascii="Arial" w:cs="Arial" w:eastAsia="Arial" w:hAnsi="Arial"/>
                <w:sz w:val="12"/>
                <w:szCs w:val="12"/>
                <w:b w:val="1"/>
                <w:bCs w:val="1"/>
                <w:color w:val="auto"/>
                <w:w w:val="97"/>
              </w:rPr>
              <w:t>April 30,</w:t>
            </w:r>
          </w:p>
        </w:tc>
        <w:tc>
          <w:tcPr>
            <w:tcW w:w="860" w:type="dxa"/>
            <w:vAlign w:val="bottom"/>
            <w:vMerge w:val="restart"/>
          </w:tcPr>
          <w:p>
            <w:pPr>
              <w:jc w:val="center"/>
              <w:ind w:left="202"/>
              <w:spacing w:after="0"/>
              <w:rPr>
                <w:sz w:val="20"/>
                <w:szCs w:val="20"/>
                <w:color w:val="auto"/>
              </w:rPr>
            </w:pPr>
            <w:r>
              <w:rPr>
                <w:rFonts w:ascii="Arial" w:cs="Arial" w:eastAsia="Arial" w:hAnsi="Arial"/>
                <w:sz w:val="12"/>
                <w:szCs w:val="12"/>
                <w:b w:val="1"/>
                <w:bCs w:val="1"/>
                <w:color w:val="auto"/>
                <w:w w:val="99"/>
              </w:rPr>
              <w:t>Increase/</w:t>
            </w:r>
          </w:p>
        </w:tc>
        <w:tc>
          <w:tcPr>
            <w:tcW w:w="0" w:type="dxa"/>
            <w:vAlign w:val="bottom"/>
          </w:tcPr>
          <w:p>
            <w:pPr>
              <w:spacing w:after="0"/>
              <w:rPr>
                <w:sz w:val="1"/>
                <w:szCs w:val="1"/>
                <w:color w:val="auto"/>
              </w:rPr>
            </w:pPr>
          </w:p>
        </w:tc>
      </w:tr>
      <w:tr>
        <w:trPr>
          <w:trHeight w:val="67"/>
        </w:trPr>
        <w:tc>
          <w:tcPr>
            <w:tcW w:w="6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2017</w:t>
            </w:r>
          </w:p>
        </w:tc>
        <w:tc>
          <w:tcPr>
            <w:tcW w:w="1140" w:type="dxa"/>
            <w:vAlign w:val="bottom"/>
            <w:vMerge w:val="restart"/>
          </w:tcPr>
          <w:p>
            <w:pPr>
              <w:jc w:val="right"/>
              <w:ind w:right="222"/>
              <w:spacing w:after="0"/>
              <w:rPr>
                <w:sz w:val="20"/>
                <w:szCs w:val="20"/>
                <w:color w:val="auto"/>
              </w:rPr>
            </w:pPr>
            <w:r>
              <w:rPr>
                <w:rFonts w:ascii="Arial" w:cs="Arial" w:eastAsia="Arial" w:hAnsi="Arial"/>
                <w:sz w:val="12"/>
                <w:szCs w:val="12"/>
                <w:b w:val="1"/>
                <w:bCs w:val="1"/>
                <w:color w:val="auto"/>
              </w:rPr>
              <w:t>2016</w:t>
            </w:r>
          </w:p>
        </w:tc>
        <w:tc>
          <w:tcPr>
            <w:tcW w:w="1160" w:type="dxa"/>
            <w:vAlign w:val="bottom"/>
            <w:vMerge w:val="continue"/>
          </w:tcPr>
          <w:p>
            <w:pPr>
              <w:spacing w:after="0"/>
              <w:rPr>
                <w:sz w:val="5"/>
                <w:szCs w:val="5"/>
                <w:color w:val="auto"/>
              </w:rPr>
            </w:pPr>
          </w:p>
        </w:tc>
        <w:tc>
          <w:tcPr>
            <w:tcW w:w="5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2017</w:t>
            </w:r>
          </w:p>
        </w:tc>
        <w:tc>
          <w:tcPr>
            <w:tcW w:w="112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2016</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7"/>
              </w:rPr>
              <w:t>(Decrease)</w:t>
            </w:r>
          </w:p>
        </w:tc>
        <w:tc>
          <w:tcPr>
            <w:tcW w:w="5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60" w:type="dxa"/>
            <w:vAlign w:val="bottom"/>
          </w:tcPr>
          <w:p>
            <w:pPr>
              <w:jc w:val="center"/>
              <w:ind w:left="202"/>
              <w:spacing w:after="0"/>
              <w:rPr>
                <w:sz w:val="20"/>
                <w:szCs w:val="20"/>
                <w:color w:val="auto"/>
              </w:rPr>
            </w:pPr>
            <w:r>
              <w:rPr>
                <w:rFonts w:ascii="Arial" w:cs="Arial" w:eastAsia="Arial" w:hAnsi="Arial"/>
                <w:sz w:val="12"/>
                <w:szCs w:val="12"/>
                <w:b w:val="1"/>
                <w:bCs w:val="1"/>
                <w:color w:val="auto"/>
                <w:w w:val="97"/>
              </w:rPr>
              <w:t>(Decrease)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-11430</wp:posOffset>
            </wp:positionV>
            <wp:extent cx="7266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100" w:space="720"/>
            <w:col w:w="5620"/>
          </w:cols>
          <w:pgMar w:left="240" w:top="320" w:right="219" w:bottom="1440" w:gutter="0" w:footer="0" w:header="0"/>
          <w:type w:val="continuous"/>
        </w:sectPr>
      </w:pPr>
    </w:p>
    <w:tbl>
      <w:tblPr>
        <w:tblLayout w:type="fixed"/>
        <w:tblInd w:w="10" w:type="dxa"/>
        <w:tblCellMar>
          <w:top w:w="0" w:type="dxa"/>
          <w:left w:w="0" w:type="dxa"/>
          <w:bottom w:w="0" w:type="dxa"/>
          <w:right w:w="0" w:type="dxa"/>
        </w:tblCellMar>
      </w:tblPr>
      <w:tr>
        <w:trPr>
          <w:trHeight w:val="201"/>
        </w:trPr>
        <w:tc>
          <w:tcPr>
            <w:tcW w:w="4500" w:type="dxa"/>
            <w:vAlign w:val="bottom"/>
            <w:tcBorders>
              <w:top w:val="single" w:sz="8" w:color="auto"/>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Revenues</w:t>
            </w:r>
          </w:p>
        </w:tc>
        <w:tc>
          <w:tcPr>
            <w:tcW w:w="152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1,310.5</w:t>
            </w:r>
          </w:p>
        </w:tc>
        <w:tc>
          <w:tcPr>
            <w:tcW w:w="24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top w:val="single" w:sz="8" w:color="auto"/>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rPr>
              <w:t>1,257.1</w:t>
            </w:r>
          </w:p>
        </w:tc>
        <w:tc>
          <w:tcPr>
            <w:tcW w:w="7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5"/>
              </w:rPr>
              <w:t>4.2%</w:t>
            </w:r>
          </w:p>
        </w:tc>
        <w:tc>
          <w:tcPr>
            <w:tcW w:w="3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2,637.2</w:t>
            </w:r>
          </w:p>
        </w:tc>
        <w:tc>
          <w:tcPr>
            <w:tcW w:w="24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auto"/>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2,525.5</w:t>
            </w:r>
          </w:p>
        </w:tc>
        <w:tc>
          <w:tcPr>
            <w:tcW w:w="860" w:type="dxa"/>
            <w:vAlign w:val="bottom"/>
            <w:tcBorders>
              <w:top w:val="single" w:sz="8" w:color="auto"/>
              <w:bottom w:val="single" w:sz="8" w:color="CCEEFF"/>
              <w:right w:val="single" w:sz="8" w:color="auto"/>
            </w:tcBorders>
            <w:shd w:val="clear" w:color="auto" w:fill="CCEEFF"/>
          </w:tcPr>
          <w:p>
            <w:pPr>
              <w:jc w:val="center"/>
              <w:ind w:right="46"/>
              <w:spacing w:after="0"/>
              <w:rPr>
                <w:sz w:val="20"/>
                <w:szCs w:val="20"/>
                <w:color w:val="auto"/>
              </w:rPr>
            </w:pPr>
            <w:r>
              <w:rPr>
                <w:rFonts w:ascii="Arial" w:cs="Arial" w:eastAsia="Arial" w:hAnsi="Arial"/>
                <w:sz w:val="11"/>
                <w:szCs w:val="11"/>
                <w:color w:val="auto"/>
                <w:w w:val="95"/>
              </w:rPr>
              <w:t>4.4%</w:t>
            </w:r>
          </w:p>
        </w:tc>
      </w:tr>
      <w:tr>
        <w:trPr>
          <w:trHeight w:val="26"/>
        </w:trPr>
        <w:tc>
          <w:tcPr>
            <w:tcW w:w="450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r>
        <w:trPr>
          <w:trHeight w:val="176"/>
        </w:trPr>
        <w:tc>
          <w:tcPr>
            <w:tcW w:w="450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Operating profit</w:t>
            </w:r>
          </w:p>
        </w:tc>
        <w:tc>
          <w:tcPr>
            <w:tcW w:w="1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51.0</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rPr>
              <w:t>11.8</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3"/>
              </w:rPr>
              <w:t>NM*</w:t>
            </w:r>
          </w:p>
        </w:tc>
        <w:tc>
          <w:tcPr>
            <w:tcW w:w="3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74.8</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25.4</w:t>
            </w:r>
          </w:p>
        </w:tc>
        <w:tc>
          <w:tcPr>
            <w:tcW w:w="860" w:type="dxa"/>
            <w:vAlign w:val="bottom"/>
            <w:tcBorders>
              <w:bottom w:val="single" w:sz="8" w:color="auto"/>
              <w:right w:val="single" w:sz="8" w:color="auto"/>
            </w:tcBorders>
            <w:shd w:val="clear" w:color="auto" w:fill="CCEEFF"/>
          </w:tcPr>
          <w:p>
            <w:pPr>
              <w:jc w:val="center"/>
              <w:ind w:right="46"/>
              <w:spacing w:after="0"/>
              <w:rPr>
                <w:sz w:val="20"/>
                <w:szCs w:val="20"/>
                <w:color w:val="auto"/>
              </w:rPr>
            </w:pPr>
            <w:r>
              <w:rPr>
                <w:rFonts w:ascii="Arial" w:cs="Arial" w:eastAsia="Arial" w:hAnsi="Arial"/>
                <w:sz w:val="11"/>
                <w:szCs w:val="11"/>
                <w:color w:val="auto"/>
                <w:w w:val="93"/>
              </w:rPr>
              <w:t>NM*</w:t>
            </w:r>
          </w:p>
        </w:tc>
      </w:tr>
      <w:tr>
        <w:trPr>
          <w:trHeight w:val="26"/>
        </w:trPr>
        <w:tc>
          <w:tcPr>
            <w:tcW w:w="4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6"/>
        </w:trPr>
        <w:tc>
          <w:tcPr>
            <w:tcW w:w="45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Income from continuing operations</w:t>
            </w:r>
          </w:p>
        </w:tc>
        <w:tc>
          <w:tcPr>
            <w:tcW w:w="15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31.6</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rPr>
              <w:t>6.8</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NM*</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47.7</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20.4</w:t>
            </w:r>
          </w:p>
        </w:tc>
        <w:tc>
          <w:tcPr>
            <w:tcW w:w="860" w:type="dxa"/>
            <w:vAlign w:val="bottom"/>
            <w:tcBorders>
              <w:bottom w:val="single" w:sz="8" w:color="CCEEFF"/>
              <w:right w:val="single" w:sz="8" w:color="auto"/>
            </w:tcBorders>
            <w:shd w:val="clear" w:color="auto" w:fill="CCEEFF"/>
          </w:tcPr>
          <w:p>
            <w:pPr>
              <w:jc w:val="center"/>
              <w:ind w:right="46"/>
              <w:spacing w:after="0"/>
              <w:rPr>
                <w:sz w:val="20"/>
                <w:szCs w:val="20"/>
                <w:color w:val="auto"/>
              </w:rPr>
            </w:pPr>
            <w:r>
              <w:rPr>
                <w:rFonts w:ascii="Arial" w:cs="Arial" w:eastAsia="Arial" w:hAnsi="Arial"/>
                <w:sz w:val="11"/>
                <w:szCs w:val="11"/>
                <w:color w:val="auto"/>
                <w:w w:val="93"/>
              </w:rPr>
              <w:t>NM*</w:t>
            </w:r>
          </w:p>
        </w:tc>
      </w:tr>
      <w:tr>
        <w:trPr>
          <w:trHeight w:val="161"/>
        </w:trPr>
        <w:tc>
          <w:tcPr>
            <w:tcW w:w="450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Income from continuing operations per diluted share</w:t>
            </w:r>
          </w:p>
        </w:tc>
        <w:tc>
          <w:tcPr>
            <w:tcW w:w="1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0.56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66"/>
              <w:spacing w:after="0"/>
              <w:rPr>
                <w:sz w:val="20"/>
                <w:szCs w:val="20"/>
                <w:color w:val="auto"/>
              </w:rPr>
            </w:pPr>
            <w:r>
              <w:rPr>
                <w:rFonts w:ascii="Arial" w:cs="Arial" w:eastAsia="Arial" w:hAnsi="Arial"/>
                <w:sz w:val="11"/>
                <w:szCs w:val="11"/>
                <w:color w:val="auto"/>
              </w:rPr>
              <w:t>0.12</w:t>
            </w:r>
          </w:p>
        </w:tc>
        <w:tc>
          <w:tcPr>
            <w:tcW w:w="760" w:type="dxa"/>
            <w:vAlign w:val="bottom"/>
          </w:tcPr>
          <w:p>
            <w:pPr>
              <w:jc w:val="center"/>
              <w:spacing w:after="0"/>
              <w:rPr>
                <w:sz w:val="20"/>
                <w:szCs w:val="20"/>
                <w:color w:val="auto"/>
              </w:rPr>
            </w:pPr>
            <w:r>
              <w:rPr>
                <w:rFonts w:ascii="Arial" w:cs="Arial" w:eastAsia="Arial" w:hAnsi="Arial"/>
                <w:sz w:val="11"/>
                <w:szCs w:val="11"/>
                <w:color w:val="auto"/>
                <w:w w:val="93"/>
              </w:rPr>
              <w:t>NM*</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0.84</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26"/>
              <w:spacing w:after="0"/>
              <w:rPr>
                <w:sz w:val="20"/>
                <w:szCs w:val="20"/>
                <w:color w:val="auto"/>
              </w:rPr>
            </w:pPr>
            <w:r>
              <w:rPr>
                <w:rFonts w:ascii="Arial" w:cs="Arial" w:eastAsia="Arial" w:hAnsi="Arial"/>
                <w:sz w:val="11"/>
                <w:szCs w:val="11"/>
                <w:color w:val="auto"/>
              </w:rPr>
              <w:t>0.36</w:t>
            </w:r>
          </w:p>
        </w:tc>
        <w:tc>
          <w:tcPr>
            <w:tcW w:w="860" w:type="dxa"/>
            <w:vAlign w:val="bottom"/>
            <w:tcBorders>
              <w:right w:val="single" w:sz="8" w:color="auto"/>
            </w:tcBorders>
          </w:tcPr>
          <w:p>
            <w:pPr>
              <w:jc w:val="center"/>
              <w:ind w:right="46"/>
              <w:spacing w:after="0"/>
              <w:rPr>
                <w:sz w:val="20"/>
                <w:szCs w:val="20"/>
                <w:color w:val="auto"/>
              </w:rPr>
            </w:pPr>
            <w:r>
              <w:rPr>
                <w:rFonts w:ascii="Arial" w:cs="Arial" w:eastAsia="Arial" w:hAnsi="Arial"/>
                <w:sz w:val="11"/>
                <w:szCs w:val="11"/>
                <w:color w:val="auto"/>
                <w:w w:val="93"/>
              </w:rPr>
              <w:t>NM*</w:t>
            </w:r>
          </w:p>
        </w:tc>
      </w:tr>
      <w:tr>
        <w:trPr>
          <w:trHeight w:val="70"/>
        </w:trPr>
        <w:tc>
          <w:tcPr>
            <w:tcW w:w="4500" w:type="dxa"/>
            <w:vAlign w:val="bottom"/>
            <w:tcBorders>
              <w:left w:val="single" w:sz="8" w:color="auto"/>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r>
      <w:tr>
        <w:trPr>
          <w:trHeight w:val="176"/>
        </w:trPr>
        <w:tc>
          <w:tcPr>
            <w:tcW w:w="450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Adjusted income from continuing operations</w:t>
            </w:r>
          </w:p>
        </w:tc>
        <w:tc>
          <w:tcPr>
            <w:tcW w:w="1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27.8</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66"/>
              <w:spacing w:after="0"/>
              <w:rPr>
                <w:sz w:val="20"/>
                <w:szCs w:val="20"/>
                <w:color w:val="auto"/>
              </w:rPr>
            </w:pPr>
            <w:r>
              <w:rPr>
                <w:rFonts w:ascii="Arial" w:cs="Arial" w:eastAsia="Arial" w:hAnsi="Arial"/>
                <w:sz w:val="11"/>
                <w:szCs w:val="11"/>
                <w:color w:val="auto"/>
              </w:rPr>
              <w:t>17.7</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56.9%</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49.3</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26"/>
              <w:spacing w:after="0"/>
              <w:rPr>
                <w:sz w:val="20"/>
                <w:szCs w:val="20"/>
                <w:color w:val="auto"/>
              </w:rPr>
            </w:pPr>
            <w:r>
              <w:rPr>
                <w:rFonts w:ascii="Arial" w:cs="Arial" w:eastAsia="Arial" w:hAnsi="Arial"/>
                <w:sz w:val="11"/>
                <w:szCs w:val="11"/>
                <w:color w:val="auto"/>
              </w:rPr>
              <w:t>39.3</w:t>
            </w:r>
          </w:p>
        </w:tc>
        <w:tc>
          <w:tcPr>
            <w:tcW w:w="860" w:type="dxa"/>
            <w:vAlign w:val="bottom"/>
            <w:tcBorders>
              <w:right w:val="single" w:sz="8" w:color="auto"/>
            </w:tcBorders>
          </w:tcPr>
          <w:p>
            <w:pPr>
              <w:jc w:val="center"/>
              <w:ind w:right="46"/>
              <w:spacing w:after="0"/>
              <w:rPr>
                <w:sz w:val="20"/>
                <w:szCs w:val="20"/>
                <w:color w:val="auto"/>
              </w:rPr>
            </w:pPr>
            <w:r>
              <w:rPr>
                <w:rFonts w:ascii="Arial" w:cs="Arial" w:eastAsia="Arial" w:hAnsi="Arial"/>
                <w:sz w:val="11"/>
                <w:szCs w:val="11"/>
                <w:color w:val="auto"/>
              </w:rPr>
              <w:t>25.3%</w:t>
            </w:r>
          </w:p>
        </w:tc>
      </w:tr>
      <w:tr>
        <w:trPr>
          <w:trHeight w:val="185"/>
        </w:trPr>
        <w:tc>
          <w:tcPr>
            <w:tcW w:w="450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Adjusted income from continuing operations per diluted share</w:t>
            </w:r>
          </w:p>
        </w:tc>
        <w:tc>
          <w:tcPr>
            <w:tcW w:w="15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0.49</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rPr>
              <w:t>0.31</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6"/>
              </w:rPr>
              <w:t>58.1%</w:t>
            </w:r>
          </w:p>
        </w:tc>
        <w:tc>
          <w:tcPr>
            <w:tcW w:w="3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0.87</w:t>
            </w: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rPr>
              <w:t>0.69</w:t>
            </w:r>
          </w:p>
        </w:tc>
        <w:tc>
          <w:tcPr>
            <w:tcW w:w="860" w:type="dxa"/>
            <w:vAlign w:val="bottom"/>
            <w:tcBorders>
              <w:bottom w:val="single" w:sz="8" w:color="auto"/>
              <w:right w:val="single" w:sz="8" w:color="auto"/>
            </w:tcBorders>
            <w:shd w:val="clear" w:color="auto" w:fill="CCEEFF"/>
          </w:tcPr>
          <w:p>
            <w:pPr>
              <w:jc w:val="center"/>
              <w:ind w:right="46"/>
              <w:spacing w:after="0"/>
              <w:rPr>
                <w:sz w:val="20"/>
                <w:szCs w:val="20"/>
                <w:color w:val="auto"/>
              </w:rPr>
            </w:pPr>
            <w:r>
              <w:rPr>
                <w:rFonts w:ascii="Arial" w:cs="Arial" w:eastAsia="Arial" w:hAnsi="Arial"/>
                <w:sz w:val="11"/>
                <w:szCs w:val="11"/>
                <w:color w:val="auto"/>
              </w:rPr>
              <w:t>26.1%</w:t>
            </w:r>
          </w:p>
        </w:tc>
      </w:tr>
      <w:tr>
        <w:trPr>
          <w:trHeight w:val="26"/>
        </w:trPr>
        <w:tc>
          <w:tcPr>
            <w:tcW w:w="4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6"/>
        </w:trPr>
        <w:tc>
          <w:tcPr>
            <w:tcW w:w="45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Net income (loss)</w:t>
            </w:r>
          </w:p>
        </w:tc>
        <w:tc>
          <w:tcPr>
            <w:tcW w:w="15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31.3</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266"/>
              <w:spacing w:after="0"/>
              <w:rPr>
                <w:sz w:val="20"/>
                <w:szCs w:val="20"/>
                <w:color w:val="auto"/>
              </w:rPr>
            </w:pPr>
            <w:r>
              <w:rPr>
                <w:rFonts w:ascii="Arial" w:cs="Arial" w:eastAsia="Arial" w:hAnsi="Arial"/>
                <w:sz w:val="11"/>
                <w:szCs w:val="11"/>
                <w:color w:val="auto"/>
              </w:rPr>
              <w:t>4.4</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NM*</w:t>
            </w: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(25.5)</w:t>
            </w: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226"/>
              <w:spacing w:after="0"/>
              <w:rPr>
                <w:sz w:val="20"/>
                <w:szCs w:val="20"/>
                <w:color w:val="auto"/>
              </w:rPr>
            </w:pPr>
            <w:r>
              <w:rPr>
                <w:rFonts w:ascii="Arial" w:cs="Arial" w:eastAsia="Arial" w:hAnsi="Arial"/>
                <w:sz w:val="11"/>
                <w:szCs w:val="11"/>
                <w:color w:val="auto"/>
              </w:rPr>
              <w:t>18.4</w:t>
            </w:r>
          </w:p>
        </w:tc>
        <w:tc>
          <w:tcPr>
            <w:tcW w:w="860" w:type="dxa"/>
            <w:vAlign w:val="bottom"/>
            <w:tcBorders>
              <w:bottom w:val="single" w:sz="8" w:color="CCEEFF"/>
              <w:right w:val="single" w:sz="8" w:color="auto"/>
            </w:tcBorders>
            <w:shd w:val="clear" w:color="auto" w:fill="CCEEFF"/>
          </w:tcPr>
          <w:p>
            <w:pPr>
              <w:jc w:val="center"/>
              <w:ind w:right="46"/>
              <w:spacing w:after="0"/>
              <w:rPr>
                <w:sz w:val="20"/>
                <w:szCs w:val="20"/>
                <w:color w:val="auto"/>
              </w:rPr>
            </w:pPr>
            <w:r>
              <w:rPr>
                <w:rFonts w:ascii="Arial" w:cs="Arial" w:eastAsia="Arial" w:hAnsi="Arial"/>
                <w:sz w:val="11"/>
                <w:szCs w:val="11"/>
                <w:color w:val="auto"/>
                <w:w w:val="93"/>
              </w:rPr>
              <w:t>NM*</w:t>
            </w:r>
          </w:p>
        </w:tc>
      </w:tr>
      <w:tr>
        <w:trPr>
          <w:trHeight w:val="161"/>
        </w:trPr>
        <w:tc>
          <w:tcPr>
            <w:tcW w:w="450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Net income (loss) per diluted share</w:t>
            </w:r>
          </w:p>
        </w:tc>
        <w:tc>
          <w:tcPr>
            <w:tcW w:w="1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0.55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66"/>
              <w:spacing w:after="0"/>
              <w:rPr>
                <w:sz w:val="20"/>
                <w:szCs w:val="20"/>
                <w:color w:val="auto"/>
              </w:rPr>
            </w:pPr>
            <w:r>
              <w:rPr>
                <w:rFonts w:ascii="Arial" w:cs="Arial" w:eastAsia="Arial" w:hAnsi="Arial"/>
                <w:sz w:val="11"/>
                <w:szCs w:val="11"/>
                <w:color w:val="auto"/>
              </w:rPr>
              <w:t>0.08</w:t>
            </w:r>
          </w:p>
        </w:tc>
        <w:tc>
          <w:tcPr>
            <w:tcW w:w="760" w:type="dxa"/>
            <w:vAlign w:val="bottom"/>
          </w:tcPr>
          <w:p>
            <w:pPr>
              <w:jc w:val="center"/>
              <w:spacing w:after="0"/>
              <w:rPr>
                <w:sz w:val="20"/>
                <w:szCs w:val="20"/>
                <w:color w:val="auto"/>
              </w:rPr>
            </w:pPr>
            <w:r>
              <w:rPr>
                <w:rFonts w:ascii="Arial" w:cs="Arial" w:eastAsia="Arial" w:hAnsi="Arial"/>
                <w:sz w:val="11"/>
                <w:szCs w:val="11"/>
                <w:color w:val="auto"/>
                <w:w w:val="93"/>
              </w:rPr>
              <w:t>NM*</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(0.45)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26"/>
              <w:spacing w:after="0"/>
              <w:rPr>
                <w:sz w:val="20"/>
                <w:szCs w:val="20"/>
                <w:color w:val="auto"/>
              </w:rPr>
            </w:pPr>
            <w:r>
              <w:rPr>
                <w:rFonts w:ascii="Arial" w:cs="Arial" w:eastAsia="Arial" w:hAnsi="Arial"/>
                <w:sz w:val="11"/>
                <w:szCs w:val="11"/>
                <w:color w:val="auto"/>
              </w:rPr>
              <w:t>0.32</w:t>
            </w:r>
          </w:p>
        </w:tc>
        <w:tc>
          <w:tcPr>
            <w:tcW w:w="860" w:type="dxa"/>
            <w:vAlign w:val="bottom"/>
            <w:tcBorders>
              <w:right w:val="single" w:sz="8" w:color="auto"/>
            </w:tcBorders>
          </w:tcPr>
          <w:p>
            <w:pPr>
              <w:jc w:val="center"/>
              <w:ind w:right="46"/>
              <w:spacing w:after="0"/>
              <w:rPr>
                <w:sz w:val="20"/>
                <w:szCs w:val="20"/>
                <w:color w:val="auto"/>
              </w:rPr>
            </w:pPr>
            <w:r>
              <w:rPr>
                <w:rFonts w:ascii="Arial" w:cs="Arial" w:eastAsia="Arial" w:hAnsi="Arial"/>
                <w:sz w:val="11"/>
                <w:szCs w:val="11"/>
                <w:color w:val="auto"/>
                <w:w w:val="93"/>
              </w:rPr>
              <w:t>NM*</w:t>
            </w:r>
          </w:p>
        </w:tc>
      </w:tr>
      <w:tr>
        <w:trPr>
          <w:trHeight w:val="70"/>
        </w:trPr>
        <w:tc>
          <w:tcPr>
            <w:tcW w:w="4500" w:type="dxa"/>
            <w:vAlign w:val="bottom"/>
            <w:tcBorders>
              <w:left w:val="single" w:sz="8" w:color="auto"/>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r>
      <w:tr>
        <w:trPr>
          <w:trHeight w:val="152"/>
        </w:trPr>
        <w:tc>
          <w:tcPr>
            <w:tcW w:w="450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Net cash provided by operating activities of continuing operations</w:t>
            </w:r>
          </w:p>
        </w:tc>
        <w:tc>
          <w:tcPr>
            <w:tcW w:w="1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59.9</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66"/>
              <w:spacing w:after="0"/>
              <w:rPr>
                <w:sz w:val="20"/>
                <w:szCs w:val="20"/>
                <w:color w:val="auto"/>
              </w:rPr>
            </w:pPr>
            <w:r>
              <w:rPr>
                <w:rFonts w:ascii="Arial" w:cs="Arial" w:eastAsia="Arial" w:hAnsi="Arial"/>
                <w:sz w:val="11"/>
                <w:szCs w:val="11"/>
                <w:color w:val="auto"/>
              </w:rPr>
              <w:t>85.6</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(30.0)%</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50.1</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26"/>
              <w:spacing w:after="0"/>
              <w:rPr>
                <w:sz w:val="20"/>
                <w:szCs w:val="20"/>
                <w:color w:val="auto"/>
              </w:rPr>
            </w:pPr>
            <w:r>
              <w:rPr>
                <w:rFonts w:ascii="Arial" w:cs="Arial" w:eastAsia="Arial" w:hAnsi="Arial"/>
                <w:sz w:val="11"/>
                <w:szCs w:val="11"/>
                <w:color w:val="auto"/>
              </w:rPr>
              <w:t>79.0</w:t>
            </w:r>
          </w:p>
        </w:tc>
        <w:tc>
          <w:tcPr>
            <w:tcW w:w="860" w:type="dxa"/>
            <w:vAlign w:val="bottom"/>
            <w:tcBorders>
              <w:right w:val="single" w:sz="8" w:color="auto"/>
            </w:tcBorders>
          </w:tcPr>
          <w:p>
            <w:pPr>
              <w:jc w:val="center"/>
              <w:ind w:right="46"/>
              <w:spacing w:after="0"/>
              <w:rPr>
                <w:sz w:val="20"/>
                <w:szCs w:val="20"/>
                <w:color w:val="auto"/>
              </w:rPr>
            </w:pPr>
            <w:r>
              <w:rPr>
                <w:rFonts w:ascii="Arial" w:cs="Arial" w:eastAsia="Arial" w:hAnsi="Arial"/>
                <w:sz w:val="11"/>
                <w:szCs w:val="11"/>
                <w:color w:val="auto"/>
                <w:w w:val="93"/>
              </w:rPr>
              <w:t>(36.6)%</w:t>
            </w:r>
          </w:p>
        </w:tc>
      </w:tr>
      <w:tr>
        <w:trPr>
          <w:trHeight w:val="70"/>
        </w:trPr>
        <w:tc>
          <w:tcPr>
            <w:tcW w:w="4500" w:type="dxa"/>
            <w:vAlign w:val="bottom"/>
            <w:tcBorders>
              <w:left w:val="single" w:sz="8" w:color="auto"/>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r>
      <w:tr>
        <w:trPr>
          <w:trHeight w:val="152"/>
        </w:trPr>
        <w:tc>
          <w:tcPr>
            <w:tcW w:w="4500" w:type="dxa"/>
            <w:vAlign w:val="bottom"/>
            <w:tcBorders>
              <w:left w:val="single" w:sz="8" w:color="auto"/>
            </w:tcBorders>
          </w:tcPr>
          <w:p>
            <w:pPr>
              <w:ind w:left="60"/>
              <w:spacing w:after="0"/>
              <w:rPr>
                <w:sz w:val="20"/>
                <w:szCs w:val="20"/>
                <w:color w:val="auto"/>
              </w:rPr>
            </w:pPr>
            <w:r>
              <w:rPr>
                <w:rFonts w:ascii="Arial" w:cs="Arial" w:eastAsia="Arial" w:hAnsi="Arial"/>
                <w:sz w:val="11"/>
                <w:szCs w:val="11"/>
                <w:color w:val="auto"/>
              </w:rPr>
              <w:t>Adjusted EBITDA</w:t>
            </w:r>
          </w:p>
        </w:tc>
        <w:tc>
          <w:tcPr>
            <w:tcW w:w="15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60.5</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266"/>
              <w:spacing w:after="0"/>
              <w:rPr>
                <w:sz w:val="20"/>
                <w:szCs w:val="20"/>
                <w:color w:val="auto"/>
              </w:rPr>
            </w:pPr>
            <w:r>
              <w:rPr>
                <w:rFonts w:ascii="Arial" w:cs="Arial" w:eastAsia="Arial" w:hAnsi="Arial"/>
                <w:sz w:val="11"/>
                <w:szCs w:val="11"/>
                <w:color w:val="auto"/>
              </w:rPr>
              <w:t>46.0</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31.3%</w:t>
            </w:r>
          </w:p>
        </w:tc>
        <w:tc>
          <w:tcPr>
            <w:tcW w:w="3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26"/>
              <w:spacing w:after="0"/>
              <w:rPr>
                <w:sz w:val="20"/>
                <w:szCs w:val="20"/>
                <w:color w:val="auto"/>
              </w:rPr>
            </w:pPr>
            <w:r>
              <w:rPr>
                <w:rFonts w:ascii="Arial" w:cs="Arial" w:eastAsia="Arial" w:hAnsi="Arial"/>
                <w:sz w:val="11"/>
                <w:szCs w:val="11"/>
                <w:color w:val="auto"/>
              </w:rPr>
              <w:t>108.6</w:t>
            </w: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26"/>
              <w:spacing w:after="0"/>
              <w:rPr>
                <w:sz w:val="20"/>
                <w:szCs w:val="20"/>
                <w:color w:val="auto"/>
              </w:rPr>
            </w:pPr>
            <w:r>
              <w:rPr>
                <w:rFonts w:ascii="Arial" w:cs="Arial" w:eastAsia="Arial" w:hAnsi="Arial"/>
                <w:sz w:val="11"/>
                <w:szCs w:val="11"/>
                <w:color w:val="auto"/>
              </w:rPr>
              <w:t>89.7</w:t>
            </w:r>
          </w:p>
        </w:tc>
        <w:tc>
          <w:tcPr>
            <w:tcW w:w="860" w:type="dxa"/>
            <w:vAlign w:val="bottom"/>
            <w:tcBorders>
              <w:right w:val="single" w:sz="8" w:color="auto"/>
            </w:tcBorders>
          </w:tcPr>
          <w:p>
            <w:pPr>
              <w:jc w:val="center"/>
              <w:ind w:right="46"/>
              <w:spacing w:after="0"/>
              <w:rPr>
                <w:sz w:val="20"/>
                <w:szCs w:val="20"/>
                <w:color w:val="auto"/>
              </w:rPr>
            </w:pPr>
            <w:r>
              <w:rPr>
                <w:rFonts w:ascii="Arial" w:cs="Arial" w:eastAsia="Arial" w:hAnsi="Arial"/>
                <w:sz w:val="11"/>
                <w:szCs w:val="11"/>
                <w:color w:val="auto"/>
              </w:rPr>
              <w:t>21.1%</w:t>
            </w:r>
          </w:p>
        </w:tc>
      </w:tr>
      <w:tr>
        <w:trPr>
          <w:trHeight w:val="24"/>
        </w:trPr>
        <w:tc>
          <w:tcPr>
            <w:tcW w:w="4500" w:type="dxa"/>
            <w:vAlign w:val="bottom"/>
            <w:tcBorders>
              <w:left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Borders>
              <w:right w:val="single" w:sz="8" w:color="auto"/>
            </w:tcBorders>
          </w:tcPr>
          <w:p>
            <w:pPr>
              <w:spacing w:after="0"/>
              <w:rPr>
                <w:sz w:val="2"/>
                <w:szCs w:val="2"/>
                <w:color w:val="auto"/>
              </w:rPr>
            </w:pPr>
          </w:p>
        </w:tc>
      </w:tr>
      <w:tr>
        <w:trPr>
          <w:trHeight w:val="165"/>
        </w:trPr>
        <w:tc>
          <w:tcPr>
            <w:tcW w:w="4500" w:type="dxa"/>
            <w:vAlign w:val="bottom"/>
            <w:tcBorders>
              <w:left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Adjusted EBITDA margin</w:t>
            </w:r>
          </w:p>
        </w:tc>
        <w:tc>
          <w:tcPr>
            <w:tcW w:w="15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4.6 %</w:t>
            </w:r>
          </w:p>
        </w:tc>
        <w:tc>
          <w:tcPr>
            <w:tcW w:w="2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rPr>
              <w:t>3.7 %</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6"/>
              </w:rPr>
              <w:t>90 bps</w:t>
            </w:r>
          </w:p>
        </w:tc>
        <w:tc>
          <w:tcPr>
            <w:tcW w:w="3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4.1 %</w:t>
            </w: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3.6%</w:t>
            </w:r>
          </w:p>
        </w:tc>
        <w:tc>
          <w:tcPr>
            <w:tcW w:w="860" w:type="dxa"/>
            <w:vAlign w:val="bottom"/>
            <w:tcBorders>
              <w:bottom w:val="single" w:sz="8" w:color="CCEEFF"/>
              <w:right w:val="single" w:sz="8" w:color="auto"/>
            </w:tcBorders>
            <w:shd w:val="clear" w:color="auto" w:fill="CCEEFF"/>
          </w:tcPr>
          <w:p>
            <w:pPr>
              <w:jc w:val="center"/>
              <w:ind w:right="46"/>
              <w:spacing w:after="0"/>
              <w:rPr>
                <w:sz w:val="20"/>
                <w:szCs w:val="20"/>
                <w:color w:val="auto"/>
              </w:rPr>
            </w:pPr>
            <w:r>
              <w:rPr>
                <w:rFonts w:ascii="Arial" w:cs="Arial" w:eastAsia="Arial" w:hAnsi="Arial"/>
                <w:sz w:val="11"/>
                <w:szCs w:val="11"/>
                <w:color w:val="auto"/>
                <w:w w:val="96"/>
              </w:rPr>
              <w:t>50 bps</w:t>
            </w:r>
          </w:p>
        </w:tc>
      </w:tr>
      <w:tr>
        <w:trPr>
          <w:trHeight w:val="20"/>
        </w:trPr>
        <w:tc>
          <w:tcPr>
            <w:tcW w:w="4500" w:type="dxa"/>
            <w:vAlign w:val="bottom"/>
            <w:tcBorders>
              <w:left w:val="single" w:sz="8" w:color="auto"/>
            </w:tcBorders>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r>
    </w:tbl>
    <w:p>
      <w:pPr>
        <w:spacing w:after="0" w:line="17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Not meaningful (due to variance greater than or equal to +/-100%)</w:t>
      </w:r>
    </w:p>
    <w:p>
      <w:pPr>
        <w:spacing w:after="0" w:line="185" w:lineRule="exact"/>
        <w:rPr>
          <w:sz w:val="20"/>
          <w:szCs w:val="20"/>
          <w:color w:val="auto"/>
        </w:rPr>
      </w:pPr>
    </w:p>
    <w:p>
      <w:pPr>
        <w:ind w:right="80"/>
        <w:spacing w:after="0" w:line="248" w:lineRule="auto"/>
        <w:rPr>
          <w:sz w:val="20"/>
          <w:szCs w:val="20"/>
          <w:color w:val="auto"/>
        </w:rPr>
      </w:pPr>
      <w:r>
        <w:rPr>
          <w:rFonts w:ascii="Arial" w:cs="Arial" w:eastAsia="Arial" w:hAnsi="Arial"/>
          <w:sz w:val="12"/>
          <w:szCs w:val="12"/>
          <w:color w:val="auto"/>
        </w:rPr>
        <w:t>This release refers to certain non-GAAP financial measures described as “Adjusted EBITDA” defined as earnings before income from discontinued operations, net of taxes, interest, taxes, depreciation and amortization and excluding items impacting comparability, "Adjusted EBITDA margin", “Adjusted income from continuing operations,” and “Adjusted income from continuing operations per diluted share”. These adjustments have been made with the intent of providing financial measures that give management and investors a more representative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t>Second Quarter Performance</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For the second quarter of fiscal 2017, revenues of approximately $1.3 billion increased 4.2% and organic revenue increased 3.6%, compared to the second quarter of fiscal 2016. This performance was driven primarily by growth stemming from the Company's Aviation segment due to new business wins and expansions with existing clients. Organic growth within the Technical Solutions and Government Services segments also contributed to the Company's total revenue growth. In addition, acquisitions provided $8.7 million of incremental revenues during the quarter primarily related to the Aviation and Technical Solutions segments.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a GAAP basis, income from continuing operations was $31.6 million, or $0.56 per diluted share, compared to income from continuing operations of $6.8 million, or $0.12 per diluted share last year. The increase in income from continuing operations versus last year reflects items impacting comparability primarily due to an impairment recovery related to the Company's Government Services business. In addition, two less working days, which primarily impacted the Business &amp; Industry segment, and higher revenue contribution benefited the current quarter.</w:t>
      </w:r>
    </w:p>
    <w:p>
      <w:pPr>
        <w:spacing w:after="0" w:line="141" w:lineRule="exact"/>
        <w:rPr>
          <w:sz w:val="20"/>
          <w:szCs w:val="20"/>
          <w:color w:val="auto"/>
        </w:rPr>
      </w:pPr>
    </w:p>
    <w:p>
      <w:pPr>
        <w:jc w:val="both"/>
        <w:ind w:right="20"/>
        <w:spacing w:after="0" w:line="247" w:lineRule="auto"/>
        <w:rPr>
          <w:sz w:val="20"/>
          <w:szCs w:val="20"/>
          <w:color w:val="auto"/>
        </w:rPr>
      </w:pPr>
      <w:r>
        <w:rPr>
          <w:rFonts w:ascii="Arial" w:cs="Arial" w:eastAsia="Arial" w:hAnsi="Arial"/>
          <w:sz w:val="17"/>
          <w:szCs w:val="17"/>
          <w:color w:val="auto"/>
        </w:rPr>
        <w:t>Adjusted income from continuing operations for the second quarter of 2017 was $ 27.8 million, or $ 0.49 per diluted share, compared to $17.7 million, or $0.31 per diluted share for the second quarter of fiscal 2016. A full description of items impacting comparability, which are excluded in the Company's adjusted income from continuing operations, can be found in the "Reconciliations of Non-GAAP Financial Measures" table.</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income for the second quarter of 2017 was $31.3 million, or $0.55 per diluted share, compared to net income of $4.4 million, or $0.08 per diluted share last year.</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Adjusted EBITDA for the quarter was $60.5 million compared to $46.0 million in the second quarter of fiscal 2016. The increase versus last year is primarily attributable to two less working days during the quarter, higher revenue contribution and savings related to the Company's 2020 Vision initiatives. Adjusted EBITDA margin for the quarter was 4.6% versus 3.7% last year.</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7"/>
          <w:szCs w:val="17"/>
          <w:color w:val="auto"/>
        </w:rPr>
        <w:t>Scott Salmirs, President and Chief Executive Officer of ABM Industries, commented, "We are pleased to have carried the momentum from the beginning of the year into the second quarter, while continuing to execute our 2020 Vision. As we progress through the fiscal year, I am encouraged by the opportunities that lay ahead. The optimization of our organizational structure, coupled with the tools and standard operating practices we are currently implementing, further strengthens our foundation. Today's ABM is better positioned for profitable growth over the near and long term."</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Results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For the second quarter of fiscal 2017, revenues increased by $53.4 million, or 4.2%, compared to the second quarter of fiscal 2016. The increase in revenues was attributable to organic growth in the Aviation segment's domestic operations as a result of higher passenger services, cabin cleaning, and parking and transportation services with new and existing customers. The Company also experienced organic growth in Technical Solutions as a result of higher project revenues, and organic growth within the Government Services segment. In addition, acquisitions provided $8.7 million of incremental revenues during the quarter primarily reflected in the Aviation and Technical Solutions segments.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Operating profit for the quarter was $51.0 million compared to $ 11.8 million in the second quarter of fiscal 2016. The increase versus last year is primarily attributable to two less working days during the quarter, higher revenue contribution, procurement and organizational savings related to the Company's 2020 Vision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initiatives which were initiated in fiscal 2016, and the aforementioned lower, year-over-year items impacting comparability.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&amp; Capital Structure</w:t>
      </w:r>
    </w:p>
    <w:p>
      <w:pPr>
        <w:spacing w:after="0" w:line="17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Company ended the quarter with total debt, including standby letters of credit, of $406.8 million. Total debt to proforma adjusted EBITDA was approximately 2.0x.</w:t>
      </w:r>
    </w:p>
    <w:p>
      <w:pPr>
        <w:spacing w:after="0" w:line="119"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Company did not repurchase any shares during the quarter. Accordingly, as of April 30, 2017, the Company had $134.1 million of remaining buyback availability under the $200.0 million share repurchase program.</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Company paid a quarterly cash dividend of $0.170 per common share for a total distribution of $9.5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Government Services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May 31, 2017, the Company completed its sale of the Government Services business to an affiliate of Valiant Integrated Services for pre-tax proceeds of $35.5 million, subject to certain post-closing adjustments. As a result of the sale process, the Company recorded an impairment recovery of $17.4 million during the second quarter of fiscal 2017. Due to the timing associated with the closing date of the transaction, in addition to the retention of certain assets and liabilities, the Government Services business will continue to be reflected in the Company's operating results following the second quarter of fiscal 2017.</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Declaration of Quarterly Cash Dividend</w:t>
      </w:r>
    </w:p>
    <w:p>
      <w:pPr>
        <w:spacing w:after="0" w:line="17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Company also announced that the Board of Directors has declared a cash dividend of $0.170 per common share for the third quarter of fiscal 2017 payable on August 7, 2017 to shareholders of record on July 6, 2017. This will be the Company's 205th consecutive quarterly cash dividend.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Guidance</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Due to the impairment recovery related to the Company's Government Services sale, which is included in items impacting comparability, the Company now expects GAAP income from continuing operations of $1.63 to $1.73 per diluted share. Additionally, this increased guidance is due to lower than expected overhead expenses, and the recognition of certain discrete tax items. Excluding items impacting comparability, adjusted income from continuing operations is expected to be in the range of $ 1.85 to $1.95 per diluted share for the 2017 fiscal year. With the exception of the 2017 Work Opportunity Tax Credits, ASU 2016-09, and IRC Section 179D, the guidance does not include any additional, potential benefits associated with certain other discrete tax items and other unrecognized tax benefits.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ABM will host its quarterly conference call for all interested parties on Thursday, June 8, 2017 at 8:30 AM (ET). The live conference call can be accessed via audio webcast under the "Events &amp; Presentations" section of the Company's Investor Relations website, located at investor.abm.com, or by dialing (877) 664-7395 approximately 15 minutes prior to the scheduled time.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presentation will accompany the webcast on the Company's website.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3" w:right="219" w:bottom="1440" w:gutter="0" w:footer="0" w:header="0"/>
        </w:sectPr>
      </w:pPr>
    </w:p>
    <w:bookmarkStart w:id="7" w:name="page8"/>
    <w:bookmarkEnd w:id="7"/>
    <w:p>
      <w:pPr>
        <w:jc w:val="both"/>
        <w:ind w:right="20"/>
        <w:spacing w:after="0" w:line="267" w:lineRule="auto"/>
        <w:rPr>
          <w:sz w:val="20"/>
          <w:szCs w:val="20"/>
          <w:color w:val="auto"/>
        </w:rPr>
      </w:pPr>
      <w:r>
        <w:rPr>
          <w:rFonts w:ascii="Arial" w:cs="Arial" w:eastAsia="Arial" w:hAnsi="Arial"/>
          <w:sz w:val="17"/>
          <w:szCs w:val="17"/>
          <w:color w:val="auto"/>
        </w:rPr>
        <w:t>A replay will be available approximately two hours after the recording through June 15, 2017 and can be accessed by dialing (855) 859-2056 and then entering ID #27345473. An archive will also be available on the ABM website for 90 days.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0046AC"/>
        </w:rPr>
        <w:t>ABOUT ABM</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ABM (</w:t>
      </w:r>
      <w:r>
        <w:rPr>
          <w:rFonts w:ascii="Arial" w:cs="Arial" w:eastAsia="Arial" w:hAnsi="Arial"/>
          <w:sz w:val="17"/>
          <w:szCs w:val="17"/>
          <w:u w:val="single" w:color="auto"/>
          <w:color w:val="0563C1"/>
        </w:rPr>
        <w:t>NYSE: ABM</w:t>
      </w:r>
      <w:r>
        <w:rPr>
          <w:rFonts w:ascii="Arial" w:cs="Arial" w:eastAsia="Arial" w:hAnsi="Arial"/>
          <w:sz w:val="17"/>
          <w:szCs w:val="17"/>
          <w:color w:val="auto"/>
        </w:rPr>
        <w:t xml:space="preserve">) is a leading provider of facility solutions with revenues of approximately $5.1 billion and over 100,000 employees in 300+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7"/>
          <w:szCs w:val="17"/>
          <w:u w:val="single" w:color="auto"/>
          <w:color w:val="0563C1"/>
        </w:rPr>
        <w:t>www.abm.com</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Cautionary Statement under the Private Securities Litigation Reform Act of 1995</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2"/>
          <w:szCs w:val="12"/>
          <w:i w:val="1"/>
          <w:iCs w:val="1"/>
          <w:color w:val="auto"/>
        </w:rPr>
        <w:t>This press release contains both historical and forward-looking statements. In this context,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(1)changes to our businesses, operating structure, financial reporting structure, or personnel relating to the implementation of our 2020 Vision strategic transformation initiative; (2) unfavorable developments in our class and representative actions and other lawsuits alleging various claims; (3) increases in estimates of ultimate insurance losses; (4) challenges implementing our risk management and safety programs; (5) uncertainty in future cash flows; (6) challenges preserving long-term client relationships, passing through costs to clients, responding to competitive pressures, and retaining qualified personnel;(7) challenges in identifying, acquiring, and integrating businesses; (8) unexpected tax liabilities or changes in tax laws; (9) changes in energy prices or energy regulations; (10) deterioration of general economic conditions and reductions in commercial office building occupancy; (11) impairment of goodwill and long-lived assets; (12) changes in immigration laws or enforcement actions or investigations under such laws; (13) significant delays or reductions in appropriations for our government contracts; (14) failure of our joint venture partners to perform their obligations; (15) losses or other incidents at facilities in which we operate; (16) difficulty responding to cyber-security incidents and business interruptions; (17) liabilities associated with participation in multiemployer pension plans; (18) actions of activist investors; (19) operations in areas of military conflict; and (20) weather conditions, catastrophic events, and terrorist attacks. The list of factors above is illustrative and by no means exhaustive. Additional information regarding these and other risks and uncertainties we face is contained in our Annual Report on Form 10-K for the year ended October 31, 2016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Non-GAAP Financial Information</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i w:val="1"/>
          <w:iCs w:val="1"/>
          <w:color w:val="auto"/>
        </w:rPr>
        <w:t>To supplement ABM’s consolidated financial information, the Company has presented income from continuing operations and income from continuing operations per diluted share as adjusted for items impacting comparability, for the second quarter of fiscal years 2017 and 2016.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income from discontinued operations, net of taxes, interest, taxes, depreciation and amortization and excluding items impacting comparability (adjusted EBITDA) for the second quarter of fiscal years 2017 and 2016.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3" w:right="21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rPr>
        <w:t>America. (See accompanying financial tables for supplemental financial data and corresponding reconciliations to certain GAAP financial measures.)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5"/>
              </w:rPr>
              <w:t>Contact:</w:t>
            </w:r>
          </w:p>
        </w:tc>
        <w:tc>
          <w:tcPr>
            <w:tcW w:w="3140" w:type="dxa"/>
            <w:vAlign w:val="bottom"/>
          </w:tcPr>
          <w:p>
            <w:pPr>
              <w:spacing w:after="0"/>
              <w:rPr>
                <w:sz w:val="16"/>
                <w:szCs w:val="16"/>
                <w:color w:val="auto"/>
              </w:rPr>
            </w:pPr>
          </w:p>
        </w:tc>
        <w:tc>
          <w:tcPr>
            <w:tcW w:w="1620" w:type="dxa"/>
            <w:vAlign w:val="bottom"/>
            <w:vMerge w:val="restart"/>
          </w:tcPr>
          <w:p>
            <w:pPr>
              <w:spacing w:after="0"/>
              <w:rPr>
                <w:sz w:val="20"/>
                <w:szCs w:val="20"/>
                <w:color w:val="auto"/>
              </w:rPr>
            </w:pPr>
            <w:r>
              <w:rPr>
                <w:rFonts w:ascii="Arial" w:cs="Arial" w:eastAsia="Arial" w:hAnsi="Arial"/>
                <w:sz w:val="17"/>
                <w:szCs w:val="17"/>
                <w:color w:val="auto"/>
              </w:rPr>
              <w:t>Susie A. Choi</w:t>
            </w:r>
          </w:p>
        </w:tc>
        <w:tc>
          <w:tcPr>
            <w:tcW w:w="0" w:type="dxa"/>
            <w:vAlign w:val="bottom"/>
          </w:tcPr>
          <w:p>
            <w:pPr>
              <w:spacing w:after="0"/>
              <w:rPr>
                <w:sz w:val="1"/>
                <w:szCs w:val="1"/>
                <w:color w:val="auto"/>
              </w:rPr>
            </w:pPr>
          </w:p>
        </w:tc>
      </w:tr>
      <w:tr>
        <w:trPr>
          <w:trHeight w:val="163"/>
        </w:trPr>
        <w:tc>
          <w:tcPr>
            <w:tcW w:w="3820" w:type="dxa"/>
            <w:vAlign w:val="bottom"/>
            <w:gridSpan w:val="2"/>
          </w:tcPr>
          <w:p>
            <w:pPr>
              <w:spacing w:after="0" w:line="163" w:lineRule="exact"/>
              <w:rPr>
                <w:sz w:val="20"/>
                <w:szCs w:val="20"/>
                <w:color w:val="auto"/>
              </w:rPr>
            </w:pPr>
            <w:r>
              <w:rPr>
                <w:rFonts w:ascii="Arial" w:cs="Arial" w:eastAsia="Arial" w:hAnsi="Arial"/>
                <w:sz w:val="17"/>
                <w:szCs w:val="17"/>
                <w:color w:val="auto"/>
              </w:rPr>
              <w:t>Investor &amp; Media Relations:</w:t>
            </w: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20" w:type="dxa"/>
            <w:vAlign w:val="bottom"/>
          </w:tcPr>
          <w:p>
            <w:pPr>
              <w:spacing w:after="0" w:line="185" w:lineRule="exact"/>
              <w:rPr>
                <w:sz w:val="20"/>
                <w:szCs w:val="20"/>
                <w:color w:val="auto"/>
              </w:rPr>
            </w:pPr>
            <w:r>
              <w:rPr>
                <w:rFonts w:ascii="Arial" w:cs="Arial" w:eastAsia="Arial" w:hAnsi="Arial"/>
                <w:sz w:val="17"/>
                <w:szCs w:val="17"/>
                <w:color w:val="auto"/>
              </w:rPr>
              <w:t>(212) 297-9721</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20" w:type="dxa"/>
            <w:vAlign w:val="bottom"/>
            <w:tcBorders>
              <w:bottom w:val="single" w:sz="8" w:color="0000FF"/>
            </w:tcBorders>
          </w:tcPr>
          <w:p>
            <w:pPr>
              <w:spacing w:after="0" w:line="187" w:lineRule="exact"/>
              <w:rPr>
                <w:sz w:val="20"/>
                <w:szCs w:val="20"/>
                <w:color w:val="auto"/>
              </w:rPr>
            </w:pPr>
            <w:r>
              <w:rPr>
                <w:rFonts w:ascii="Arial" w:cs="Arial" w:eastAsia="Arial" w:hAnsi="Arial"/>
                <w:sz w:val="17"/>
                <w:szCs w:val="17"/>
                <w:color w:val="0000FF"/>
                <w:w w:val="98"/>
              </w:rPr>
              <w:t>susie.choi@abm.com</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100"/>
          </w:cols>
          <w:pgMar w:left="240" w:top="785" w:right="5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Financial Schedules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STATEMENT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Increase /</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70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 except per share amounts)</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940" w:type="dxa"/>
            <w:vAlign w:val="bottom"/>
            <w:gridSpan w:val="2"/>
            <w:shd w:val="clear" w:color="auto" w:fill="CCEEFF"/>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1,310.5</w:t>
            </w:r>
          </w:p>
        </w:tc>
        <w:tc>
          <w:tcPr>
            <w:tcW w:w="108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1,257.1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5"/>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1,164.6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1,127.5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Restructuring and related expenses</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8.8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Amortization of intangible assets</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r>
              <w:rPr>
                <w:rFonts w:ascii="Times New Roman" w:cs="Times New Roman" w:eastAsia="Times New Roman" w:hAnsi="Times New Roman"/>
                <w:sz w:val="15"/>
                <w:szCs w:val="15"/>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Impairment recovery</w:t>
            </w:r>
          </w:p>
        </w:tc>
        <w:tc>
          <w:tcPr>
            <w:tcW w:w="9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profit</w:t>
            </w: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76"/>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94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28"/>
        </w:trPr>
        <w:tc>
          <w:tcPr>
            <w:tcW w:w="5700" w:type="dxa"/>
            <w:vAlign w:val="bottom"/>
            <w:gridSpan w:val="3"/>
          </w:tcPr>
          <w:p>
            <w:pPr>
              <w:ind w:left="40"/>
              <w:spacing w:after="0"/>
              <w:rPr>
                <w:sz w:val="20"/>
                <w:szCs w:val="20"/>
                <w:color w:val="auto"/>
              </w:rPr>
            </w:pPr>
            <w:r>
              <w:rPr>
                <w:rFonts w:ascii="Arial" w:cs="Arial" w:eastAsia="Arial" w:hAnsi="Arial"/>
                <w:sz w:val="12"/>
                <w:szCs w:val="12"/>
                <w:b w:val="1"/>
                <w:bCs w:val="1"/>
                <w:color w:val="auto"/>
              </w:rPr>
              <w:t>Net income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31.3</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9"/>
        </w:trPr>
        <w:tc>
          <w:tcPr>
            <w:tcW w:w="5700" w:type="dxa"/>
            <w:vAlign w:val="bottom"/>
            <w:tcBorders>
              <w:top w:val="single" w:sz="8" w:color="CCEEFF"/>
            </w:tcBorders>
            <w:gridSpan w:val="3"/>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Net income per common share — basic</w:t>
            </w:r>
          </w:p>
        </w:tc>
        <w:tc>
          <w:tcPr>
            <w:tcW w:w="9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Income from continuing operations</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0.56</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from discontinued operations</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Net income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0.56</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per common share — diluted</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Income from continuing operations</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0.56</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from discontinued operations</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Net income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0.55</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Weighted-average common and common equivalent shares outstanding</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Basic</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Dividends declared per common share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0.170</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0.165</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 (due to variance greater than or equal to +/-100%)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STATEMENT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Six Months Ended April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Increase /</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570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 except per share amounts)</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940" w:type="dxa"/>
            <w:vAlign w:val="bottom"/>
            <w:gridSpan w:val="2"/>
            <w:shd w:val="clear" w:color="auto" w:fill="CCEEFF"/>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2,637.2</w:t>
            </w:r>
          </w:p>
        </w:tc>
        <w:tc>
          <w:tcPr>
            <w:tcW w:w="108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2,525.5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5"/>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2,359.7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2,268.9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198.0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202.2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5"/>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Restructuring and related expenses</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16.0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Amortization of intangible assets</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5"/>
        </w:trPr>
        <w:tc>
          <w:tcPr>
            <w:tcW w:w="57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Impairment recovery</w:t>
            </w:r>
          </w:p>
        </w:tc>
        <w:tc>
          <w:tcPr>
            <w:tcW w:w="9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profit</w:t>
            </w: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3.3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76"/>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57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7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8"/>
        </w:trPr>
        <w:tc>
          <w:tcPr>
            <w:tcW w:w="57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Net (loss) income</w:t>
            </w:r>
          </w:p>
        </w:tc>
        <w:tc>
          <w:tcPr>
            <w:tcW w:w="9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9"/>
        </w:trPr>
        <w:tc>
          <w:tcPr>
            <w:tcW w:w="570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Net (loss) income per common share — basic</w:t>
            </w:r>
          </w:p>
        </w:tc>
        <w:tc>
          <w:tcPr>
            <w:tcW w:w="9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Income from continuing operations</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0.85</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from discontinued operations</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Net (loss) income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(0.46)</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9"/>
        </w:trPr>
        <w:tc>
          <w:tcPr>
            <w:tcW w:w="5700" w:type="dxa"/>
            <w:vAlign w:val="bottom"/>
            <w:tcBorders>
              <w:top w:val="single" w:sz="8" w:color="CCEEFF"/>
            </w:tcBorders>
            <w:gridSpan w:val="3"/>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Net (loss) income per common share — diluted</w:t>
            </w:r>
          </w:p>
        </w:tc>
        <w:tc>
          <w:tcPr>
            <w:tcW w:w="9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Income from continuing operations</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0.84</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Loss from discontinued operations</w:t>
            </w:r>
          </w:p>
        </w:tc>
        <w:tc>
          <w:tcPr>
            <w:tcW w:w="9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Net (loss) income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(0.45)</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9"/>
        </w:trPr>
        <w:tc>
          <w:tcPr>
            <w:tcW w:w="5700" w:type="dxa"/>
            <w:vAlign w:val="bottom"/>
            <w:tcBorders>
              <w:top w:val="single" w:sz="8" w:color="CCEEFF"/>
            </w:tcBorders>
            <w:gridSpan w:val="3"/>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Weighted-average common and common equivalent shares outstanding</w:t>
            </w:r>
          </w:p>
        </w:tc>
        <w:tc>
          <w:tcPr>
            <w:tcW w:w="94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5660" w:type="dxa"/>
            <w:vAlign w:val="bottom"/>
            <w:gridSpan w:val="2"/>
          </w:tcPr>
          <w:p>
            <w:pPr>
              <w:ind w:left="280"/>
              <w:spacing w:after="0"/>
              <w:rPr>
                <w:sz w:val="20"/>
                <w:szCs w:val="20"/>
                <w:color w:val="auto"/>
              </w:rPr>
            </w:pPr>
            <w:r>
              <w:rPr>
                <w:rFonts w:ascii="Arial" w:cs="Arial" w:eastAsia="Arial" w:hAnsi="Arial"/>
                <w:sz w:val="14"/>
                <w:szCs w:val="14"/>
                <w:color w:val="auto"/>
              </w:rPr>
              <w:t>Basic</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5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700" w:type="dxa"/>
            <w:vAlign w:val="bottom"/>
            <w:gridSpan w:val="3"/>
          </w:tcPr>
          <w:p>
            <w:pPr>
              <w:ind w:left="40"/>
              <w:spacing w:after="0"/>
              <w:rPr>
                <w:sz w:val="20"/>
                <w:szCs w:val="20"/>
                <w:color w:val="auto"/>
              </w:rPr>
            </w:pPr>
            <w:r>
              <w:rPr>
                <w:rFonts w:ascii="Arial" w:cs="Arial" w:eastAsia="Arial" w:hAnsi="Arial"/>
                <w:sz w:val="14"/>
                <w:szCs w:val="14"/>
                <w:b w:val="1"/>
                <w:bCs w:val="1"/>
                <w:color w:val="auto"/>
              </w:rPr>
              <w:t>Dividends declared per common share</w:t>
            </w:r>
          </w:p>
        </w:tc>
        <w:tc>
          <w:tcPr>
            <w:tcW w:w="19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0.340</w:t>
            </w:r>
          </w:p>
        </w:tc>
        <w:tc>
          <w:tcPr>
            <w:tcW w:w="1080" w:type="dxa"/>
            <w:vAlign w:val="bottom"/>
            <w:gridSpan w:val="2"/>
          </w:tcPr>
          <w:p>
            <w:pPr>
              <w:jc w:val="right"/>
              <w:ind w:right="9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0.330</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 (due to variance greater than or equal to +/-100%)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CONSOLIDATED CASH FLOW INFORMATION (UNAUDITED)</w:t>
      </w:r>
    </w:p>
    <w:p>
      <w:pPr>
        <w:spacing w:after="0" w:line="207"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10795</wp:posOffset>
            </wp:positionV>
            <wp:extent cx="21024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2485" cy="7620"/>
                    </a:xfrm>
                    <a:prstGeom prst="rect">
                      <a:avLst/>
                    </a:prstGeom>
                    <a:noFill/>
                  </pic:spPr>
                </pic:pic>
              </a:graphicData>
            </a:graphic>
          </wp:anchor>
        </w:drawing>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80" w:type="dxa"/>
            <w:vAlign w:val="bottom"/>
          </w:tcPr>
          <w:p>
            <w:pPr>
              <w:spacing w:after="0"/>
              <w:rPr>
                <w:sz w:val="14"/>
                <w:szCs w:val="14"/>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
        </w:trPr>
        <w:tc>
          <w:tcPr>
            <w:tcW w:w="640" w:type="dxa"/>
            <w:vAlign w:val="bottom"/>
            <w:tcBorders>
              <w:left w:val="single" w:sz="8" w:color="CCEEFF"/>
            </w:tcBorders>
            <w:shd w:val="clear" w:color="auto" w:fill="000000"/>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(used in) provided by operating activities of discontinued operations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8"/>
        </w:trPr>
        <w:tc>
          <w:tcPr>
            <w:tcW w:w="812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59.3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120" w:type="dxa"/>
            <w:vAlign w:val="bottom"/>
            <w:tcBorders>
              <w:bottom w:val="single" w:sz="8" w:color="CCEEFF"/>
            </w:tcBorders>
            <w:gridSpan w:val="2"/>
            <w:vMerge w:val="continue"/>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 of continuing operations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Net cash used in investing activities of discontinued operations</w:t>
            </w:r>
          </w:p>
        </w:tc>
        <w:tc>
          <w:tcPr>
            <w:tcW w:w="3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8"/>
        </w:trPr>
        <w:tc>
          <w:tcPr>
            <w:tcW w:w="8120" w:type="dxa"/>
            <w:vAlign w:val="bottom"/>
            <w:tcBorders>
              <w:top w:val="single" w:sz="8" w:color="CCEEFF"/>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Proceeds from issuance of share-based compensation awards, net</w:t>
            </w:r>
          </w:p>
        </w:tc>
        <w:tc>
          <w:tcPr>
            <w:tcW w:w="380" w:type="dxa"/>
            <w:vAlign w:val="bottom"/>
          </w:tcPr>
          <w:p>
            <w:pPr>
              <w:jc w:val="right"/>
              <w:ind w:right="231"/>
              <w:spacing w:after="0" w:line="159"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ind w:right="51"/>
              <w:spacing w:after="0" w:line="159"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3"/>
                <w:szCs w:val="13"/>
                <w:color w:val="auto"/>
              </w:rPr>
            </w:pPr>
          </w:p>
        </w:tc>
        <w:tc>
          <w:tcPr>
            <w:tcW w:w="360" w:type="dxa"/>
            <w:vAlign w:val="bottom"/>
          </w:tcPr>
          <w:p>
            <w:pPr>
              <w:jc w:val="right"/>
              <w:ind w:right="211"/>
              <w:spacing w:after="0" w:line="159"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ind w:right="31"/>
              <w:spacing w:after="0" w:line="15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Borrowings from line of credit</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234.5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Payment of contingent consideration</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Changes in book cash overdrafts</w:t>
            </w:r>
          </w:p>
        </w:tc>
        <w:tc>
          <w:tcPr>
            <w:tcW w:w="38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8"/>
        </w:trPr>
        <w:tc>
          <w:tcPr>
            <w:tcW w:w="8120" w:type="dxa"/>
            <w:vAlign w:val="bottom"/>
            <w:tcBorders>
              <w:top w:val="single" w:sz="8" w:color="CCEEFF"/>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38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10795</wp:posOffset>
            </wp:positionV>
            <wp:extent cx="21024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2485" cy="7620"/>
                    </a:xfrm>
                    <a:prstGeom prst="rect">
                      <a:avLst/>
                    </a:prstGeom>
                    <a:noFill/>
                  </pic:spPr>
                </pic:pic>
              </a:graphicData>
            </a:graphic>
          </wp:anchor>
        </w:drawing>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380" w:type="dxa"/>
            <w:vAlign w:val="bottom"/>
          </w:tcPr>
          <w:p>
            <w:pPr>
              <w:spacing w:after="0"/>
              <w:rPr>
                <w:sz w:val="14"/>
                <w:szCs w:val="14"/>
                <w:color w:val="auto"/>
              </w:rPr>
            </w:pPr>
          </w:p>
        </w:tc>
        <w:tc>
          <w:tcPr>
            <w:tcW w:w="1240" w:type="dxa"/>
            <w:vAlign w:val="bottom"/>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
        </w:trPr>
        <w:tc>
          <w:tcPr>
            <w:tcW w:w="640" w:type="dxa"/>
            <w:vAlign w:val="bottom"/>
            <w:tcBorders>
              <w:left w:val="single" w:sz="8" w:color="CCEEFF"/>
            </w:tcBorders>
            <w:shd w:val="clear" w:color="auto" w:fill="000000"/>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used in operating activities of discontinued operations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88"/>
        </w:trPr>
        <w:tc>
          <w:tcPr>
            <w:tcW w:w="812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120" w:type="dxa"/>
            <w:vAlign w:val="bottom"/>
            <w:gridSpan w:val="2"/>
            <w:vMerge w:val="continue"/>
          </w:tcPr>
          <w:p>
            <w:pPr>
              <w:spacing w:after="0"/>
              <w:rPr>
                <w:sz w:val="11"/>
                <w:szCs w:val="11"/>
                <w:color w:val="auto"/>
              </w:rPr>
            </w:pPr>
          </w:p>
        </w:tc>
        <w:tc>
          <w:tcPr>
            <w:tcW w:w="380" w:type="dxa"/>
            <w:vAlign w:val="bottom"/>
          </w:tcPr>
          <w:p>
            <w:pPr>
              <w:jc w:val="right"/>
              <w:ind w:right="231"/>
              <w:spacing w:after="0" w:line="136" w:lineRule="exact"/>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line="136" w:lineRule="exact"/>
              <w:rPr>
                <w:sz w:val="20"/>
                <w:szCs w:val="20"/>
                <w:color w:val="auto"/>
              </w:rPr>
            </w:pPr>
            <w:r>
              <w:rPr>
                <w:rFonts w:ascii="Arial" w:cs="Arial" w:eastAsia="Arial" w:hAnsi="Arial"/>
                <w:sz w:val="14"/>
                <w:szCs w:val="14"/>
                <w:color w:val="auto"/>
              </w:rPr>
              <w:t>(18.6)</w:t>
            </w:r>
          </w:p>
        </w:tc>
        <w:tc>
          <w:tcPr>
            <w:tcW w:w="120" w:type="dxa"/>
            <w:vAlign w:val="bottom"/>
          </w:tcPr>
          <w:p>
            <w:pPr>
              <w:spacing w:after="0"/>
              <w:rPr>
                <w:sz w:val="11"/>
                <w:szCs w:val="11"/>
                <w:color w:val="auto"/>
              </w:rPr>
            </w:pPr>
          </w:p>
        </w:tc>
        <w:tc>
          <w:tcPr>
            <w:tcW w:w="360" w:type="dxa"/>
            <w:vAlign w:val="bottom"/>
          </w:tcPr>
          <w:p>
            <w:pPr>
              <w:jc w:val="right"/>
              <w:ind w:right="211"/>
              <w:spacing w:after="0" w:line="136"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36" w:lineRule="exact"/>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6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Net cash used in investing activities of continuing operations</w:t>
            </w:r>
          </w:p>
        </w:tc>
        <w:tc>
          <w:tcPr>
            <w:tcW w:w="3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 of discontinued operations</w:t>
            </w: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59"/>
        </w:trPr>
        <w:tc>
          <w:tcPr>
            <w:tcW w:w="8120" w:type="dxa"/>
            <w:vAlign w:val="bottom"/>
            <w:tcBorders>
              <w:left w:val="single" w:sz="8" w:color="CCEEFF"/>
            </w:tcBorders>
            <w:gridSpan w:val="2"/>
            <w:shd w:val="clear" w:color="auto" w:fill="CCEEFF"/>
          </w:tcPr>
          <w:p>
            <w:pPr>
              <w:ind w:left="40"/>
              <w:spacing w:after="0" w:line="147" w:lineRule="exact"/>
              <w:rPr>
                <w:sz w:val="20"/>
                <w:szCs w:val="20"/>
                <w:color w:val="auto"/>
              </w:rPr>
            </w:pPr>
            <w:r>
              <w:rPr>
                <w:rFonts w:ascii="Arial" w:cs="Arial" w:eastAsia="Arial" w:hAnsi="Arial"/>
                <w:sz w:val="14"/>
                <w:szCs w:val="14"/>
                <w:color w:val="auto"/>
              </w:rPr>
              <w:t>Proceeds from issuance of share-based compensation awards, net of taxes withheld</w:t>
            </w:r>
          </w:p>
        </w:tc>
        <w:tc>
          <w:tcPr>
            <w:tcW w:w="380" w:type="dxa"/>
            <w:vAlign w:val="bottom"/>
            <w:shd w:val="clear" w:color="auto" w:fill="CCEEFF"/>
          </w:tcPr>
          <w:p>
            <w:pPr>
              <w:jc w:val="right"/>
              <w:ind w:right="231"/>
              <w:spacing w:after="0" w:line="159" w:lineRule="exact"/>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51"/>
              <w:spacing w:after="0" w:line="159"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1"/>
              <w:spacing w:after="0" w:line="15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31"/>
              <w:spacing w:after="0" w:line="15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Incremental tax benefit from share-based compensation awards</w:t>
            </w:r>
          </w:p>
        </w:tc>
        <w:tc>
          <w:tcPr>
            <w:tcW w:w="3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Repurchases of common stock</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Deferred financing costs paid</w:t>
            </w:r>
          </w:p>
        </w:tc>
        <w:tc>
          <w:tcPr>
            <w:tcW w:w="3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Borrowings from line of credit</w:t>
            </w:r>
          </w:p>
        </w:tc>
        <w:tc>
          <w:tcPr>
            <w:tcW w:w="38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441.9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536.6</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Repayment of borrowings from line of credit</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Payment of contingent consideration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Changes in book cash overdrafts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5"/>
        </w:trPr>
        <w:tc>
          <w:tcPr>
            <w:tcW w:w="8120" w:type="dxa"/>
            <w:vAlign w:val="bottom"/>
            <w:gridSpan w:val="2"/>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80" w:type="dxa"/>
            <w:vAlign w:val="bottom"/>
          </w:tcPr>
          <w:p>
            <w:pPr>
              <w:spacing w:after="0"/>
              <w:rPr>
                <w:sz w:val="16"/>
                <w:szCs w:val="16"/>
                <w:color w:val="auto"/>
              </w:rPr>
            </w:pPr>
          </w:p>
        </w:tc>
        <w:tc>
          <w:tcPr>
            <w:tcW w:w="1240" w:type="dxa"/>
            <w:vAlign w:val="bottom"/>
          </w:tcPr>
          <w:p>
            <w:pPr>
              <w:jc w:val="right"/>
              <w:ind w:right="51"/>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5"/>
        </w:trPr>
        <w:tc>
          <w:tcPr>
            <w:tcW w:w="8120" w:type="dxa"/>
            <w:vAlign w:val="bottom"/>
            <w:tcBorders>
              <w:left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59"/>
        </w:trPr>
        <w:tc>
          <w:tcPr>
            <w:tcW w:w="8120" w:type="dxa"/>
            <w:vAlign w:val="bottom"/>
            <w:tcBorders>
              <w:left w:val="single" w:sz="8" w:color="CCEEFF"/>
            </w:tcBorders>
            <w:gridSpan w:val="2"/>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Effect of exchange rate changes on cash and cash equivalents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51"/>
              <w:spacing w:after="0" w:line="159" w:lineRule="exact"/>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1"/>
                <w:szCs w:val="11"/>
                <w:i w:val="1"/>
                <w:iCs w:val="1"/>
                <w:color w:val="auto"/>
              </w:rPr>
              <w:t>(in millions)</w:t>
            </w:r>
          </w:p>
        </w:tc>
        <w:tc>
          <w:tcPr>
            <w:tcW w:w="2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2017</w:t>
            </w:r>
          </w:p>
        </w:tc>
        <w:tc>
          <w:tcPr>
            <w:tcW w:w="16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October 31, 2016</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Trade accounts receivable, net of allowances</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851.8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803.7</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8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1,061.3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176"/>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investments</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Property, plant and equipment, net of accumulated depreciation</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intangible assets, net of accumulated amortization</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924.8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912.8</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 asset, net</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85"/>
        </w:trPr>
        <w:tc>
          <w:tcPr>
            <w:tcW w:w="81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114.3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2,394.2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2,278.8</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Trade accounts payable</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191.1</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Accrued taxes—other than income</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Insurance claims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Legal settlements from discontinued operations</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121.8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Liabilities held for sale</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8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740.1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176"/>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Noncurrent income taxes payable</w:t>
            </w: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Line of credit</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277.9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Deferred income tax liability, net</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5"/>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Noncurrent insurance claims</w:t>
            </w:r>
          </w:p>
        </w:tc>
        <w:tc>
          <w:tcPr>
            <w:tcW w:w="220" w:type="dxa"/>
            <w:vAlign w:val="bottom"/>
          </w:tcPr>
          <w:p>
            <w:pPr>
              <w:spacing w:after="0"/>
              <w:rPr>
                <w:sz w:val="16"/>
                <w:szCs w:val="16"/>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346.4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331.6</w:t>
            </w:r>
          </w:p>
        </w:tc>
        <w:tc>
          <w:tcPr>
            <w:tcW w:w="0" w:type="dxa"/>
            <w:vAlign w:val="bottom"/>
          </w:tcPr>
          <w:p>
            <w:pPr>
              <w:spacing w:after="0"/>
              <w:rPr>
                <w:sz w:val="1"/>
                <w:szCs w:val="1"/>
                <w:color w:val="auto"/>
              </w:rPr>
            </w:pPr>
          </w:p>
        </w:tc>
      </w:tr>
      <w:tr>
        <w:trPr>
          <w:trHeight w:val="185"/>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080" w:type="dxa"/>
            <w:vAlign w:val="bottom"/>
            <w:gridSpan w:val="2"/>
          </w:tcPr>
          <w:p>
            <w:pPr>
              <w:ind w:left="1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15"/>
                <w:szCs w:val="15"/>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1,456.6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1"/>
              <w:spacing w:after="0"/>
              <w:rPr>
                <w:sz w:val="20"/>
                <w:szCs w:val="20"/>
                <w:color w:val="auto"/>
              </w:rPr>
            </w:pPr>
            <w:r>
              <w:rPr>
                <w:rFonts w:ascii="Arial" w:cs="Arial" w:eastAsia="Arial" w:hAnsi="Arial"/>
                <w:sz w:val="14"/>
                <w:szCs w:val="14"/>
                <w:color w:val="auto"/>
              </w:rPr>
              <w:t>1,304.8</w:t>
            </w:r>
          </w:p>
        </w:tc>
        <w:tc>
          <w:tcPr>
            <w:tcW w:w="0" w:type="dxa"/>
            <w:vAlign w:val="bottom"/>
          </w:tcPr>
          <w:p>
            <w:pPr>
              <w:spacing w:after="0"/>
              <w:rPr>
                <w:sz w:val="1"/>
                <w:szCs w:val="1"/>
                <w:color w:val="auto"/>
              </w:rPr>
            </w:pPr>
          </w:p>
        </w:tc>
      </w:tr>
      <w:tr>
        <w:trPr>
          <w:trHeight w:val="185"/>
        </w:trPr>
        <w:tc>
          <w:tcPr>
            <w:tcW w:w="40" w:type="dxa"/>
            <w:vAlign w:val="bottom"/>
            <w:shd w:val="clear" w:color="auto" w:fill="CCEEFF"/>
          </w:tcPr>
          <w:p>
            <w:pPr>
              <w:spacing w:after="0"/>
              <w:rPr>
                <w:sz w:val="16"/>
                <w:szCs w:val="16"/>
                <w:color w:val="auto"/>
              </w:rPr>
            </w:pPr>
          </w:p>
        </w:tc>
        <w:tc>
          <w:tcPr>
            <w:tcW w:w="8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937.6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974.0</w:t>
            </w:r>
          </w:p>
        </w:tc>
        <w:tc>
          <w:tcPr>
            <w:tcW w:w="0" w:type="dxa"/>
            <w:vAlign w:val="bottom"/>
          </w:tcPr>
          <w:p>
            <w:pPr>
              <w:spacing w:after="0"/>
              <w:rPr>
                <w:sz w:val="1"/>
                <w:szCs w:val="1"/>
                <w:color w:val="auto"/>
              </w:rPr>
            </w:pPr>
          </w:p>
        </w:tc>
      </w:tr>
      <w:tr>
        <w:trPr>
          <w:trHeight w:val="188"/>
        </w:trPr>
        <w:tc>
          <w:tcPr>
            <w:tcW w:w="8120" w:type="dxa"/>
            <w:vAlign w:val="bottom"/>
            <w:gridSpan w:val="3"/>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2,394.2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2,278.8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OPERATING PROFIT BY SEGMENT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351"/>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65"/>
        </w:trPr>
        <w:tc>
          <w:tcPr>
            <w:tcW w:w="652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Business &amp; Industry</w:t>
            </w:r>
          </w:p>
        </w:tc>
        <w:tc>
          <w:tcPr>
            <w:tcW w:w="112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732.6</w:t>
            </w:r>
          </w:p>
        </w:tc>
        <w:tc>
          <w:tcPr>
            <w:tcW w:w="100" w:type="dxa"/>
            <w:vAlign w:val="bottom"/>
          </w:tcPr>
          <w:p>
            <w:pPr>
              <w:spacing w:after="0"/>
              <w:rPr>
                <w:sz w:val="16"/>
                <w:szCs w:val="16"/>
                <w:color w:val="auto"/>
              </w:rPr>
            </w:pP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730.4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232.2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Emerging Industries Group</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195.0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Technical Solutions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Government Services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27.7</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8"/>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120" w:type="dxa"/>
            <w:vAlign w:val="bottom"/>
            <w:gridSpan w:val="2"/>
            <w:shd w:val="clear" w:color="auto" w:fill="CCEEFF"/>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1,310.5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1,257.1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b w:val="1"/>
                <w:bCs w:val="1"/>
                <w:color w:val="auto"/>
              </w:rPr>
              <w:t>Operating profit</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5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Business &amp; Industry</w:t>
            </w:r>
          </w:p>
        </w:tc>
        <w:tc>
          <w:tcPr>
            <w:tcW w:w="1120" w:type="dxa"/>
            <w:vAlign w:val="bottom"/>
            <w:gridSpan w:val="2"/>
            <w:shd w:val="clear" w:color="auto" w:fill="CCEEFF"/>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Aviation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5.5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Emerging Industries Group</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Technical Solutions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Government Services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Corporate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Adjustment for income from unconsolidated affiliates, net, included in Aviation and Government Services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Adjustment for tax deductions for energy efficient government buildings, included in Technical Solutions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6"/>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operating profit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0.9</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76"/>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652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8"/>
        </w:trPr>
        <w:tc>
          <w:tcPr>
            <w:tcW w:w="6520" w:type="dxa"/>
            <w:vAlign w:val="bottom"/>
            <w:gridSpan w:val="3"/>
          </w:tcPr>
          <w:p>
            <w:pPr>
              <w:ind w:left="40"/>
              <w:spacing w:after="0"/>
              <w:rPr>
                <w:sz w:val="20"/>
                <w:szCs w:val="20"/>
                <w:color w:val="auto"/>
              </w:rPr>
            </w:pPr>
            <w:r>
              <w:rPr>
                <w:rFonts w:ascii="Arial" w:cs="Arial" w:eastAsia="Arial" w:hAnsi="Arial"/>
                <w:sz w:val="12"/>
                <w:szCs w:val="12"/>
                <w:b w:val="1"/>
                <w:bCs w:val="1"/>
                <w:color w:val="auto"/>
              </w:rPr>
              <w:t>Net income</w:t>
            </w:r>
          </w:p>
        </w:tc>
        <w:tc>
          <w:tcPr>
            <w:tcW w:w="112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 (due to variance greater than or equal to +/-100%)</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OPERATING PROFIT BY SEGMENT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Six Months Ended April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351"/>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65"/>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Business &amp; Industry</w:t>
            </w:r>
          </w:p>
        </w:tc>
        <w:tc>
          <w:tcPr>
            <w:tcW w:w="11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1,487.6</w:t>
            </w:r>
          </w:p>
        </w:tc>
        <w:tc>
          <w:tcPr>
            <w:tcW w:w="100" w:type="dxa"/>
            <w:vAlign w:val="bottom"/>
          </w:tcPr>
          <w:p>
            <w:pPr>
              <w:spacing w:after="0"/>
              <w:rPr>
                <w:sz w:val="16"/>
                <w:szCs w:val="16"/>
                <w:color w:val="auto"/>
              </w:rPr>
            </w:pP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1,474.0</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406.8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5"/>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Emerging Industries Group</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392.6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394.1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Technical Solutions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Government Services</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74.3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56.2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8"/>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140" w:type="dxa"/>
            <w:vAlign w:val="bottom"/>
            <w:gridSpan w:val="2"/>
            <w:shd w:val="clear" w:color="auto" w:fill="CCEEFF"/>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2,637.2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2,525.5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4"/>
                <w:szCs w:val="14"/>
                <w:b w:val="1"/>
                <w:bCs w:val="1"/>
                <w:color w:val="auto"/>
              </w:rPr>
              <w:t>Operating profit</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5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Business &amp; Industry</w:t>
            </w:r>
          </w:p>
        </w:tc>
        <w:tc>
          <w:tcPr>
            <w:tcW w:w="1140" w:type="dxa"/>
            <w:vAlign w:val="bottom"/>
            <w:gridSpan w:val="2"/>
            <w:shd w:val="clear" w:color="auto" w:fill="CCEEFF"/>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61.0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5"/>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Aviation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9.4</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Emerging Industries Group</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27.8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5"/>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Technical Solutions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Government Services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Corporate</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(75.5)</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Adjustment for income from unconsolidated affiliates, net, included in Aviation and Government Services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5"/>
        </w:trPr>
        <w:tc>
          <w:tcPr>
            <w:tcW w:w="65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Adjustment for tax deductions for energy efficient government buildings, included in Technical Solutions</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76"/>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Total operating profit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74.8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3.3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(28.8</w:t>
            </w:r>
            <w:r>
              <w:rPr>
                <w:rFonts w:ascii="Times New Roman" w:cs="Times New Roman" w:eastAsia="Times New Roman" w:hAnsi="Times New Roman"/>
                <w:sz w:val="15"/>
                <w:szCs w:val="15"/>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76"/>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6"/>
        </w:trPr>
        <w:tc>
          <w:tcPr>
            <w:tcW w:w="650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65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loss from discontinued operations</w:t>
            </w:r>
          </w:p>
        </w:tc>
        <w:tc>
          <w:tcPr>
            <w:tcW w:w="1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8"/>
        </w:trPr>
        <w:tc>
          <w:tcPr>
            <w:tcW w:w="65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(loss) income</w:t>
            </w:r>
          </w:p>
        </w:tc>
        <w:tc>
          <w:tcPr>
            <w:tcW w:w="1140" w:type="dxa"/>
            <w:vAlign w:val="bottom"/>
            <w:gridSpan w:val="2"/>
          </w:tcPr>
          <w:p>
            <w:pPr>
              <w:jc w:val="right"/>
              <w:ind w:right="85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980" w:type="dxa"/>
            <w:vAlign w:val="bottom"/>
          </w:tcPr>
          <w:p>
            <w:pPr>
              <w:jc w:val="right"/>
              <w:ind w:right="83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 (due to variance greater than or equal to +/-100%)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6630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81" w:right="219" w:bottom="1440" w:gutter="0" w:footer="0" w:header="0"/>
        </w:sectPr>
      </w:pPr>
    </w:p>
    <w:bookmarkStart w:id="15" w:name="page16"/>
    <w:bookmarkEnd w:id="15"/>
    <w:p>
      <w:pPr>
        <w:ind w:left="8" w:right="5520"/>
        <w:spacing w:after="0" w:line="312" w:lineRule="auto"/>
        <w:rPr>
          <w:sz w:val="20"/>
          <w:szCs w:val="20"/>
          <w:color w:val="auto"/>
        </w:rPr>
      </w:pPr>
      <w:r>
        <w:rPr>
          <w:rFonts w:ascii="Arial" w:cs="Arial" w:eastAsia="Arial" w:hAnsi="Arial"/>
          <w:sz w:val="16"/>
          <w:szCs w:val="16"/>
          <w:b w:val="1"/>
          <w:bCs w:val="1"/>
          <w:color w:val="auto"/>
        </w:rPr>
        <w:t>ABM INDUSTRIES INCORPORATED AND SUBSIDIARIES RECONCILIATIONS OF NON-GAAP FINANCIAL MEASURES (UNAUDITED)</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2"/>
                <w:szCs w:val="12"/>
                <w:i w:val="1"/>
                <w:iCs w:val="1"/>
                <w:color w:val="auto"/>
              </w:rPr>
              <w:t>(in millions, except per share amounts)</w:t>
            </w:r>
          </w:p>
        </w:tc>
        <w:tc>
          <w:tcPr>
            <w:tcW w:w="280" w:type="dxa"/>
            <w:vAlign w:val="bottom"/>
          </w:tcPr>
          <w:p>
            <w:pPr>
              <w:spacing w:after="0"/>
              <w:rPr>
                <w:sz w:val="13"/>
                <w:szCs w:val="13"/>
                <w:color w:val="auto"/>
              </w:rPr>
            </w:pPr>
          </w:p>
        </w:tc>
        <w:tc>
          <w:tcPr>
            <w:tcW w:w="2600" w:type="dxa"/>
            <w:vAlign w:val="bottom"/>
            <w:gridSpan w:val="4"/>
          </w:tcPr>
          <w:p>
            <w:pPr>
              <w:jc w:val="right"/>
              <w:ind w:right="455"/>
              <w:spacing w:after="0"/>
              <w:rPr>
                <w:sz w:val="20"/>
                <w:szCs w:val="20"/>
                <w:color w:val="auto"/>
              </w:rPr>
            </w:pPr>
            <w:r>
              <w:rPr>
                <w:rFonts w:ascii="Arial" w:cs="Arial" w:eastAsia="Arial" w:hAnsi="Arial"/>
                <w:sz w:val="13"/>
                <w:szCs w:val="13"/>
                <w:b w:val="1"/>
                <w:bCs w:val="1"/>
                <w:color w:val="auto"/>
              </w:rPr>
              <w:t>Three Months Ended April 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515"/>
              <w:spacing w:after="0"/>
              <w:rPr>
                <w:sz w:val="20"/>
                <w:szCs w:val="20"/>
                <w:color w:val="auto"/>
              </w:rPr>
            </w:pPr>
            <w:r>
              <w:rPr>
                <w:rFonts w:ascii="Arial" w:cs="Arial" w:eastAsia="Arial" w:hAnsi="Arial"/>
                <w:sz w:val="13"/>
                <w:szCs w:val="13"/>
                <w:b w:val="1"/>
                <w:bCs w:val="1"/>
                <w:color w:val="auto"/>
              </w:rPr>
              <w:t>Six Months Ended April 30,</w:t>
            </w:r>
          </w:p>
        </w:tc>
        <w:tc>
          <w:tcPr>
            <w:tcW w:w="0" w:type="dxa"/>
            <w:vAlign w:val="bottom"/>
          </w:tcPr>
          <w:p>
            <w:pPr>
              <w:spacing w:after="0"/>
              <w:rPr>
                <w:sz w:val="1"/>
                <w:szCs w:val="1"/>
                <w:color w:val="auto"/>
              </w:rPr>
            </w:pPr>
          </w:p>
        </w:tc>
      </w:tr>
      <w:tr>
        <w:trPr>
          <w:trHeight w:val="185"/>
        </w:trPr>
        <w:tc>
          <w:tcPr>
            <w:tcW w:w="40" w:type="dxa"/>
            <w:vAlign w:val="bottom"/>
            <w:tcBorders>
              <w:bottom w:val="single" w:sz="8" w:color="CCEEFF"/>
            </w:tcBorders>
          </w:tcPr>
          <w:p>
            <w:pPr>
              <w:spacing w:after="0"/>
              <w:rPr>
                <w:sz w:val="16"/>
                <w:szCs w:val="16"/>
                <w:color w:val="auto"/>
              </w:rPr>
            </w:pPr>
          </w:p>
        </w:tc>
        <w:tc>
          <w:tcPr>
            <w:tcW w:w="1800" w:type="dxa"/>
            <w:vAlign w:val="bottom"/>
            <w:tcBorders>
              <w:top w:val="single" w:sz="8" w:color="auto"/>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98"/>
        </w:trPr>
        <w:tc>
          <w:tcPr>
            <w:tcW w:w="5620" w:type="dxa"/>
            <w:vAlign w:val="bottom"/>
            <w:gridSpan w:val="3"/>
            <w:shd w:val="clear" w:color="auto" w:fill="CCEEFF"/>
          </w:tcPr>
          <w:p>
            <w:pPr>
              <w:ind w:left="40"/>
              <w:spacing w:after="0" w:line="98" w:lineRule="exact"/>
              <w:rPr>
                <w:sz w:val="20"/>
                <w:szCs w:val="20"/>
                <w:color w:val="auto"/>
              </w:rPr>
            </w:pPr>
            <w:r>
              <w:rPr>
                <w:rFonts w:ascii="Arial" w:cs="Arial" w:eastAsia="Arial" w:hAnsi="Arial"/>
                <w:sz w:val="11"/>
                <w:szCs w:val="11"/>
                <w:b w:val="1"/>
                <w:bCs w:val="1"/>
                <w:color w:val="auto"/>
              </w:rPr>
              <w:t>Reconciliation of Income from Continuing Operations to Adjusted Income from</w:t>
            </w:r>
          </w:p>
        </w:tc>
        <w:tc>
          <w:tcPr>
            <w:tcW w:w="2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Continuing Operations</w:t>
            </w: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gridSpan w:val="3"/>
          </w:tcPr>
          <w:p>
            <w:pPr>
              <w:ind w:left="40"/>
              <w:spacing w:after="0"/>
              <w:rPr>
                <w:sz w:val="20"/>
                <w:szCs w:val="20"/>
                <w:color w:val="auto"/>
              </w:rPr>
            </w:pPr>
            <w:r>
              <w:rPr>
                <w:rFonts w:ascii="Arial" w:cs="Arial" w:eastAsia="Arial" w:hAnsi="Arial"/>
                <w:sz w:val="13"/>
                <w:szCs w:val="13"/>
                <w:color w:val="auto"/>
              </w:rPr>
              <w:t>Income from continuing operations</w:t>
            </w:r>
          </w:p>
        </w:tc>
        <w:tc>
          <w:tcPr>
            <w:tcW w:w="280" w:type="dxa"/>
            <w:vAlign w:val="bottom"/>
            <w:vMerge w:val="restart"/>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vMerge w:val="restart"/>
          </w:tcPr>
          <w:p>
            <w:pPr>
              <w:jc w:val="right"/>
              <w:ind w:right="55"/>
              <w:spacing w:after="0"/>
              <w:rPr>
                <w:sz w:val="20"/>
                <w:szCs w:val="20"/>
                <w:color w:val="auto"/>
              </w:rPr>
            </w:pPr>
            <w:r>
              <w:rPr>
                <w:rFonts w:ascii="Arial" w:cs="Arial" w:eastAsia="Arial" w:hAnsi="Arial"/>
                <w:sz w:val="13"/>
                <w:szCs w:val="13"/>
                <w:color w:val="auto"/>
              </w:rPr>
              <w:t>31.6</w:t>
            </w: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vMerge w:val="restart"/>
          </w:tcPr>
          <w:p>
            <w:pPr>
              <w:jc w:val="right"/>
              <w:ind w:right="55"/>
              <w:spacing w:after="0"/>
              <w:rPr>
                <w:sz w:val="20"/>
                <w:szCs w:val="20"/>
                <w:color w:val="auto"/>
              </w:rPr>
            </w:pPr>
            <w:r>
              <w:rPr>
                <w:rFonts w:ascii="Arial" w:cs="Arial" w:eastAsia="Arial" w:hAnsi="Arial"/>
                <w:sz w:val="13"/>
                <w:szCs w:val="13"/>
                <w:color w:val="auto"/>
              </w:rPr>
              <w:t>6.8</w:t>
            </w: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5"/>
              <w:spacing w:after="0"/>
              <w:rPr>
                <w:sz w:val="20"/>
                <w:szCs w:val="20"/>
                <w:color w:val="auto"/>
              </w:rPr>
            </w:pPr>
            <w:r>
              <w:rPr>
                <w:rFonts w:ascii="Arial" w:cs="Arial" w:eastAsia="Arial" w:hAnsi="Arial"/>
                <w:sz w:val="13"/>
                <w:szCs w:val="13"/>
                <w:color w:val="auto"/>
              </w:rPr>
              <w:t>47.7</w:t>
            </w:r>
          </w:p>
        </w:tc>
        <w:tc>
          <w:tcPr>
            <w:tcW w:w="4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35"/>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7266305" cy="1174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305" cy="117475"/>
                    </a:xfrm>
                    <a:prstGeom prst="rect">
                      <a:avLst/>
                    </a:prstGeom>
                    <a:noFill/>
                  </pic:spPr>
                </pic:pic>
              </a:graphicData>
            </a:graphic>
          </wp:anchor>
        </w:drawing>
      </w:r>
    </w:p>
    <w:p>
      <w:pPr>
        <w:ind w:left="48"/>
        <w:spacing w:after="0" w:line="183" w:lineRule="auto"/>
        <w:rPr>
          <w:sz w:val="20"/>
          <w:szCs w:val="20"/>
          <w:color w:val="auto"/>
        </w:rPr>
      </w:pPr>
      <w:r>
        <w:rPr>
          <w:rFonts w:ascii="Arial" w:cs="Arial" w:eastAsia="Arial" w:hAnsi="Arial"/>
          <w:sz w:val="13"/>
          <w:szCs w:val="13"/>
          <w:color w:val="auto"/>
        </w:rPr>
        <w:t>Items impacting comparability</w:t>
      </w:r>
      <w:r>
        <w:rPr>
          <w:rFonts w:ascii="Arial" w:cs="Arial" w:eastAsia="Arial" w:hAnsi="Arial"/>
          <w:sz w:val="21"/>
          <w:szCs w:val="21"/>
          <w:color w:val="auto"/>
          <w:vertAlign w:val="superscript"/>
        </w:rPr>
        <w:t>(a)</w:t>
      </w:r>
    </w:p>
    <w:p>
      <w:pPr>
        <w:sectPr>
          <w:pgSz w:w="11900" w:h="16838" w:orient="portrait"/>
          <w:cols w:equalWidth="0" w:num="1">
            <w:col w:w="11448"/>
          </w:cols>
          <w:pgMar w:left="232" w:top="781" w:right="219" w:bottom="1440" w:gutter="0" w:footer="0" w:header="0"/>
        </w:sectPr>
      </w:pPr>
    </w:p>
    <w:p>
      <w:pPr>
        <w:ind w:left="228"/>
        <w:spacing w:after="0" w:line="183" w:lineRule="auto"/>
        <w:rPr>
          <w:sz w:val="20"/>
          <w:szCs w:val="20"/>
          <w:color w:val="auto"/>
        </w:rPr>
      </w:pPr>
      <w:r>
        <w:rPr>
          <w:rFonts w:ascii="Arial" w:cs="Arial" w:eastAsia="Arial" w:hAnsi="Arial"/>
          <w:sz w:val="13"/>
          <w:szCs w:val="13"/>
          <w:color w:val="auto"/>
        </w:rPr>
        <w:t>Prior year self-insurance adjustment</w:t>
      </w:r>
      <w:r>
        <w:rPr>
          <w:rFonts w:ascii="Arial" w:cs="Arial" w:eastAsia="Arial" w:hAnsi="Arial"/>
          <w:sz w:val="21"/>
          <w:szCs w:val="21"/>
          <w:color w:val="auto"/>
          <w:vertAlign w:val="superscript"/>
        </w:rPr>
        <w:t>(b)</w:t>
      </w:r>
    </w:p>
    <w:p>
      <w:pPr>
        <w:ind w:left="228"/>
        <w:spacing w:after="0" w:line="184" w:lineRule="auto"/>
        <w:rPr>
          <w:sz w:val="20"/>
          <w:szCs w:val="20"/>
          <w:color w:val="auto"/>
        </w:rPr>
      </w:pPr>
      <w:r>
        <w:rPr>
          <w:rFonts w:ascii="Arial" w:cs="Arial" w:eastAsia="Arial" w:hAnsi="Arial"/>
          <w:sz w:val="13"/>
          <w:szCs w:val="13"/>
          <w:color w:val="auto"/>
        </w:rPr>
        <w:t>U.S. Foreign Corrupt Practices Act investigation</w:t>
      </w:r>
      <w:r>
        <w:rPr>
          <w:rFonts w:ascii="Arial" w:cs="Arial" w:eastAsia="Arial" w:hAnsi="Arial"/>
          <w:sz w:val="21"/>
          <w:szCs w:val="21"/>
          <w:color w:val="auto"/>
          <w:vertAlign w:val="superscript"/>
        </w:rPr>
        <w:t>(c)</w:t>
      </w:r>
    </w:p>
    <w:p>
      <w:pPr>
        <w:ind w:left="228"/>
        <w:spacing w:after="0" w:line="184" w:lineRule="auto"/>
        <w:rPr>
          <w:sz w:val="20"/>
          <w:szCs w:val="20"/>
          <w:color w:val="auto"/>
        </w:rPr>
      </w:pPr>
      <w:r>
        <w:rPr>
          <w:rFonts w:ascii="Arial" w:cs="Arial" w:eastAsia="Arial" w:hAnsi="Arial"/>
          <w:sz w:val="13"/>
          <w:szCs w:val="13"/>
          <w:color w:val="auto"/>
        </w:rPr>
        <w:t>Restructuring and related</w:t>
      </w:r>
      <w:r>
        <w:rPr>
          <w:rFonts w:ascii="Arial" w:cs="Arial" w:eastAsia="Arial" w:hAnsi="Arial"/>
          <w:sz w:val="20"/>
          <w:szCs w:val="20"/>
          <w:color w:val="auto"/>
          <w:vertAlign w:val="superscript"/>
        </w:rPr>
        <w:t>(d)</w:t>
      </w:r>
    </w:p>
    <w:p>
      <w:pPr>
        <w:ind w:left="228"/>
        <w:spacing w:after="0"/>
        <w:rPr>
          <w:sz w:val="20"/>
          <w:szCs w:val="20"/>
          <w:color w:val="auto"/>
        </w:rPr>
      </w:pPr>
      <w:r>
        <w:rPr>
          <w:rFonts w:ascii="Arial" w:cs="Arial" w:eastAsia="Arial" w:hAnsi="Arial"/>
          <w:sz w:val="13"/>
          <w:szCs w:val="13"/>
          <w:color w:val="auto"/>
        </w:rPr>
        <w:t>Acquisition costs</w:t>
      </w:r>
    </w:p>
    <w:p>
      <w:pPr>
        <w:ind w:left="228"/>
        <w:spacing w:after="0" w:line="218" w:lineRule="auto"/>
        <w:rPr>
          <w:sz w:val="20"/>
          <w:szCs w:val="20"/>
          <w:color w:val="auto"/>
        </w:rPr>
      </w:pPr>
      <w:r>
        <w:rPr>
          <w:rFonts w:ascii="Arial" w:cs="Arial" w:eastAsia="Arial" w:hAnsi="Arial"/>
          <w:sz w:val="13"/>
          <w:szCs w:val="13"/>
          <w:color w:val="auto"/>
        </w:rPr>
        <w:t>Litigation and other settlements</w:t>
      </w:r>
      <w:r>
        <w:rPr>
          <w:rFonts w:ascii="Arial" w:cs="Arial" w:eastAsia="Arial" w:hAnsi="Arial"/>
          <w:sz w:val="21"/>
          <w:szCs w:val="21"/>
          <w:color w:val="auto"/>
          <w:vertAlign w:val="superscript"/>
        </w:rPr>
        <w:t>(e)</w:t>
      </w:r>
    </w:p>
    <w:p>
      <w:pPr>
        <w:ind w:left="48" w:right="1460" w:firstLine="185"/>
        <w:spacing w:after="0" w:line="300" w:lineRule="auto"/>
        <w:rPr>
          <w:sz w:val="20"/>
          <w:szCs w:val="20"/>
          <w:color w:val="auto"/>
        </w:rPr>
      </w:pPr>
      <w:r>
        <w:rPr>
          <w:rFonts w:ascii="Arial" w:cs="Arial" w:eastAsia="Arial" w:hAnsi="Arial"/>
          <w:sz w:val="13"/>
          <w:szCs w:val="13"/>
          <w:color w:val="auto"/>
        </w:rPr>
        <w:t>Impairment recovery on Government Services business Total items impacting comparability</w:t>
      </w:r>
    </w:p>
    <w:p>
      <w:pPr>
        <w:ind w:left="48"/>
        <w:spacing w:after="0" w:line="190" w:lineRule="auto"/>
        <w:rPr>
          <w:sz w:val="20"/>
          <w:szCs w:val="20"/>
          <w:color w:val="auto"/>
        </w:rPr>
      </w:pPr>
      <w:r>
        <w:rPr>
          <w:rFonts w:ascii="Arial" w:cs="Arial" w:eastAsia="Arial" w:hAnsi="Arial"/>
          <w:sz w:val="13"/>
          <w:szCs w:val="13"/>
          <w:color w:val="auto"/>
        </w:rPr>
        <w:t>Income tax provision (benefit)</w:t>
      </w:r>
      <w:r>
        <w:rPr>
          <w:rFonts w:ascii="Arial" w:cs="Arial" w:eastAsia="Arial" w:hAnsi="Arial"/>
          <w:sz w:val="21"/>
          <w:szCs w:val="21"/>
          <w:color w:val="auto"/>
          <w:vertAlign w:val="superscript"/>
        </w:rPr>
        <w:t>(f)</w:t>
      </w:r>
    </w:p>
    <w:p>
      <w:pPr>
        <w:ind w:left="48"/>
        <w:spacing w:after="0"/>
        <w:rPr>
          <w:sz w:val="20"/>
          <w:szCs w:val="20"/>
          <w:color w:val="auto"/>
        </w:rPr>
      </w:pPr>
      <w:r>
        <w:rPr>
          <w:rFonts w:ascii="Arial" w:cs="Arial" w:eastAsia="Arial" w:hAnsi="Arial"/>
          <w:sz w:val="13"/>
          <w:szCs w:val="13"/>
          <w:color w:val="auto"/>
        </w:rPr>
        <w:t>Items impacting comparability, net of taxes</w:t>
      </w:r>
    </w:p>
    <w:p>
      <w:pPr>
        <w:spacing w:after="0" w:line="31" w:lineRule="exact"/>
        <w:rPr>
          <w:sz w:val="20"/>
          <w:szCs w:val="20"/>
          <w:color w:val="auto"/>
        </w:rPr>
      </w:pPr>
    </w:p>
    <w:p>
      <w:pPr>
        <w:ind w:left="48"/>
        <w:spacing w:after="0"/>
        <w:rPr>
          <w:sz w:val="20"/>
          <w:szCs w:val="20"/>
          <w:color w:val="auto"/>
        </w:rPr>
      </w:pPr>
      <w:r>
        <w:rPr>
          <w:rFonts w:ascii="Arial" w:cs="Arial" w:eastAsia="Arial" w:hAnsi="Arial"/>
          <w:sz w:val="13"/>
          <w:szCs w:val="13"/>
          <w:color w:val="auto"/>
        </w:rPr>
        <w:t>Adjusted income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
        <w:spacing w:after="0"/>
        <w:rPr>
          <w:sz w:val="20"/>
          <w:szCs w:val="20"/>
          <w:color w:val="auto"/>
        </w:rPr>
      </w:pPr>
      <w:r>
        <w:rPr>
          <w:rFonts w:ascii="Arial" w:cs="Arial" w:eastAsia="Arial" w:hAnsi="Arial"/>
          <w:sz w:val="13"/>
          <w:szCs w:val="13"/>
          <w:b w:val="1"/>
          <w:bCs w:val="1"/>
          <w:color w:val="auto"/>
        </w:rPr>
        <w:t>Reconciliation of Net Income (Loss) to Adjusted EBITDA</w:t>
      </w:r>
    </w:p>
    <w:p>
      <w:pPr>
        <w:spacing w:after="0" w:line="56" w:lineRule="exact"/>
        <w:rPr>
          <w:sz w:val="20"/>
          <w:szCs w:val="20"/>
          <w:color w:val="auto"/>
        </w:rPr>
      </w:pPr>
    </w:p>
    <w:p>
      <w:pPr>
        <w:ind w:left="48"/>
        <w:spacing w:after="0"/>
        <w:rPr>
          <w:sz w:val="20"/>
          <w:szCs w:val="20"/>
          <w:color w:val="auto"/>
        </w:rPr>
      </w:pPr>
      <w:r>
        <w:rPr>
          <w:rFonts w:ascii="Arial" w:cs="Arial" w:eastAsia="Arial" w:hAnsi="Arial"/>
          <w:sz w:val="12"/>
          <w:szCs w:val="12"/>
          <w:b w:val="1"/>
          <w:bCs w:val="1"/>
          <w:color w:val="auto"/>
        </w:rPr>
        <w:t>Net income (loss)</w:t>
      </w:r>
    </w:p>
    <w:p>
      <w:pPr>
        <w:spacing w:after="0" w:line="40" w:lineRule="exact"/>
        <w:rPr>
          <w:sz w:val="20"/>
          <w:szCs w:val="20"/>
          <w:color w:val="auto"/>
        </w:rPr>
      </w:pPr>
    </w:p>
    <w:p>
      <w:pPr>
        <w:ind w:left="148"/>
        <w:spacing w:after="0"/>
        <w:rPr>
          <w:sz w:val="20"/>
          <w:szCs w:val="20"/>
          <w:color w:val="auto"/>
        </w:rPr>
      </w:pPr>
      <w:r>
        <w:rPr>
          <w:rFonts w:ascii="Arial" w:cs="Arial" w:eastAsia="Arial" w:hAnsi="Arial"/>
          <w:sz w:val="13"/>
          <w:szCs w:val="13"/>
          <w:color w:val="auto"/>
        </w:rPr>
        <w:t>Items impacting comparability</w:t>
      </w:r>
    </w:p>
    <w:p>
      <w:pPr>
        <w:spacing w:after="0" w:line="81" w:lineRule="exact"/>
        <w:rPr>
          <w:sz w:val="20"/>
          <w:szCs w:val="20"/>
          <w:color w:val="auto"/>
        </w:rPr>
      </w:pPr>
    </w:p>
    <w:p>
      <w:pPr>
        <w:ind w:left="148"/>
        <w:spacing w:after="0"/>
        <w:rPr>
          <w:sz w:val="20"/>
          <w:szCs w:val="20"/>
          <w:color w:val="auto"/>
        </w:rPr>
      </w:pPr>
      <w:r>
        <w:rPr>
          <w:rFonts w:ascii="Arial" w:cs="Arial" w:eastAsia="Arial" w:hAnsi="Arial"/>
          <w:sz w:val="13"/>
          <w:szCs w:val="13"/>
          <w:color w:val="auto"/>
        </w:rPr>
        <w:t>Net loss from discontinued operations</w:t>
      </w:r>
    </w:p>
    <w:p>
      <w:pPr>
        <w:spacing w:after="0" w:line="35" w:lineRule="exact"/>
        <w:rPr>
          <w:sz w:val="20"/>
          <w:szCs w:val="20"/>
          <w:color w:val="auto"/>
        </w:rPr>
      </w:pPr>
    </w:p>
    <w:p>
      <w:pPr>
        <w:ind w:left="148"/>
        <w:spacing w:after="0"/>
        <w:rPr>
          <w:sz w:val="20"/>
          <w:szCs w:val="20"/>
          <w:color w:val="auto"/>
        </w:rPr>
      </w:pPr>
      <w:r>
        <w:rPr>
          <w:rFonts w:ascii="Arial" w:cs="Arial" w:eastAsia="Arial" w:hAnsi="Arial"/>
          <w:sz w:val="13"/>
          <w:szCs w:val="13"/>
          <w:color w:val="auto"/>
        </w:rPr>
        <w:t>Income tax provision</w:t>
      </w:r>
    </w:p>
    <w:p>
      <w:pPr>
        <w:ind w:left="148"/>
        <w:spacing w:after="0" w:line="208" w:lineRule="auto"/>
        <w:rPr>
          <w:sz w:val="20"/>
          <w:szCs w:val="20"/>
          <w:color w:val="auto"/>
        </w:rPr>
      </w:pPr>
      <w:r>
        <w:rPr>
          <w:rFonts w:ascii="Arial" w:cs="Arial" w:eastAsia="Arial" w:hAnsi="Arial"/>
          <w:sz w:val="12"/>
          <w:szCs w:val="12"/>
          <w:color w:val="auto"/>
        </w:rPr>
        <w:t>Interest income from energy efficient government buildings</w:t>
      </w:r>
      <w:r>
        <w:rPr>
          <w:rFonts w:ascii="Arial" w:cs="Arial" w:eastAsia="Arial" w:hAnsi="Arial"/>
          <w:sz w:val="19"/>
          <w:szCs w:val="19"/>
          <w:color w:val="auto"/>
          <w:vertAlign w:val="superscript"/>
        </w:rPr>
        <w:t>(g)</w:t>
      </w:r>
    </w:p>
    <w:p>
      <w:pPr>
        <w:ind w:left="148"/>
        <w:spacing w:after="0"/>
        <w:rPr>
          <w:sz w:val="20"/>
          <w:szCs w:val="20"/>
          <w:color w:val="auto"/>
        </w:rPr>
      </w:pPr>
      <w:r>
        <w:rPr>
          <w:rFonts w:ascii="Arial" w:cs="Arial" w:eastAsia="Arial" w:hAnsi="Arial"/>
          <w:sz w:val="13"/>
          <w:szCs w:val="13"/>
          <w:color w:val="auto"/>
        </w:rPr>
        <w:t>Interest expense</w:t>
      </w:r>
    </w:p>
    <w:p>
      <w:pPr>
        <w:spacing w:after="0" w:line="19" w:lineRule="exact"/>
        <w:rPr>
          <w:sz w:val="20"/>
          <w:szCs w:val="20"/>
          <w:color w:val="auto"/>
        </w:rPr>
      </w:pPr>
    </w:p>
    <w:p>
      <w:pPr>
        <w:ind w:left="148"/>
        <w:spacing w:after="0"/>
        <w:rPr>
          <w:sz w:val="20"/>
          <w:szCs w:val="20"/>
          <w:color w:val="auto"/>
        </w:rPr>
      </w:pPr>
      <w:r>
        <w:rPr>
          <w:rFonts w:ascii="Arial" w:cs="Arial" w:eastAsia="Arial" w:hAnsi="Arial"/>
          <w:sz w:val="13"/>
          <w:szCs w:val="13"/>
          <w:color w:val="auto"/>
        </w:rPr>
        <w:t>Depreciation and amortization</w:t>
      </w:r>
    </w:p>
    <w:p>
      <w:pPr>
        <w:spacing w:after="0" w:line="81" w:lineRule="exact"/>
        <w:rPr>
          <w:sz w:val="20"/>
          <w:szCs w:val="20"/>
          <w:color w:val="auto"/>
        </w:rPr>
      </w:pPr>
    </w:p>
    <w:p>
      <w:pPr>
        <w:ind w:left="48"/>
        <w:spacing w:after="0"/>
        <w:rPr>
          <w:sz w:val="20"/>
          <w:szCs w:val="20"/>
          <w:color w:val="auto"/>
        </w:rPr>
      </w:pPr>
      <w:r>
        <w:rPr>
          <w:rFonts w:ascii="Arial" w:cs="Arial" w:eastAsia="Arial" w:hAnsi="Arial"/>
          <w:sz w:val="13"/>
          <w:szCs w:val="13"/>
          <w:color w:val="auto"/>
        </w:rPr>
        <w:t>Adjusted EBITDA</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10.7</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0.1</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15.7</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1.0</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4.9</w:t>
            </w:r>
          </w:p>
        </w:tc>
      </w:tr>
      <w:tr>
        <w:trPr>
          <w:trHeight w:val="166"/>
        </w:trPr>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195"/>
        </w:trPr>
        <w:tc>
          <w:tcPr>
            <w:tcW w:w="90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32.3</w:t>
            </w:r>
          </w:p>
        </w:tc>
      </w:tr>
      <w:tr>
        <w:trPr>
          <w:trHeight w:val="166"/>
        </w:trPr>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r>
      <w:tr>
        <w:trPr>
          <w:trHeight w:val="176"/>
        </w:trPr>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18.9</w:t>
            </w:r>
          </w:p>
        </w:tc>
      </w:tr>
      <w:tr>
        <w:trPr>
          <w:trHeight w:val="188"/>
        </w:trPr>
        <w:tc>
          <w:tcPr>
            <w:tcW w:w="900" w:type="dxa"/>
            <w:vAlign w:val="bottom"/>
            <w:tcBorders>
              <w:bottom w:val="single" w:sz="8" w:color="auto"/>
            </w:tcBorders>
          </w:tcPr>
          <w:p>
            <w:pPr>
              <w:jc w:val="right"/>
              <w:ind w:right="784"/>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95"/>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755"/>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49.3</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755"/>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39.3</w:t>
            </w:r>
          </w:p>
        </w:tc>
      </w:tr>
      <w:tr>
        <w:trPr>
          <w:trHeight w:val="20"/>
        </w:trPr>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44"/>
        </w:trPr>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April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55"/>
              <w:spacing w:after="0"/>
              <w:rPr>
                <w:sz w:val="20"/>
                <w:szCs w:val="20"/>
                <w:color w:val="auto"/>
              </w:rPr>
            </w:pPr>
            <w:r>
              <w:rPr>
                <w:rFonts w:ascii="Arial" w:cs="Arial" w:eastAsia="Arial" w:hAnsi="Arial"/>
                <w:sz w:val="13"/>
                <w:szCs w:val="13"/>
                <w:b w:val="1"/>
                <w:bCs w:val="1"/>
                <w:color w:val="auto"/>
              </w:rPr>
              <w:t>Six Months Ended April 30,</w:t>
            </w:r>
          </w:p>
        </w:tc>
        <w:tc>
          <w:tcPr>
            <w:tcW w:w="460" w:type="dxa"/>
            <w:vAlign w:val="bottom"/>
            <w:tcBorders>
              <w:bottom w:val="single" w:sz="8" w:color="auto"/>
            </w:tcBorders>
          </w:tcPr>
          <w:p>
            <w:pPr>
              <w:spacing w:after="0"/>
              <w:rPr>
                <w:sz w:val="24"/>
                <w:szCs w:val="24"/>
                <w:color w:val="auto"/>
              </w:rPr>
            </w:pPr>
          </w:p>
        </w:tc>
      </w:tr>
      <w:tr>
        <w:trPr>
          <w:trHeight w:val="176"/>
        </w:trPr>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2016</w:t>
            </w:r>
          </w:p>
        </w:tc>
        <w:tc>
          <w:tcPr>
            <w:tcW w:w="460" w:type="dxa"/>
            <w:vAlign w:val="bottom"/>
            <w:tcBorders>
              <w:bottom w:val="single" w:sz="8" w:color="auto"/>
            </w:tcBorders>
          </w:tcPr>
          <w:p>
            <w:pPr>
              <w:spacing w:after="0"/>
              <w:rPr>
                <w:sz w:val="15"/>
                <w:szCs w:val="15"/>
                <w:color w:val="auto"/>
              </w:rPr>
            </w:pPr>
          </w:p>
        </w:tc>
      </w:tr>
      <w:tr>
        <w:trPr>
          <w:trHeight w:val="380"/>
        </w:trPr>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31.3</w:t>
            </w:r>
          </w:p>
        </w:tc>
        <w:tc>
          <w:tcPr>
            <w:tcW w:w="1040" w:type="dxa"/>
            <w:vAlign w:val="bottom"/>
            <w:gridSpan w:val="2"/>
          </w:tcPr>
          <w:p>
            <w:pPr>
              <w:jc w:val="right"/>
              <w:ind w:right="795"/>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4.4</w:t>
            </w:r>
          </w:p>
        </w:tc>
        <w:tc>
          <w:tcPr>
            <w:tcW w:w="1000" w:type="dxa"/>
            <w:vAlign w:val="bottom"/>
            <w:gridSpan w:val="2"/>
          </w:tcPr>
          <w:p>
            <w:pPr>
              <w:jc w:val="right"/>
              <w:ind w:right="755"/>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24"/>
                <w:szCs w:val="24"/>
                <w:color w:val="auto"/>
              </w:rPr>
            </w:pPr>
          </w:p>
        </w:tc>
        <w:tc>
          <w:tcPr>
            <w:tcW w:w="900" w:type="dxa"/>
            <w:vAlign w:val="bottom"/>
            <w:gridSpan w:val="2"/>
          </w:tcPr>
          <w:p>
            <w:pPr>
              <w:jc w:val="right"/>
              <w:ind w:right="755"/>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18.4</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32.3</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2"/>
                <w:szCs w:val="12"/>
                <w:color w:val="auto"/>
              </w:rPr>
              <w:t>73.2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2.0</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2"/>
                <w:szCs w:val="12"/>
                <w:color w:val="auto"/>
              </w:rPr>
              <w:t>23.2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2"/>
                <w:szCs w:val="12"/>
                <w:color w:val="auto"/>
              </w:rPr>
              <w:t>3.2</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15"/>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85"/>
        </w:trPr>
        <w:tc>
          <w:tcPr>
            <w:tcW w:w="900" w:type="dxa"/>
            <w:vAlign w:val="bottom"/>
          </w:tcPr>
          <w:p>
            <w:pPr>
              <w:spacing w:after="0"/>
              <w:rPr>
                <w:sz w:val="16"/>
                <w:szCs w:val="16"/>
                <w:color w:val="auto"/>
              </w:rPr>
            </w:pP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jc w:val="right"/>
              <w:ind w:right="35"/>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5.1</w:t>
            </w:r>
          </w:p>
        </w:tc>
      </w:tr>
      <w:tr>
        <w:trPr>
          <w:trHeight w:val="166"/>
        </w:trPr>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29.3</w:t>
            </w:r>
          </w:p>
        </w:tc>
      </w:tr>
      <w:tr>
        <w:trPr>
          <w:trHeight w:val="188"/>
        </w:trPr>
        <w:tc>
          <w:tcPr>
            <w:tcW w:w="900" w:type="dxa"/>
            <w:vAlign w:val="bottom"/>
          </w:tcPr>
          <w:p>
            <w:pPr>
              <w:jc w:val="right"/>
              <w:ind w:right="784"/>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55"/>
              <w:spacing w:after="0"/>
              <w:rPr>
                <w:sz w:val="20"/>
                <w:szCs w:val="20"/>
                <w:color w:val="auto"/>
              </w:rPr>
            </w:pPr>
            <w:r>
              <w:rPr>
                <w:rFonts w:ascii="Arial" w:cs="Arial" w:eastAsia="Arial" w:hAnsi="Arial"/>
                <w:sz w:val="13"/>
                <w:szCs w:val="13"/>
                <w:color w:val="auto"/>
              </w:rPr>
              <w:t>60.5</w:t>
            </w:r>
          </w:p>
        </w:tc>
        <w:tc>
          <w:tcPr>
            <w:tcW w:w="1040" w:type="dxa"/>
            <w:vAlign w:val="bottom"/>
            <w:gridSpan w:val="2"/>
          </w:tcPr>
          <w:p>
            <w:pPr>
              <w:jc w:val="right"/>
              <w:ind w:right="795"/>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5"/>
              <w:spacing w:after="0"/>
              <w:rPr>
                <w:sz w:val="20"/>
                <w:szCs w:val="20"/>
                <w:color w:val="auto"/>
              </w:rPr>
            </w:pPr>
            <w:r>
              <w:rPr>
                <w:rFonts w:ascii="Arial" w:cs="Arial" w:eastAsia="Arial" w:hAnsi="Arial"/>
                <w:sz w:val="13"/>
                <w:szCs w:val="13"/>
                <w:color w:val="auto"/>
              </w:rPr>
              <w:t>46.0</w:t>
            </w:r>
          </w:p>
        </w:tc>
        <w:tc>
          <w:tcPr>
            <w:tcW w:w="1000" w:type="dxa"/>
            <w:vAlign w:val="bottom"/>
            <w:gridSpan w:val="2"/>
          </w:tcPr>
          <w:p>
            <w:pPr>
              <w:jc w:val="right"/>
              <w:ind w:right="755"/>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5"/>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6"/>
                <w:szCs w:val="16"/>
                <w:color w:val="auto"/>
              </w:rPr>
            </w:pPr>
          </w:p>
        </w:tc>
        <w:tc>
          <w:tcPr>
            <w:tcW w:w="900" w:type="dxa"/>
            <w:vAlign w:val="bottom"/>
            <w:gridSpan w:val="2"/>
          </w:tcPr>
          <w:p>
            <w:pPr>
              <w:jc w:val="right"/>
              <w:ind w:right="755"/>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89.7</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-2562860</wp:posOffset>
            </wp:positionV>
            <wp:extent cx="7266305" cy="117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-2328545</wp:posOffset>
            </wp:positionV>
            <wp:extent cx="7266305" cy="117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-2094230</wp:posOffset>
            </wp:positionV>
            <wp:extent cx="7266305" cy="117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-1852930</wp:posOffset>
            </wp:positionV>
            <wp:extent cx="7266305" cy="11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-1610995</wp:posOffset>
            </wp:positionV>
            <wp:extent cx="7266305"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305" cy="13906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-1097915</wp:posOffset>
            </wp:positionV>
            <wp:extent cx="7266305" cy="124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305" cy="12446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-856615</wp:posOffset>
            </wp:positionV>
            <wp:extent cx="7266305" cy="117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-622300</wp:posOffset>
            </wp:positionV>
            <wp:extent cx="7266305" cy="117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-387350</wp:posOffset>
            </wp:positionV>
            <wp:extent cx="7266305" cy="117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-153035</wp:posOffset>
            </wp:positionV>
            <wp:extent cx="7266305" cy="139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630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8" w:space="720"/>
            <w:col w:w="5820"/>
          </w:cols>
          <w:pgMar w:left="232" w:top="781" w:right="219" w:bottom="1440" w:gutter="0" w:footer="0" w:header="0"/>
          <w:type w:val="continuous"/>
        </w:sectPr>
      </w:pPr>
    </w:p>
    <w:p>
      <w:pPr>
        <w:spacing w:after="0" w:line="344" w:lineRule="exact"/>
        <w:rPr>
          <w:sz w:val="20"/>
          <w:szCs w:val="20"/>
          <w:color w:val="auto"/>
        </w:rPr>
      </w:pPr>
    </w:p>
    <w:p>
      <w:pPr>
        <w:ind w:left="48"/>
        <w:spacing w:after="0" w:line="236" w:lineRule="auto"/>
        <w:rPr>
          <w:sz w:val="20"/>
          <w:szCs w:val="20"/>
          <w:color w:val="auto"/>
        </w:rPr>
      </w:pPr>
      <w:r>
        <w:rPr>
          <w:rFonts w:ascii="Arial" w:cs="Arial" w:eastAsia="Arial" w:hAnsi="Arial"/>
          <w:sz w:val="13"/>
          <w:szCs w:val="13"/>
          <w:b w:val="1"/>
          <w:bCs w:val="1"/>
          <w:color w:val="auto"/>
        </w:rPr>
        <w:t>Reconciliation of Income from Continuing Operations per Diluted Share to Adjusted Income from Continuing Operations per Diluted Share</w:t>
      </w:r>
    </w:p>
    <w:p>
      <w:pPr>
        <w:spacing w:after="0" w:line="1" w:lineRule="exact"/>
        <w:rPr>
          <w:sz w:val="20"/>
          <w:szCs w:val="20"/>
          <w:color w:val="auto"/>
        </w:rPr>
      </w:pPr>
    </w:p>
    <w:p>
      <w:pPr>
        <w:ind w:left="148" w:right="2180" w:hanging="91"/>
        <w:spacing w:after="0" w:line="283" w:lineRule="auto"/>
        <w:rPr>
          <w:sz w:val="20"/>
          <w:szCs w:val="20"/>
          <w:color w:val="auto"/>
        </w:rPr>
      </w:pPr>
      <w:r>
        <w:rPr>
          <w:rFonts w:ascii="Arial" w:cs="Arial" w:eastAsia="Arial" w:hAnsi="Arial"/>
          <w:sz w:val="13"/>
          <w:szCs w:val="13"/>
          <w:color w:val="auto"/>
        </w:rPr>
        <w:t>Income from continuing operations per diluted share Items impacting comparability, net of taxes</w:t>
      </w:r>
    </w:p>
    <w:p>
      <w:pPr>
        <w:spacing w:after="0" w:line="1" w:lineRule="exact"/>
        <w:rPr>
          <w:sz w:val="20"/>
          <w:szCs w:val="20"/>
          <w:color w:val="auto"/>
        </w:rPr>
      </w:pPr>
    </w:p>
    <w:p>
      <w:pPr>
        <w:ind w:left="48" w:right="1640"/>
        <w:spacing w:after="0" w:line="357" w:lineRule="auto"/>
        <w:rPr>
          <w:sz w:val="20"/>
          <w:szCs w:val="20"/>
          <w:color w:val="auto"/>
        </w:rPr>
      </w:pPr>
      <w:r>
        <w:rPr>
          <w:rFonts w:ascii="Arial" w:cs="Arial" w:eastAsia="Arial" w:hAnsi="Arial"/>
          <w:sz w:val="13"/>
          <w:szCs w:val="13"/>
          <w:color w:val="auto"/>
        </w:rPr>
        <w:t>Adjusted income from continuing operations per diluted share Diluted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3"/>
                <w:szCs w:val="13"/>
                <w:b w:val="1"/>
                <w:bCs w:val="1"/>
                <w:color w:val="auto"/>
              </w:rPr>
              <w:t>Three Months Ended April 30,</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3"/>
                <w:szCs w:val="13"/>
                <w:b w:val="1"/>
                <w:bCs w:val="1"/>
                <w:color w:val="auto"/>
              </w:rPr>
              <w:t>Six Months Ended April 30,</w:t>
            </w:r>
          </w:p>
        </w:tc>
      </w:tr>
      <w:tr>
        <w:trPr>
          <w:trHeight w:val="176"/>
        </w:trPr>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b w:val="1"/>
                <w:bCs w:val="1"/>
                <w:color w:val="auto"/>
              </w:rPr>
              <w:t>2016</w:t>
            </w:r>
          </w:p>
        </w:tc>
      </w:tr>
      <w:tr>
        <w:trPr>
          <w:trHeight w:val="460"/>
        </w:trPr>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55"/>
              <w:spacing w:after="0"/>
              <w:rPr>
                <w:sz w:val="20"/>
                <w:szCs w:val="20"/>
                <w:color w:val="auto"/>
              </w:rPr>
            </w:pPr>
            <w:r>
              <w:rPr>
                <w:rFonts w:ascii="Arial" w:cs="Arial" w:eastAsia="Arial" w:hAnsi="Arial"/>
                <w:sz w:val="13"/>
                <w:szCs w:val="13"/>
                <w:color w:val="auto"/>
              </w:rPr>
              <w:t>0.56</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0.12</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0.84</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0.36</w:t>
            </w:r>
          </w:p>
        </w:tc>
      </w:tr>
      <w:tr>
        <w:trPr>
          <w:trHeight w:val="166"/>
        </w:trPr>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0.19</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0.33</w:t>
            </w:r>
          </w:p>
        </w:tc>
      </w:tr>
      <w:tr>
        <w:trPr>
          <w:trHeight w:val="176"/>
        </w:trPr>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55"/>
              <w:spacing w:after="0"/>
              <w:rPr>
                <w:sz w:val="20"/>
                <w:szCs w:val="20"/>
                <w:color w:val="auto"/>
              </w:rPr>
            </w:pPr>
            <w:r>
              <w:rPr>
                <w:rFonts w:ascii="Arial" w:cs="Arial" w:eastAsia="Arial" w:hAnsi="Arial"/>
                <w:sz w:val="13"/>
                <w:szCs w:val="13"/>
                <w:color w:val="auto"/>
              </w:rPr>
              <w:t>0.49</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5"/>
              <w:spacing w:after="0"/>
              <w:rPr>
                <w:sz w:val="20"/>
                <w:szCs w:val="20"/>
                <w:color w:val="auto"/>
              </w:rPr>
            </w:pPr>
            <w:r>
              <w:rPr>
                <w:rFonts w:ascii="Arial" w:cs="Arial" w:eastAsia="Arial" w:hAnsi="Arial"/>
                <w:sz w:val="13"/>
                <w:szCs w:val="13"/>
                <w:color w:val="auto"/>
              </w:rPr>
              <w:t>0.31</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0.87</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
              <w:spacing w:after="0"/>
              <w:rPr>
                <w:sz w:val="20"/>
                <w:szCs w:val="20"/>
                <w:color w:val="auto"/>
              </w:rPr>
            </w:pPr>
            <w:r>
              <w:rPr>
                <w:rFonts w:ascii="Arial" w:cs="Arial" w:eastAsia="Arial" w:hAnsi="Arial"/>
                <w:sz w:val="13"/>
                <w:szCs w:val="13"/>
                <w:color w:val="auto"/>
              </w:rPr>
              <w:t>0.69</w:t>
            </w:r>
          </w:p>
        </w:tc>
      </w:tr>
      <w:tr>
        <w:trPr>
          <w:trHeight w:val="195"/>
        </w:trPr>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rPr>
              <w:t>56.9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56.6</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-670560</wp:posOffset>
            </wp:positionV>
            <wp:extent cx="726630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305" cy="17589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-377825</wp:posOffset>
            </wp:positionV>
            <wp:extent cx="7266305" cy="1174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6305" cy="1174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-135890</wp:posOffset>
            </wp:positionV>
            <wp:extent cx="7266305"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305" cy="12446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5248" w:space="380"/>
            <w:col w:w="5820"/>
          </w:cols>
          <w:pgMar w:left="232" w:top="781" w:right="219" w:bottom="1440" w:gutter="0" w:footer="0" w:header="0"/>
          <w:type w:val="continuous"/>
        </w:sectPr>
      </w:pPr>
    </w:p>
    <w:p>
      <w:pPr>
        <w:ind w:left="108" w:hanging="108"/>
        <w:spacing w:after="0"/>
        <w:tabs>
          <w:tab w:leader="none" w:pos="108" w:val="left"/>
        </w:tabs>
        <w:numPr>
          <w:ilvl w:val="0"/>
          <w:numId w:val="3"/>
        </w:numPr>
        <w:rPr>
          <w:rFonts w:ascii="Arial" w:cs="Arial" w:eastAsia="Arial" w:hAnsi="Arial"/>
          <w:sz w:val="13"/>
          <w:szCs w:val="13"/>
          <w:color w:val="auto"/>
          <w:vertAlign w:val="superscript"/>
        </w:rPr>
      </w:pPr>
      <w:r>
        <w:rPr>
          <w:rFonts w:ascii="Arial" w:cs="Arial" w:eastAsia="Arial" w:hAnsi="Arial"/>
          <w:sz w:val="8"/>
          <w:szCs w:val="8"/>
          <w:color w:val="auto"/>
        </w:rPr>
        <w:t>The Company adjusts income from continuing operations to exclude the impact of certain items that are unusual, non-recurring, or otherwise do not reflect management's views of the underlying operational results and trends of the Company.</w:t>
      </w:r>
    </w:p>
    <w:p>
      <w:pPr>
        <w:spacing w:after="0" w:line="187" w:lineRule="exact"/>
        <w:rPr>
          <w:rFonts w:ascii="Arial" w:cs="Arial" w:eastAsia="Arial" w:hAnsi="Arial"/>
          <w:sz w:val="13"/>
          <w:szCs w:val="13"/>
          <w:color w:val="auto"/>
          <w:vertAlign w:val="superscript"/>
        </w:rPr>
      </w:pPr>
    </w:p>
    <w:p>
      <w:pPr>
        <w:jc w:val="both"/>
        <w:ind w:left="8" w:hanging="8"/>
        <w:spacing w:after="0"/>
        <w:tabs>
          <w:tab w:leader="none" w:pos="130" w:val="left"/>
        </w:tabs>
        <w:numPr>
          <w:ilvl w:val="0"/>
          <w:numId w:val="3"/>
        </w:numPr>
        <w:rPr>
          <w:rFonts w:ascii="Arial" w:cs="Arial" w:eastAsia="Arial" w:hAnsi="Arial"/>
          <w:sz w:val="15"/>
          <w:szCs w:val="15"/>
          <w:color w:val="auto"/>
          <w:vertAlign w:val="superscript"/>
        </w:rPr>
      </w:pPr>
      <w:r>
        <w:rPr>
          <w:rFonts w:ascii="Arial" w:cs="Arial" w:eastAsia="Arial" w:hAnsi="Arial"/>
          <w:sz w:val="9"/>
          <w:szCs w:val="9"/>
          <w:color w:val="auto"/>
        </w:rPr>
        <w:t>Represents adjustments to our self-insurance reserve for general liability, workers’ compensation and automobile claims related to prior period accident years. Management believes these prior period reserve changes do not illustrate the performance of the Company’s normal ongoing operations given the current year's insurance expense is estimated by management in conjunction with the Company's outside actuary to take into consideration past history and current costs and regulatory trends. Once the Company develops its best estimate of insurance expense premiums for the year, the Company fully allocates such costs out to the business leaders to hold them accountable for the current year costs within operations. However,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would not depict how the business is run as the Company holds its management accountable for the current year’s operational performance. The Company believes the exclusion of the self-insurance adjustment from income from continuing operations is useful to investors by enabling them to better assess our operating performance in the context of current year profitability.</w:t>
      </w:r>
    </w:p>
    <w:p>
      <w:pPr>
        <w:spacing w:after="0" w:line="218" w:lineRule="exact"/>
        <w:rPr>
          <w:rFonts w:ascii="Arial" w:cs="Arial" w:eastAsia="Arial" w:hAnsi="Arial"/>
          <w:sz w:val="15"/>
          <w:szCs w:val="15"/>
          <w:color w:val="auto"/>
          <w:vertAlign w:val="superscript"/>
        </w:rPr>
      </w:pPr>
    </w:p>
    <w:p>
      <w:pPr>
        <w:ind w:left="108" w:hanging="108"/>
        <w:spacing w:after="0"/>
        <w:tabs>
          <w:tab w:leader="none" w:pos="108" w:val="left"/>
        </w:tabs>
        <w:numPr>
          <w:ilvl w:val="0"/>
          <w:numId w:val="3"/>
        </w:numPr>
        <w:rPr>
          <w:rFonts w:ascii="Arial" w:cs="Arial" w:eastAsia="Arial" w:hAnsi="Arial"/>
          <w:sz w:val="13"/>
          <w:szCs w:val="13"/>
          <w:color w:val="auto"/>
          <w:vertAlign w:val="superscript"/>
        </w:rPr>
      </w:pPr>
      <w:r>
        <w:rPr>
          <w:rFonts w:ascii="Arial" w:cs="Arial" w:eastAsia="Arial" w:hAnsi="Arial"/>
          <w:sz w:val="8"/>
          <w:szCs w:val="8"/>
          <w:color w:val="auto"/>
        </w:rPr>
        <w:t>FY17 represents reimbursement of previously expensed legal and other costs incurred in connection with an internal investigation into a foreign entity affiliated with a former joint venture partner.</w:t>
      </w:r>
    </w:p>
    <w:p>
      <w:pPr>
        <w:spacing w:after="0" w:line="150" w:lineRule="exact"/>
        <w:rPr>
          <w:rFonts w:ascii="Arial" w:cs="Arial" w:eastAsia="Arial" w:hAnsi="Arial"/>
          <w:sz w:val="13"/>
          <w:szCs w:val="13"/>
          <w:color w:val="auto"/>
          <w:vertAlign w:val="superscript"/>
        </w:rPr>
      </w:pPr>
    </w:p>
    <w:p>
      <w:pPr>
        <w:ind w:left="108" w:hanging="108"/>
        <w:spacing w:after="0"/>
        <w:tabs>
          <w:tab w:leader="none" w:pos="108" w:val="left"/>
        </w:tabs>
        <w:numPr>
          <w:ilvl w:val="0"/>
          <w:numId w:val="3"/>
        </w:numPr>
        <w:rPr>
          <w:rFonts w:ascii="Arial" w:cs="Arial" w:eastAsia="Arial" w:hAnsi="Arial"/>
          <w:sz w:val="13"/>
          <w:szCs w:val="13"/>
          <w:color w:val="auto"/>
          <w:vertAlign w:val="superscript"/>
        </w:rPr>
      </w:pPr>
      <w:r>
        <w:rPr>
          <w:rFonts w:ascii="Arial" w:cs="Arial" w:eastAsia="Arial" w:hAnsi="Arial"/>
          <w:sz w:val="8"/>
          <w:szCs w:val="8"/>
          <w:color w:val="auto"/>
        </w:rPr>
        <w:t>Represents costs for 2020 Vision Transformation Initiative, net of the reversal of certain share-based compensation costs.</w:t>
      </w:r>
    </w:p>
    <w:p>
      <w:pPr>
        <w:spacing w:after="0" w:line="150" w:lineRule="exact"/>
        <w:rPr>
          <w:rFonts w:ascii="Arial" w:cs="Arial" w:eastAsia="Arial" w:hAnsi="Arial"/>
          <w:sz w:val="13"/>
          <w:szCs w:val="13"/>
          <w:color w:val="auto"/>
          <w:vertAlign w:val="superscript"/>
        </w:rPr>
      </w:pPr>
    </w:p>
    <w:p>
      <w:pPr>
        <w:ind w:left="108" w:hanging="108"/>
        <w:spacing w:after="0"/>
        <w:tabs>
          <w:tab w:leader="none" w:pos="108" w:val="left"/>
        </w:tabs>
        <w:numPr>
          <w:ilvl w:val="0"/>
          <w:numId w:val="3"/>
        </w:numPr>
        <w:rPr>
          <w:rFonts w:ascii="Arial" w:cs="Arial" w:eastAsia="Arial" w:hAnsi="Arial"/>
          <w:sz w:val="13"/>
          <w:szCs w:val="13"/>
          <w:color w:val="auto"/>
          <w:vertAlign w:val="superscript"/>
        </w:rPr>
      </w:pPr>
      <w:r>
        <w:rPr>
          <w:rFonts w:ascii="Arial" w:cs="Arial" w:eastAsia="Arial" w:hAnsi="Arial"/>
          <w:sz w:val="8"/>
          <w:szCs w:val="8"/>
          <w:color w:val="auto"/>
        </w:rPr>
        <w:t>FY16 amount includes costs related to a reserve established for an outstanding client receivable that is being litigated, and based on recent unfavorable developments, a significant portion of the outstanding receivable amount is no longer deemed collectible.</w:t>
      </w:r>
    </w:p>
    <w:p>
      <w:pPr>
        <w:spacing w:after="0" w:line="34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63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81" w:right="219" w:bottom="1440" w:gutter="0" w:footer="0" w:header="0"/>
          <w:type w:val="continuous"/>
        </w:sectPr>
      </w:pPr>
    </w:p>
    <w:bookmarkStart w:id="16" w:name="page17"/>
    <w:bookmarkEnd w:id="16"/>
    <w:p>
      <w:pPr>
        <w:ind w:left="8" w:hanging="8"/>
        <w:spacing w:after="0" w:line="197" w:lineRule="auto"/>
        <w:tabs>
          <w:tab w:leader="none" w:pos="102" w:val="left"/>
        </w:tabs>
        <w:numPr>
          <w:ilvl w:val="0"/>
          <w:numId w:val="4"/>
        </w:numPr>
        <w:rPr>
          <w:rFonts w:ascii="Arial" w:cs="Arial" w:eastAsia="Arial" w:hAnsi="Arial"/>
          <w:sz w:val="15"/>
          <w:szCs w:val="15"/>
          <w:color w:val="auto"/>
          <w:vertAlign w:val="superscript"/>
        </w:rPr>
      </w:pPr>
      <w:r>
        <w:rPr>
          <w:rFonts w:ascii="Arial" w:cs="Arial" w:eastAsia="Arial" w:hAnsi="Arial"/>
          <w:sz w:val="9"/>
          <w:szCs w:val="9"/>
          <w:color w:val="auto"/>
        </w:rPr>
        <w:t>The Company's tax impact is calculated using the federal and state statutory rate of 41.5%, with the exception of an impairment recovery related to the Company’s Government Services business, for which a 39.0% tax rate was applied. We calculate tax from the underlying whole-dollar amounts, as a result, certain amounts may not recalculate based on reported numbers due to rounding.</w:t>
      </w:r>
    </w:p>
    <w:p>
      <w:pPr>
        <w:spacing w:after="0" w:line="151" w:lineRule="exact"/>
        <w:rPr>
          <w:rFonts w:ascii="Arial" w:cs="Arial" w:eastAsia="Arial" w:hAnsi="Arial"/>
          <w:sz w:val="15"/>
          <w:szCs w:val="15"/>
          <w:color w:val="auto"/>
          <w:vertAlign w:val="superscript"/>
        </w:rPr>
      </w:pPr>
    </w:p>
    <w:p>
      <w:pPr>
        <w:ind w:left="108" w:hanging="108"/>
        <w:spacing w:after="0"/>
        <w:tabs>
          <w:tab w:leader="none" w:pos="108" w:val="left"/>
        </w:tabs>
        <w:numPr>
          <w:ilvl w:val="0"/>
          <w:numId w:val="4"/>
        </w:numPr>
        <w:rPr>
          <w:rFonts w:ascii="Arial" w:cs="Arial" w:eastAsia="Arial" w:hAnsi="Arial"/>
          <w:sz w:val="13"/>
          <w:szCs w:val="13"/>
          <w:color w:val="auto"/>
          <w:vertAlign w:val="superscript"/>
        </w:rPr>
      </w:pPr>
      <w:r>
        <w:rPr>
          <w:rFonts w:ascii="Arial" w:cs="Arial" w:eastAsia="Arial" w:hAnsi="Arial"/>
          <w:sz w:val="8"/>
          <w:szCs w:val="8"/>
          <w:color w:val="auto"/>
        </w:rPr>
        <w:t>Adjusted EBITDA does not include interest income for certain long term energy contracts, in which case a gross up of both interest income and interest expense is being recorded.</w:t>
      </w:r>
    </w:p>
    <w:p>
      <w:pPr>
        <w:spacing w:after="0" w:line="26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63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28"/>
          </w:cols>
          <w:pgMar w:left="232" w:top="817" w:right="239" w:bottom="1440" w:gutter="0" w:footer="0" w:header="0"/>
        </w:sectPr>
      </w:pPr>
    </w:p>
    <w:bookmarkStart w:id="17" w:name="page18"/>
    <w:bookmarkEnd w:id="17"/>
    <w:p>
      <w:pPr>
        <w:ind w:left="8"/>
        <w:spacing w:after="0"/>
        <w:rPr>
          <w:sz w:val="20"/>
          <w:szCs w:val="20"/>
          <w:color w:val="auto"/>
        </w:rPr>
      </w:pPr>
      <w:r>
        <w:rPr>
          <w:rFonts w:ascii="Arial" w:cs="Arial" w:eastAsia="Arial" w:hAnsi="Arial"/>
          <w:sz w:val="17"/>
          <w:szCs w:val="17"/>
          <w:b w:val="1"/>
          <w:bCs w:val="1"/>
          <w:color w:val="auto"/>
        </w:rPr>
        <w:t>ABM INDUSTRIES INCORPORATED AND SUBSIDIARIES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2017 GUIDANCE</w:t>
      </w:r>
    </w:p>
    <w:p>
      <w:pPr>
        <w:spacing w:after="0" w:line="44" w:lineRule="exact"/>
        <w:rPr>
          <w:sz w:val="20"/>
          <w:szCs w:val="20"/>
          <w:color w:val="auto"/>
        </w:rPr>
      </w:pPr>
    </w:p>
    <w:p>
      <w:pPr>
        <w:ind w:left="9128"/>
        <w:spacing w:after="0"/>
        <w:rPr>
          <w:sz w:val="20"/>
          <w:szCs w:val="20"/>
          <w:color w:val="auto"/>
        </w:rPr>
      </w:pPr>
      <w:r>
        <w:rPr>
          <w:rFonts w:ascii="Arial" w:cs="Arial" w:eastAsia="Arial" w:hAnsi="Arial"/>
          <w:sz w:val="13"/>
          <w:szCs w:val="13"/>
          <w:b w:val="1"/>
          <w:bCs w:val="1"/>
          <w:color w:val="auto"/>
        </w:rPr>
        <w:t>Year Ended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5080</wp:posOffset>
            </wp:positionV>
            <wp:extent cx="180911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115" cy="7620"/>
                    </a:xfrm>
                    <a:prstGeom prst="rect">
                      <a:avLst/>
                    </a:prstGeom>
                    <a:noFill/>
                  </pic:spPr>
                </pic:pic>
              </a:graphicData>
            </a:graphic>
          </wp:anchor>
        </w:drawing>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85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33"/>
              <w:spacing w:after="0"/>
              <w:rPr>
                <w:sz w:val="20"/>
                <w:szCs w:val="20"/>
                <w:color w:val="auto"/>
              </w:rPr>
            </w:pPr>
            <w:r>
              <w:rPr>
                <w:rFonts w:ascii="Arial" w:cs="Arial" w:eastAsia="Arial" w:hAnsi="Arial"/>
                <w:sz w:val="12"/>
                <w:szCs w:val="12"/>
                <w:b w:val="1"/>
                <w:bCs w:val="1"/>
                <w:color w:val="auto"/>
              </w:rPr>
              <w:t>Low Estimate</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High Estimate</w:t>
            </w:r>
          </w:p>
        </w:tc>
      </w:tr>
      <w:tr>
        <w:trPr>
          <w:trHeight w:val="125"/>
        </w:trPr>
        <w:tc>
          <w:tcPr>
            <w:tcW w:w="8580" w:type="dxa"/>
            <w:vAlign w:val="bottom"/>
            <w:shd w:val="clear" w:color="auto" w:fill="CCEEFF"/>
          </w:tcPr>
          <w:p>
            <w:pPr>
              <w:ind w:left="40"/>
              <w:spacing w:after="0" w:line="125" w:lineRule="exact"/>
              <w:rPr>
                <w:sz w:val="20"/>
                <w:szCs w:val="20"/>
                <w:color w:val="auto"/>
              </w:rPr>
            </w:pPr>
            <w:r>
              <w:rPr>
                <w:rFonts w:ascii="Arial" w:cs="Arial" w:eastAsia="Arial" w:hAnsi="Arial"/>
                <w:sz w:val="14"/>
                <w:szCs w:val="14"/>
                <w:b w:val="1"/>
                <w:bCs w:val="1"/>
                <w:color w:val="auto"/>
              </w:rPr>
              <w:t>Reconciliation of Estimated Income from Continuing Operations per Diluted Share</w:t>
            </w:r>
          </w:p>
        </w:tc>
        <w:tc>
          <w:tcPr>
            <w:tcW w:w="2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78"/>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 Estimated Adjusted Income from Continuing Operations per Diluted Share</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6"/>
        </w:trPr>
        <w:tc>
          <w:tcPr>
            <w:tcW w:w="8580" w:type="dxa"/>
            <w:vAlign w:val="bottom"/>
          </w:tcPr>
          <w:p>
            <w:pPr>
              <w:ind w:left="40"/>
              <w:spacing w:after="0" w:line="197" w:lineRule="exact"/>
              <w:rPr>
                <w:sz w:val="20"/>
                <w:szCs w:val="20"/>
                <w:color w:val="auto"/>
              </w:rPr>
            </w:pPr>
            <w:r>
              <w:rPr>
                <w:rFonts w:ascii="Arial" w:cs="Arial" w:eastAsia="Arial" w:hAnsi="Arial"/>
                <w:sz w:val="13"/>
                <w:szCs w:val="13"/>
                <w:color w:val="auto"/>
              </w:rPr>
              <w:t>Income from continuing operations per diluted share</w:t>
            </w:r>
            <w:r>
              <w:rPr>
                <w:rFonts w:ascii="Arial" w:cs="Arial" w:eastAsia="Arial" w:hAnsi="Arial"/>
                <w:sz w:val="22"/>
                <w:szCs w:val="22"/>
                <w:color w:val="auto"/>
                <w:vertAlign w:val="superscript"/>
              </w:rPr>
              <w:t>(a)</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1.63</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1.73</w:t>
            </w:r>
          </w:p>
        </w:tc>
      </w:tr>
      <w:tr>
        <w:trPr>
          <w:trHeight w:val="196"/>
        </w:trPr>
        <w:tc>
          <w:tcPr>
            <w:tcW w:w="8580" w:type="dxa"/>
            <w:vAlign w:val="bottom"/>
            <w:shd w:val="clear" w:color="auto" w:fill="CCEEFF"/>
          </w:tcPr>
          <w:p>
            <w:pPr>
              <w:ind w:left="40"/>
              <w:spacing w:after="0" w:line="197" w:lineRule="exact"/>
              <w:rPr>
                <w:sz w:val="20"/>
                <w:szCs w:val="20"/>
                <w:color w:val="auto"/>
              </w:rPr>
            </w:pPr>
            <w:r>
              <w:rPr>
                <w:rFonts w:ascii="Arial" w:cs="Arial" w:eastAsia="Arial" w:hAnsi="Arial"/>
                <w:sz w:val="13"/>
                <w:szCs w:val="13"/>
                <w:color w:val="auto"/>
              </w:rPr>
              <w:t>Adjustments</w:t>
            </w:r>
            <w:r>
              <w:rPr>
                <w:rFonts w:ascii="Arial" w:cs="Arial" w:eastAsia="Arial" w:hAnsi="Arial"/>
                <w:sz w:val="22"/>
                <w:szCs w:val="22"/>
                <w:color w:val="auto"/>
                <w:vertAlign w:val="superscript"/>
              </w:rPr>
              <w:t>(b)</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0.22</w:t>
            </w:r>
          </w:p>
        </w:tc>
      </w:tr>
      <w:tr>
        <w:trPr>
          <w:trHeight w:val="291"/>
        </w:trPr>
        <w:tc>
          <w:tcPr>
            <w:tcW w:w="8580" w:type="dxa"/>
            <w:vAlign w:val="bottom"/>
          </w:tcPr>
          <w:p>
            <w:pPr>
              <w:ind w:left="40"/>
              <w:spacing w:after="0"/>
              <w:rPr>
                <w:sz w:val="20"/>
                <w:szCs w:val="20"/>
                <w:color w:val="auto"/>
              </w:rPr>
            </w:pPr>
            <w:r>
              <w:rPr>
                <w:rFonts w:ascii="Arial" w:cs="Arial" w:eastAsia="Arial" w:hAnsi="Arial"/>
                <w:sz w:val="14"/>
                <w:szCs w:val="14"/>
                <w:color w:val="auto"/>
              </w:rPr>
              <w:t>Adjusted income from continuing operations per diluted share</w:t>
            </w:r>
            <w:r>
              <w:rPr>
                <w:rFonts w:ascii="Arial" w:cs="Arial" w:eastAsia="Arial" w:hAnsi="Arial"/>
                <w:sz w:val="23"/>
                <w:szCs w:val="23"/>
                <w:color w:val="auto"/>
                <w:vertAlign w:val="superscript"/>
              </w:rPr>
              <w:t>(a)</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53"/>
              <w:spacing w:after="0"/>
              <w:rPr>
                <w:sz w:val="20"/>
                <w:szCs w:val="20"/>
                <w:color w:val="auto"/>
              </w:rPr>
            </w:pPr>
            <w:r>
              <w:rPr>
                <w:rFonts w:ascii="Arial" w:cs="Arial" w:eastAsia="Arial" w:hAnsi="Arial"/>
                <w:sz w:val="14"/>
                <w:szCs w:val="14"/>
                <w:color w:val="auto"/>
              </w:rPr>
              <w:t>1.85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1.95</w:t>
            </w:r>
          </w:p>
        </w:tc>
      </w:tr>
    </w:tbl>
    <w:p>
      <w:pPr>
        <w:spacing w:after="0" w:line="69" w:lineRule="exact"/>
        <w:rPr>
          <w:sz w:val="20"/>
          <w:szCs w:val="20"/>
          <w:color w:val="auto"/>
        </w:rPr>
      </w:pPr>
    </w:p>
    <w:p>
      <w:pPr>
        <w:ind w:left="8" w:right="20" w:hanging="8"/>
        <w:spacing w:after="0" w:line="198" w:lineRule="auto"/>
        <w:tabs>
          <w:tab w:leader="none" w:pos="171"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With the exception of the 2017 Work Opportunity Tax Credits, ASU 2016-09, and IRC Section 179D, this guidance does not include any potential benefits associated with certain other discrete tax items and other unrecognized tax benefits.</w:t>
      </w:r>
    </w:p>
    <w:p>
      <w:pPr>
        <w:spacing w:after="0" w:line="180" w:lineRule="exact"/>
        <w:rPr>
          <w:rFonts w:ascii="Arial" w:cs="Arial" w:eastAsia="Arial" w:hAnsi="Arial"/>
          <w:sz w:val="20"/>
          <w:szCs w:val="20"/>
          <w:color w:val="auto"/>
          <w:vertAlign w:val="superscript"/>
        </w:rPr>
      </w:pPr>
    </w:p>
    <w:p>
      <w:pPr>
        <w:ind w:left="8" w:right="20" w:hanging="8"/>
        <w:spacing w:after="0" w:line="204" w:lineRule="auto"/>
        <w:tabs>
          <w:tab w:leader="none" w:pos="161"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Adjustments include an impairment recovery associated with the sale of the Government Services business, costs associated with the strategic review and realignment, legal settlements, adjustments to self-insurance reserves pertaining to prior year's claims and other unique items impacting comparability.</w:t>
      </w:r>
    </w:p>
    <w:p>
      <w:pPr>
        <w:spacing w:after="0" w:line="33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63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01" w:right="219" w:bottom="1440" w:gutter="0" w:footer="0" w:header="0"/>
        </w:sectPr>
      </w:pPr>
    </w:p>
    <w:bookmarkStart w:id="18" w:name="page19"/>
    <w:bookmarkEnd w:id="18"/>
    <w:p>
      <w:pPr>
        <w:ind w:left="92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149225</wp:posOffset>
            </wp:positionV>
            <wp:extent cx="7320280" cy="5742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0" w:num="1">
            <w:col w:w="10240"/>
          </w:cols>
          <w:pgMar w:left="1440" w:top="320" w:right="21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0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0280" cy="5750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6132195</wp:posOffset>
            </wp:positionV>
            <wp:extent cx="72663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42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0280" cy="5742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6"/>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2019-12-05T12:26:04Z</dcterms:created>
  <dcterms:modified xsi:type="dcterms:W3CDTF">2019-12-05T12:26:04Z</dcterms:modified>
</cp:coreProperties>
</file>