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January 22, 2007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ABM Industries Incorporated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10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1-8929</w:t>
            </w:r>
          </w:p>
        </w:tc>
        <w:tc>
          <w:tcPr>
            <w:tcW w:w="144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94-1369354</w:t>
            </w:r>
          </w:p>
        </w:tc>
      </w:tr>
      <w:tr>
        <w:trPr>
          <w:trHeight w:val="209"/>
        </w:trPr>
        <w:tc>
          <w:tcPr>
            <w:tcW w:w="34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gridSpan w:val="3"/>
          </w:tcPr>
          <w:p>
            <w:pPr>
              <w:jc w:val="center"/>
              <w:ind w:right="1520"/>
              <w:spacing w:after="0"/>
              <w:rPr>
                <w:sz w:val="20"/>
                <w:szCs w:val="20"/>
                <w:color w:val="auto"/>
              </w:rPr>
            </w:pPr>
            <w:r>
              <w:rPr>
                <w:rFonts w:ascii="Arial" w:cs="Arial" w:eastAsia="Arial" w:hAnsi="Arial"/>
                <w:sz w:val="18"/>
                <w:szCs w:val="18"/>
                <w:color w:val="auto"/>
                <w:w w:val="93"/>
              </w:rPr>
              <w:t>of incorporation)</w:t>
            </w:r>
          </w:p>
        </w:tc>
        <w:tc>
          <w:tcPr>
            <w:tcW w:w="246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98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160 Pacific Avenue, Suite 222, San Francisco, California</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94111</w:t>
            </w:r>
          </w:p>
        </w:tc>
      </w:tr>
      <w:tr>
        <w:trPr>
          <w:trHeight w:val="224"/>
        </w:trPr>
        <w:tc>
          <w:tcPr>
            <w:tcW w:w="4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(415) 733-4000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ind w:right="60"/>
        <w:spacing w:after="0" w:line="313" w:lineRule="auto"/>
        <w:rPr>
          <w:sz w:val="20"/>
          <w:szCs w:val="20"/>
          <w:color w:val="auto"/>
        </w:rPr>
      </w:pPr>
      <w:r>
        <w:rPr>
          <w:rFonts w:ascii="Arial" w:cs="Arial" w:eastAsia="Arial" w:hAnsi="Arial"/>
          <w:sz w:val="17"/>
          <w:szCs w:val="17"/>
          <w:b w:val="1"/>
          <w:bCs w:val="1"/>
          <w:color w:val="auto"/>
        </w:rPr>
        <w:t xml:space="preserve">Explanatory Note: </w:t>
      </w:r>
      <w:r>
        <w:rPr>
          <w:rFonts w:ascii="Arial" w:cs="Arial" w:eastAsia="Arial" w:hAnsi="Arial"/>
          <w:sz w:val="17"/>
          <w:szCs w:val="17"/>
          <w:color w:val="auto"/>
        </w:rPr>
        <w:t>This amendment is being filed to restate in its entirety the Form 8-K filed with the Securities and Exchange Commission on January 29,</w:t>
      </w:r>
      <w:r>
        <w:rPr>
          <w:rFonts w:ascii="Arial" w:cs="Arial" w:eastAsia="Arial" w:hAnsi="Arial"/>
          <w:sz w:val="17"/>
          <w:szCs w:val="17"/>
          <w:b w:val="1"/>
          <w:bCs w:val="1"/>
          <w:color w:val="auto"/>
        </w:rPr>
        <w:t xml:space="preserve"> </w:t>
      </w:r>
      <w:r>
        <w:rPr>
          <w:rFonts w:ascii="Arial" w:cs="Arial" w:eastAsia="Arial" w:hAnsi="Arial"/>
          <w:sz w:val="17"/>
          <w:szCs w:val="17"/>
          <w:color w:val="auto"/>
        </w:rPr>
        <w:t>2007 (the “Original Filing”). This amendment provides under Item 5.02 the disclosure that was provided under Item 1.01 in the Original Filing.</w:t>
      </w:r>
    </w:p>
    <w:p>
      <w:pPr>
        <w:spacing w:after="0" w:line="34" w:lineRule="exact"/>
        <w:rPr>
          <w:sz w:val="20"/>
          <w:szCs w:val="20"/>
          <w:color w:val="auto"/>
        </w:rPr>
      </w:pPr>
    </w:p>
    <w:p>
      <w:pPr>
        <w:ind w:left="820" w:right="540" w:hanging="809"/>
        <w:spacing w:after="0" w:line="277" w:lineRule="auto"/>
        <w:rPr>
          <w:sz w:val="20"/>
          <w:szCs w:val="20"/>
          <w:color w:val="auto"/>
        </w:rPr>
      </w:pPr>
      <w:r>
        <w:rPr>
          <w:rFonts w:ascii="Arial" w:cs="Arial" w:eastAsia="Arial" w:hAnsi="Arial"/>
          <w:sz w:val="18"/>
          <w:szCs w:val="18"/>
          <w:color w:val="auto"/>
        </w:rPr>
        <w:t xml:space="preserve">Item 5.02 </w:t>
      </w:r>
      <w:r>
        <w:rPr>
          <w:rFonts w:ascii="Arial" w:cs="Arial" w:eastAsia="Arial" w:hAnsi="Arial"/>
          <w:sz w:val="18"/>
          <w:szCs w:val="18"/>
          <w:u w:val="single" w:color="auto"/>
          <w:color w:val="auto"/>
        </w:rPr>
        <w:t>Departure of Directors or Certain Officers; Election of Directors; Appointment of Certain Officers; Compensatory Arrangements of Certain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22, 2007, the Compensation Committee of the Board of Directors of ABM Industries Incorporated (the “Company”) adopted performance objectives for its 2007 fiscal year, which ends October 31, 2007, for Henrik C. Slipsager, the Company’s Chief Executive Officer. The objectives were reviewed and ratified by the Board of Directors (without Mr. Slipsager’s participation) on January 23, 2007. Mr. Slipsager’s employment agreement calls for a bonus based upon his performance measured against performance objectives adopted by the Compensation Committee. The 2007 performance objectives are attached as Exhibit 99.1 to this Form 8-K.</w:t>
      </w:r>
    </w:p>
    <w:p>
      <w:pPr>
        <w:spacing w:after="0" w:line="8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January 25, 2007, the Compensation Committee authorized the grant to a number of employees, including Mr. Slipsager, of equity awards of a specified value, which grants the Committee anticipates will be effective in March 2007. The aggregate value authorized for Mr. Slipsager was $1,120,000, which value will be divided equally among restricted stock units (“RSUs”), performance shares and nonqualified stock options based on the fair market value of ABM common stock two days after the filing of ABM’s quarterly report on Form 10-Q for the fiscal quarter ended January 31, 2007. The vesting of the performance shares is tied to three-year profit margin and revenue targets in the period ended October 31, 2009. In addition, the Committee approved grants to 73 other employees that will be effective on the same date and that will have an aggregate value of $1,394,686, of which 5% of the value will be in nonqualified stock options, 15% in performance shares, and 80% in RSUs.</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January 27, 2007, the independent directors of the Board of Directors approved an increase in Mr. Slipsager’s target bonus for 2007 to 80 percent of his base pay. The bonus may range from 0 to 150 percent of the target amount based on Mr. Slipsager’s performance against the performance objectives. Mr. Slipsager’s base pay of $700,000 is unchanged.</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January 25, 2007, the Board of Directors approved the 2007 annual performance incentive program for executives and key employees, including James McClure, Executive Vice President of ABM and President, ABM Janitorial Services, George Sundby, Executive Vice President &amp; Chief Financial Officer, Steven Zaccagnini, Executive Vice President &amp; President, ABM Facility Services, and Linda Auwers, Senior Vice President &amp; General Counsel. The annual performance incentive program sets forth the criteria for determining if bonus payments to these executives, as well as other executives and key employees, will be more or less than target bonus amounts.</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Sundby’s 2007 target bonus is 50 percent of base pay. His bonus will be based 60 percent on Company performance (“Company Results”) and 40 percent on his individual performance in providing strategic leadership, employee leadership, and compliance and administration (“Individual Performance”). The Company Results component of the bonus may range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line="257" w:lineRule="auto"/>
        <w:rPr>
          <w:sz w:val="20"/>
          <w:szCs w:val="20"/>
          <w:color w:val="auto"/>
        </w:rPr>
      </w:pPr>
      <w:r>
        <w:rPr>
          <w:rFonts w:ascii="Arial" w:cs="Arial" w:eastAsia="Arial" w:hAnsi="Arial"/>
          <w:sz w:val="18"/>
          <w:szCs w:val="18"/>
          <w:color w:val="auto"/>
        </w:rPr>
        <w:t>zero to 200 percent of the target amount of 30 percent of Mr. Sundby’s base pay. The Company Results component is based on certain targets for income from continuing operations (“Company Income”) subject to discretionary strategic results modifiers (“Strategic Results Modifiers”). The Company Results bonus is subject to the achievement of a threshold Company Income amount. The performance metrics for the Strategic Results Modifiers include revenue growth, operating profit margins, cash flow, cost reduction and other strategic performance targets. The Individual Performance component of the bonus may range from 0 to 150 percent of the target amount of 20 percent of Mr. Sundby’s base pay.</w:t>
      </w:r>
    </w:p>
    <w:p>
      <w:pPr>
        <w:spacing w:after="0" w:line="8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Mr. McClure’s 2007 target bonus is 65 percent of base pay. His bonus will be based 20 percent on Company Results, 40 percent on the operational performance of the Company’s janitorial subsidiaries (“Janitorial Results”), and 40 percent on Individual Performance. With respect to the Company Results and Individual Performance components, the payment and goals correspond to Mr. Sundby’s other than the target amount for the Company Results bonus component is 13 percent of Mr. McClure’s base pay and the target amount for the Individual Performance component is 26 percent of Mr. McClure’s base pay. The Janitorial Results component of the bonus may range from zero to 200 percent of the target amount of 26 percent of Mr. McClure’s base pay. The Janitorial Results component is based on the Company’s janitorial subsidiaries achieving certain pre-tax net income targets (“Janitorial Income”) subject to a strategic results modifier based upon achievement of certain days sales outstanding targets. The Janitorial Results component is subject to achievement of a threshold amount of Janitorial Income.</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Zaccagnini’s 2007 target bonus is 55 percent of base pay. His bonus will be based on the same criteria as Mr. McClure’s except the operations component of his bonus will reflect certain pre-tax net income targets for the Company’s Engineering, Parking, Lighting and Security subsidiaries and be subject to achievement of threshold amounts of pre-tax net income with respect to each of these businesses.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Ms. Auwers’s 2007 target bonus is 40 percent of base pay. Her bonus will be based 50 percent on Company Results, 20 percent on functional performance (“Functional Performance”), and 30 percent on Individual Performance. With respect to the Company Results and Individual Performance components, the payment and goals correspond to Mr. Sundby other than the target amount for the Company Results bonus component is 20 percent of Ms. Auwers’s base pay and the target amount for the Individual Performance component is 12 percent of Ms. Auwers’s base pay. The Functional Performance component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Ms. Auwers’s bonus will be based on the performance of the Legal Department that she heads in meeting its major objectives for the year and may range from 0 to 150 percent of the target amount of 8 percent of her base pay.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Mr. Slipsager is not included in the 2007 annual performance incentive plan, although his 2007 performance objectives reflect a number of similar objectives.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may also decide to pay bonuses outside the annual performance incentive program.</w:t>
      </w:r>
    </w:p>
    <w:p>
      <w:pPr>
        <w:spacing w:after="0" w:line="21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u w:val="single" w:color="auto"/>
          <w:color w:val="auto"/>
        </w:rPr>
        <w:t>Financial Statements and Exhibits.</w:t>
      </w:r>
    </w:p>
    <w:p>
      <w:pPr>
        <w:spacing w:after="0" w:line="117"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99.1  2007 Performance Objectives for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ABM INDUSTRIES INCORPORATED</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January 30, 2007</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Linda S. Auwers</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S. Auwers</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General Counsel</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5" w:name="page6"/>
    <w:bookmarkEnd w:id="5"/>
    <w:p>
      <w:pPr>
        <w:spacing w:after="0" w:line="32"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99.1  2007 Performance Objectives for Chief Executive Officer.</w:t>
      </w:r>
    </w:p>
    <w:p>
      <w:pPr>
        <w:sectPr>
          <w:pgSz w:w="11900" w:h="16838" w:orient="portrait"/>
          <w:cols w:equalWidth="0" w:num="1">
            <w:col w:w="10219"/>
          </w:cols>
          <w:pgMar w:left="240" w:top="144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Objectives for Chief Executive Officer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ABM Industries Incorporated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Year 2007</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Mission: To continue the focus on maximizing shareholder value while defining excellence in Facility Services. For success the following short and long-term objectives are key:</w:t>
      </w:r>
    </w:p>
    <w:p>
      <w:pPr>
        <w:spacing w:after="0" w:line="62" w:lineRule="exact"/>
        <w:rPr>
          <w:sz w:val="20"/>
          <w:szCs w:val="20"/>
          <w:color w:val="auto"/>
        </w:rPr>
      </w:pPr>
    </w:p>
    <w:p>
      <w:pPr>
        <w:ind w:left="660" w:right="12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Goals: Achieve or exceed the profit budget for fiscal 2007 as reviewed by the Board, adjusted to reflect acquisitions and divestitures. Continue to focus on and generate positive cash-flow for the Company, including but not limited to the timely collection of accounts receivable and the avoidance of bad debts. Meet or exceed consolidated revenue goals.</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Company’s prudent acquisition program, including:</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 activity in larger acquisitions consistent with board-adopted growth plan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Complete integration of consummated acquisitions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Enhance acquisition and development team</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Initiate international expansion.</w:t>
      </w:r>
    </w:p>
    <w:p>
      <w:pPr>
        <w:spacing w:after="0" w:line="117"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develop and structure a strong senior management team and a team of strong operating division presidents and executives. Cascade Succession Planning and Leadership Development process within Divisions, increase emphasis on performance-based culture, diversity and employee communication. Continue to provide personal leadership and “tone at the top” including coaching, mentoring and evaluating executives to help them meet expectations.</w:t>
      </w:r>
    </w:p>
    <w:p>
      <w:pPr>
        <w:spacing w:after="0" w:line="92" w:lineRule="exact"/>
        <w:rPr>
          <w:rFonts w:ascii="Arial" w:cs="Arial" w:eastAsia="Arial" w:hAnsi="Arial"/>
          <w:sz w:val="18"/>
          <w:szCs w:val="18"/>
          <w:color w:val="auto"/>
        </w:rPr>
      </w:pPr>
    </w:p>
    <w:p>
      <w:pPr>
        <w:ind w:left="660" w:right="38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the process of evaluating possible updates to ABM and ABM subsidiary branding strategies to better differentiate and expand ABM’s market leadership position. Make recommendation to Board on branding strategy and associated costs and begin implementation of approved changes.</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Finalize Plan and begin implementation of Shared Service platform to leverage organizational and operational efficiencies.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2019-12-13T15:26:39Z</dcterms:created>
  <dcterms:modified xsi:type="dcterms:W3CDTF">2019-12-13T15:26:39Z</dcterms:modified>
</cp:coreProperties>
</file>