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134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30,256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21,999 RSUs and DERS relating to the RSUs, adjusted to reflect the cumulative effect of fractional shares, 1,337 performance shares earned but not vested with respect to TSR performance shares granted on 9/8/2015,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05/08/2018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2019-12-23T21:54:49Z</dcterms:created>
  <dcterms:modified xsi:type="dcterms:W3CDTF">2019-12-23T21:54:49Z</dcterms:modified>
</cp:coreProperties>
</file>