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WALLACE GARY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Sr.VP/Dir.Bus.Development</w:t>
      </w:r>
    </w:p>
    <w:p>
      <w:pPr>
        <w:spacing w:after="0" w:line="406"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08/02/2010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76"/>
                <w:vertAlign w:val="subscript"/>
              </w:rPr>
              <w:t>37</w:t>
            </w:r>
            <w:r>
              <w:rPr>
                <w:rFonts w:ascii="Arial" w:cs="Arial" w:eastAsia="Arial" w:hAnsi="Arial"/>
                <w:sz w:val="11"/>
                <w:szCs w:val="11"/>
                <w:color w:val="008000"/>
                <w:w w:val="76"/>
              </w:rPr>
              <w:t>(1)</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21.96</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18,147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31</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08/02/2010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8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31</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7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31</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(RSUs) granted under the 2006 Equity Incentive Plan. DERs vest in the same manner as the RSUs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3,570 RSUs and DERs relating to the RSUs, adjusted to reflect the cumulative effect of fractional shares, and 2,650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DERs accrued on performance shares granted on 1/8/2008 under the 2006 Equity Incentive Plan. DERs vest in the same manner as the performance shares to which they relate. Each DER is the economic equivalent to one share of ABM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2019-12-17T04:13:45Z</dcterms:created>
  <dcterms:modified xsi:type="dcterms:W3CDTF">2019-12-17T04:13:45Z</dcterms:modified>
</cp:coreProperties>
</file>