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16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168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SLIPSAGER HENRIK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tcBorders>
              <w:top w:val="single" w:sz="8" w:color="2C2C2C"/>
              <w:bottom w:val="single" w:sz="8" w:color="2C2C2C"/>
            </w:tcBorders>
            <w:gridSpan w:val="6"/>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372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gridSpan w:val="8"/>
            <w:vMerge w:val="continue"/>
          </w:tcPr>
          <w:p>
            <w:pPr>
              <w:spacing w:after="0"/>
              <w:rPr>
                <w:sz w:val="12"/>
                <w:szCs w:val="12"/>
                <w:color w:val="auto"/>
              </w:rPr>
            </w:pPr>
          </w:p>
        </w:tc>
        <w:tc>
          <w:tcPr>
            <w:tcW w:w="372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line="176" w:lineRule="exact"/>
              <w:rPr>
                <w:sz w:val="20"/>
                <w:szCs w:val="20"/>
                <w:color w:val="auto"/>
              </w:rPr>
            </w:pPr>
            <w:r>
              <w:rPr>
                <w:rFonts w:ascii="Arial" w:cs="Arial" w:eastAsia="Arial" w:hAnsi="Arial"/>
                <w:sz w:val="18"/>
                <w:szCs w:val="18"/>
                <w:color w:val="0000FF"/>
              </w:rPr>
              <w:t>CITY</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ind w:left="180"/>
              <w:spacing w:after="0" w:line="102" w:lineRule="exact"/>
              <w:rPr>
                <w:sz w:val="20"/>
                <w:szCs w:val="20"/>
                <w:color w:val="auto"/>
              </w:rPr>
            </w:pPr>
            <w:r>
              <w:rPr>
                <w:rFonts w:ascii="Arial" w:cs="Arial" w:eastAsia="Arial" w:hAnsi="Arial"/>
                <w:sz w:val="11"/>
                <w:szCs w:val="11"/>
                <w:color w:val="auto"/>
              </w:rPr>
              <w:t>Person</w:t>
            </w: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40" w:type="dxa"/>
            <w:vAlign w:val="bottom"/>
            <w:tcBorders>
              <w:bottom w:val="single" w:sz="8" w:color="2C2C2C"/>
            </w:tcBorders>
            <w:gridSpan w:val="9"/>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4"/>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00"/>
              <w:spacing w:after="0"/>
              <w:rPr>
                <w:sz w:val="20"/>
                <w:szCs w:val="20"/>
                <w:color w:val="auto"/>
              </w:rPr>
            </w:pPr>
            <w:r>
              <w:rPr>
                <w:rFonts w:ascii="Arial" w:cs="Arial" w:eastAsia="Arial" w:hAnsi="Arial"/>
                <w:sz w:val="18"/>
                <w:szCs w:val="18"/>
                <w:color w:val="0000FF"/>
              </w:rPr>
              <w:t>02/01/2010</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522</w:t>
            </w:r>
            <w:r>
              <w:rPr>
                <w:rFonts w:ascii="Arial" w:cs="Arial" w:eastAsia="Arial" w:hAnsi="Arial"/>
                <w:sz w:val="22"/>
                <w:szCs w:val="22"/>
                <w:color w:val="008000"/>
                <w:w w:val="83"/>
                <w:vertAlign w:val="superscript"/>
              </w:rPr>
              <w:t>(1)</w:t>
            </w:r>
          </w:p>
        </w:tc>
        <w:tc>
          <w:tcPr>
            <w:tcW w:w="5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19.6</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159,494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3"/>
          </w:tcPr>
          <w:p>
            <w:pPr>
              <w:jc w:val="right"/>
              <w:ind w:right="21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6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190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02/01/2010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190</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190</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54,519 RSUs and DERs relating to the RSUs, adjusted to reflect the cumulative effect of fractional shares, and 23,399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the performance shares granted on 1/8/2008 under the 2006 Equity Incentive Plan. DERs vest in the same manner as the performance shares to which they relate. Each DER is the economic equivalent of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7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2019-12-17T04:16:53Z</dcterms:created>
  <dcterms:modified xsi:type="dcterms:W3CDTF">2019-12-17T04:16:53Z</dcterms:modified>
</cp:coreProperties>
</file>