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4"/>
          <w:szCs w:val="24"/>
          <w:color w:val="auto"/>
        </w:rPr>
      </w:pPr>
    </w:p>
    <w:p>
      <w:pPr>
        <w:ind w:left="5280" w:right="1779" w:hanging="4739"/>
        <w:spacing w:after="0" w:line="378" w:lineRule="auto"/>
        <w:rPr>
          <w:sz w:val="20"/>
          <w:szCs w:val="20"/>
          <w:color w:val="auto"/>
        </w:rPr>
      </w:pPr>
      <w:r>
        <w:rPr>
          <w:rFonts w:ascii="Courier New" w:cs="Courier New" w:eastAsia="Courier New" w:hAnsi="Courier New"/>
          <w:sz w:val="16"/>
          <w:szCs w:val="16"/>
          <w:color w:val="auto"/>
        </w:rPr>
        <w:t>As filed with the Securities and Exchange Commission on April 22, 1999 Registration No. 333-_________</w:t>
      </w:r>
    </w:p>
    <w:p>
      <w:pPr>
        <w:spacing w:after="0" w:line="207"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FORM S-8</w:t>
      </w:r>
    </w:p>
    <w:p>
      <w:pPr>
        <w:spacing w:after="0" w:line="2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REGISTRATION STATEMENT</w:t>
      </w:r>
    </w:p>
    <w:p>
      <w:pPr>
        <w:jc w:val="center"/>
        <w:ind w:right="1779"/>
        <w:spacing w:after="0"/>
        <w:rPr>
          <w:sz w:val="20"/>
          <w:szCs w:val="20"/>
          <w:color w:val="auto"/>
        </w:rPr>
      </w:pPr>
      <w:r>
        <w:rPr>
          <w:rFonts w:ascii="Courier New" w:cs="Courier New" w:eastAsia="Courier New" w:hAnsi="Courier New"/>
          <w:sz w:val="18"/>
          <w:szCs w:val="18"/>
          <w:color w:val="auto"/>
        </w:rPr>
        <w:t>UNDER THE SECURITIES ACT OF 1933</w:t>
      </w:r>
    </w:p>
    <w:p>
      <w:pPr>
        <w:spacing w:after="0" w:line="37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ABM INDUSTRIES INCORPORATED</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168"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3840" w:type="dxa"/>
            <w:vAlign w:val="bottom"/>
          </w:tcPr>
          <w:p>
            <w:pPr>
              <w:ind w:left="1160"/>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6"/>
              </w:rPr>
              <w:t>94-1369354</w:t>
            </w:r>
          </w:p>
        </w:tc>
      </w:tr>
      <w:tr>
        <w:trPr>
          <w:trHeight w:val="203"/>
        </w:trPr>
        <w:tc>
          <w:tcPr>
            <w:tcW w:w="384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2900" w:type="dxa"/>
            <w:vAlign w:val="bottom"/>
          </w:tcPr>
          <w:p>
            <w:pPr>
              <w:jc w:val="center"/>
              <w:ind w:left="492"/>
              <w:spacing w:after="0" w:line="203" w:lineRule="exact"/>
              <w:rPr>
                <w:sz w:val="20"/>
                <w:szCs w:val="20"/>
                <w:color w:val="auto"/>
              </w:rPr>
            </w:pPr>
            <w:r>
              <w:rPr>
                <w:rFonts w:ascii="Courier New" w:cs="Courier New" w:eastAsia="Courier New" w:hAnsi="Courier New"/>
                <w:sz w:val="18"/>
                <w:szCs w:val="18"/>
                <w:color w:val="auto"/>
                <w:w w:val="97"/>
              </w:rPr>
              <w:t>(I.R.S. employer</w:t>
            </w:r>
          </w:p>
        </w:tc>
      </w:tr>
      <w:tr>
        <w:trPr>
          <w:trHeight w:val="296"/>
        </w:trPr>
        <w:tc>
          <w:tcPr>
            <w:tcW w:w="3840" w:type="dxa"/>
            <w:vAlign w:val="bottom"/>
          </w:tcPr>
          <w:p>
            <w:pPr>
              <w:spacing w:after="0"/>
              <w:rPr>
                <w:sz w:val="20"/>
                <w:szCs w:val="20"/>
                <w:color w:val="auto"/>
              </w:rPr>
            </w:pPr>
            <w:r>
              <w:rPr>
                <w:rFonts w:ascii="Courier New" w:cs="Courier New" w:eastAsia="Courier New" w:hAnsi="Courier New"/>
                <w:sz w:val="18"/>
                <w:szCs w:val="18"/>
                <w:color w:val="auto"/>
              </w:rPr>
              <w:t>incorporation or organization)</w:t>
            </w:r>
          </w:p>
        </w:tc>
        <w:tc>
          <w:tcPr>
            <w:tcW w:w="2900" w:type="dxa"/>
            <w:vAlign w:val="bottom"/>
          </w:tcPr>
          <w:p>
            <w:pPr>
              <w:jc w:val="center"/>
              <w:ind w:left="492"/>
              <w:spacing w:after="0"/>
              <w:rPr>
                <w:sz w:val="20"/>
                <w:szCs w:val="20"/>
                <w:color w:val="auto"/>
              </w:rPr>
            </w:pPr>
            <w:r>
              <w:rPr>
                <w:rFonts w:ascii="Courier New" w:cs="Courier New" w:eastAsia="Courier New" w:hAnsi="Courier New"/>
                <w:sz w:val="18"/>
                <w:szCs w:val="18"/>
                <w:color w:val="auto"/>
                <w:w w:val="97"/>
              </w:rPr>
              <w:t>identification number)</w:t>
            </w:r>
          </w:p>
        </w:tc>
      </w:tr>
    </w:tbl>
    <w:p>
      <w:pPr>
        <w:spacing w:after="0" w:line="311" w:lineRule="exact"/>
        <w:rPr>
          <w:sz w:val="24"/>
          <w:szCs w:val="24"/>
          <w:color w:val="auto"/>
        </w:rPr>
      </w:pPr>
    </w:p>
    <w:p>
      <w:pPr>
        <w:ind w:left="1580" w:right="2739" w:hanging="631"/>
        <w:spacing w:after="0" w:line="402" w:lineRule="auto"/>
        <w:rPr>
          <w:sz w:val="20"/>
          <w:szCs w:val="20"/>
          <w:color w:val="auto"/>
        </w:rPr>
      </w:pPr>
      <w:r>
        <w:rPr>
          <w:rFonts w:ascii="Courier New" w:cs="Courier New" w:eastAsia="Courier New" w:hAnsi="Courier New"/>
          <w:sz w:val="16"/>
          <w:szCs w:val="16"/>
          <w:color w:val="auto"/>
        </w:rPr>
        <w:t>160 Pacific Avenue, Suite 222, San Francisco, California 94111 (Address of principal executive offices) (Zip Code)</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ABM INDUSTRIES INCORPORATED EMPLOYEE STOCK PURCHASE PLAN</w:t>
      </w:r>
    </w:p>
    <w:p>
      <w:pPr>
        <w:spacing w:after="0" w:line="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(Full title of the plan)</w:t>
      </w:r>
    </w:p>
    <w:p>
      <w:pPr>
        <w:spacing w:after="0" w:line="16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Harry H. Kahn, Esq.</w:t>
      </w:r>
    </w:p>
    <w:p>
      <w:pPr>
        <w:spacing w:after="0" w:line="29"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Vice President, General Counsel and Corporate Secretary</w:t>
      </w:r>
    </w:p>
    <w:p>
      <w:pPr>
        <w:jc w:val="center"/>
        <w:ind w:right="1679"/>
        <w:spacing w:after="0" w:line="238" w:lineRule="auto"/>
        <w:rPr>
          <w:sz w:val="20"/>
          <w:szCs w:val="20"/>
          <w:color w:val="auto"/>
        </w:rPr>
      </w:pPr>
      <w:r>
        <w:rPr>
          <w:rFonts w:ascii="Courier New" w:cs="Courier New" w:eastAsia="Courier New" w:hAnsi="Courier New"/>
          <w:sz w:val="18"/>
          <w:szCs w:val="18"/>
          <w:color w:val="auto"/>
        </w:rPr>
        <w:t>ABM Industries Incorporated</w:t>
      </w:r>
    </w:p>
    <w:p>
      <w:pPr>
        <w:jc w:val="center"/>
        <w:ind w:right="1679"/>
        <w:spacing w:after="0"/>
        <w:rPr>
          <w:sz w:val="20"/>
          <w:szCs w:val="20"/>
          <w:color w:val="auto"/>
        </w:rPr>
      </w:pPr>
      <w:r>
        <w:rPr>
          <w:rFonts w:ascii="Courier New" w:cs="Courier New" w:eastAsia="Courier New" w:hAnsi="Courier New"/>
          <w:sz w:val="18"/>
          <w:szCs w:val="18"/>
          <w:color w:val="auto"/>
        </w:rPr>
        <w:t>160 Pacific Avenue, Suite 222</w:t>
      </w:r>
    </w:p>
    <w:p>
      <w:pPr>
        <w:jc w:val="center"/>
        <w:ind w:right="1679"/>
        <w:spacing w:after="0" w:line="238" w:lineRule="auto"/>
        <w:rPr>
          <w:sz w:val="20"/>
          <w:szCs w:val="20"/>
          <w:color w:val="auto"/>
        </w:rPr>
      </w:pPr>
      <w:r>
        <w:rPr>
          <w:rFonts w:ascii="Courier New" w:cs="Courier New" w:eastAsia="Courier New" w:hAnsi="Courier New"/>
          <w:sz w:val="18"/>
          <w:szCs w:val="18"/>
          <w:color w:val="auto"/>
        </w:rPr>
        <w:t>San Francisco, California 94111</w:t>
      </w:r>
    </w:p>
    <w:p>
      <w:pPr>
        <w:jc w:val="center"/>
        <w:ind w:right="1679"/>
        <w:spacing w:after="0"/>
        <w:rPr>
          <w:sz w:val="20"/>
          <w:szCs w:val="20"/>
          <w:color w:val="auto"/>
        </w:rPr>
      </w:pPr>
      <w:r>
        <w:rPr>
          <w:rFonts w:ascii="Courier New" w:cs="Courier New" w:eastAsia="Courier New" w:hAnsi="Courier New"/>
          <w:sz w:val="18"/>
          <w:szCs w:val="18"/>
          <w:color w:val="auto"/>
        </w:rPr>
        <w:t>(Name and address of agent for service)</w:t>
      </w:r>
    </w:p>
    <w:p>
      <w:pPr>
        <w:spacing w:after="0" w:line="169"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(415) 733-4000</w:t>
      </w:r>
    </w:p>
    <w:p>
      <w:pPr>
        <w:spacing w:after="0" w:line="3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(Telephone number, including area code, of agent for service)</w:t>
      </w:r>
    </w:p>
    <w:p>
      <w:pPr>
        <w:spacing w:after="0" w:line="169"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Copy to:</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Leslie P. Jay</w:t>
      </w:r>
    </w:p>
    <w:p>
      <w:pPr>
        <w:spacing w:after="0" w:line="29"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Orrick, Herrington &amp; Sutcliffe LLP</w:t>
      </w:r>
    </w:p>
    <w:p>
      <w:pPr>
        <w:ind w:left="3280"/>
        <w:spacing w:after="0" w:line="238" w:lineRule="auto"/>
        <w:rPr>
          <w:sz w:val="20"/>
          <w:szCs w:val="20"/>
          <w:color w:val="auto"/>
        </w:rPr>
      </w:pPr>
      <w:r>
        <w:rPr>
          <w:rFonts w:ascii="Courier New" w:cs="Courier New" w:eastAsia="Courier New" w:hAnsi="Courier New"/>
          <w:sz w:val="18"/>
          <w:szCs w:val="18"/>
          <w:color w:val="auto"/>
        </w:rPr>
        <w:t>400 Sansome Street</w:t>
      </w:r>
    </w:p>
    <w:p>
      <w:pPr>
        <w:ind w:left="2640"/>
        <w:spacing w:after="0"/>
        <w:rPr>
          <w:sz w:val="20"/>
          <w:szCs w:val="20"/>
          <w:color w:val="auto"/>
        </w:rPr>
      </w:pPr>
      <w:r>
        <w:rPr>
          <w:rFonts w:ascii="Courier New" w:cs="Courier New" w:eastAsia="Courier New" w:hAnsi="Courier New"/>
          <w:sz w:val="18"/>
          <w:szCs w:val="18"/>
          <w:color w:val="auto"/>
        </w:rPr>
        <w:t>San Francisco, California 94111</w:t>
      </w:r>
    </w:p>
    <w:p>
      <w:pPr>
        <w:spacing w:after="0" w:line="16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CALCULATION OF REGISTRATION FEE</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p>
    <w:tbl>
      <w:tblPr>
        <w:tblLayout w:type="fixed"/>
        <w:tblInd w:w="420" w:type="dxa"/>
        <w:tblCellMar>
          <w:top w:w="0" w:type="dxa"/>
          <w:left w:w="0" w:type="dxa"/>
          <w:bottom w:w="0" w:type="dxa"/>
          <w:right w:w="0" w:type="dxa"/>
        </w:tblCellMar>
      </w:tblPr>
      <w:tr>
        <w:trPr>
          <w:trHeight w:val="204"/>
        </w:trPr>
        <w:tc>
          <w:tcPr>
            <w:tcW w:w="1540" w:type="dxa"/>
            <w:vAlign w:val="bottom"/>
          </w:tcPr>
          <w:p>
            <w:pPr>
              <w:jc w:val="center"/>
              <w:ind w:right="372"/>
              <w:spacing w:after="0"/>
              <w:rPr>
                <w:sz w:val="20"/>
                <w:szCs w:val="20"/>
                <w:color w:val="auto"/>
              </w:rPr>
            </w:pPr>
            <w:r>
              <w:rPr>
                <w:rFonts w:ascii="Courier New" w:cs="Courier New" w:eastAsia="Courier New" w:hAnsi="Courier New"/>
                <w:sz w:val="18"/>
                <w:szCs w:val="18"/>
                <w:color w:val="auto"/>
                <w:w w:val="97"/>
              </w:rPr>
              <w:t>Title of</w:t>
            </w:r>
          </w:p>
        </w:tc>
        <w:tc>
          <w:tcPr>
            <w:tcW w:w="1840" w:type="dxa"/>
            <w:vAlign w:val="bottom"/>
            <w:vMerge w:val="restart"/>
          </w:tcPr>
          <w:p>
            <w:pPr>
              <w:ind w:left="680"/>
              <w:spacing w:after="0"/>
              <w:rPr>
                <w:sz w:val="20"/>
                <w:szCs w:val="20"/>
                <w:color w:val="auto"/>
              </w:rPr>
            </w:pPr>
            <w:r>
              <w:rPr>
                <w:rFonts w:ascii="Courier New" w:cs="Courier New" w:eastAsia="Courier New" w:hAnsi="Courier New"/>
                <w:sz w:val="18"/>
                <w:szCs w:val="18"/>
                <w:color w:val="auto"/>
              </w:rPr>
              <w:t>Amount</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7"/>
              </w:rPr>
              <w:t>Proposed</w:t>
            </w:r>
          </w:p>
        </w:tc>
        <w:tc>
          <w:tcPr>
            <w:tcW w:w="1740" w:type="dxa"/>
            <w:vAlign w:val="bottom"/>
          </w:tcPr>
          <w:p>
            <w:pPr>
              <w:ind w:left="360"/>
              <w:spacing w:after="0"/>
              <w:rPr>
                <w:sz w:val="20"/>
                <w:szCs w:val="20"/>
                <w:color w:val="auto"/>
              </w:rPr>
            </w:pPr>
            <w:r>
              <w:rPr>
                <w:rFonts w:ascii="Courier New" w:cs="Courier New" w:eastAsia="Courier New" w:hAnsi="Courier New"/>
                <w:sz w:val="18"/>
                <w:szCs w:val="18"/>
                <w:color w:val="auto"/>
              </w:rPr>
              <w:t>Proposed</w:t>
            </w:r>
          </w:p>
        </w:tc>
        <w:tc>
          <w:tcPr>
            <w:tcW w:w="1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Amount of</w:t>
            </w:r>
          </w:p>
        </w:tc>
        <w:tc>
          <w:tcPr>
            <w:tcW w:w="0" w:type="dxa"/>
            <w:vAlign w:val="bottom"/>
          </w:tcPr>
          <w:p>
            <w:pPr>
              <w:spacing w:after="0"/>
              <w:rPr>
                <w:sz w:val="1"/>
                <w:szCs w:val="1"/>
                <w:color w:val="auto"/>
              </w:rPr>
            </w:pPr>
          </w:p>
        </w:tc>
      </w:tr>
      <w:tr>
        <w:trPr>
          <w:trHeight w:val="203"/>
        </w:trPr>
        <w:tc>
          <w:tcPr>
            <w:tcW w:w="154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Securities</w:t>
            </w:r>
          </w:p>
        </w:tc>
        <w:tc>
          <w:tcPr>
            <w:tcW w:w="1840" w:type="dxa"/>
            <w:vAlign w:val="bottom"/>
            <w:vMerge w:val="continue"/>
          </w:tcPr>
          <w:p>
            <w:pPr>
              <w:spacing w:after="0"/>
              <w:rPr>
                <w:sz w:val="17"/>
                <w:szCs w:val="17"/>
                <w:color w:val="auto"/>
              </w:rPr>
            </w:pPr>
          </w:p>
        </w:tc>
        <w:tc>
          <w:tcPr>
            <w:tcW w:w="20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Maximum</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Maximum</w:t>
            </w:r>
          </w:p>
        </w:tc>
        <w:tc>
          <w:tcPr>
            <w:tcW w:w="1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 be</w:t>
            </w:r>
          </w:p>
        </w:tc>
        <w:tc>
          <w:tcPr>
            <w:tcW w:w="184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to be</w:t>
            </w:r>
          </w:p>
        </w:tc>
        <w:tc>
          <w:tcPr>
            <w:tcW w:w="20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Offering Price</w:t>
            </w:r>
          </w:p>
        </w:tc>
        <w:tc>
          <w:tcPr>
            <w:tcW w:w="174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Aggregate</w:t>
            </w:r>
          </w:p>
        </w:tc>
        <w:tc>
          <w:tcPr>
            <w:tcW w:w="1580" w:type="dxa"/>
            <w:vAlign w:val="bottom"/>
          </w:tcPr>
          <w:p>
            <w:pPr>
              <w:jc w:val="center"/>
              <w:ind w:left="212"/>
              <w:spacing w:after="0" w:line="203" w:lineRule="exact"/>
              <w:rPr>
                <w:sz w:val="20"/>
                <w:szCs w:val="20"/>
                <w:color w:val="auto"/>
              </w:rPr>
            </w:pPr>
            <w:r>
              <w:rPr>
                <w:rFonts w:ascii="Courier New" w:cs="Courier New" w:eastAsia="Courier New" w:hAnsi="Courier New"/>
                <w:sz w:val="18"/>
                <w:szCs w:val="18"/>
                <w:color w:val="auto"/>
                <w:w w:val="98"/>
              </w:rPr>
              <w:t>Registration</w:t>
            </w:r>
          </w:p>
        </w:tc>
        <w:tc>
          <w:tcPr>
            <w:tcW w:w="0" w:type="dxa"/>
            <w:vAlign w:val="bottom"/>
          </w:tcPr>
          <w:p>
            <w:pPr>
              <w:spacing w:after="0"/>
              <w:rPr>
                <w:sz w:val="1"/>
                <w:szCs w:val="1"/>
                <w:color w:val="auto"/>
              </w:rPr>
            </w:pPr>
          </w:p>
        </w:tc>
      </w:tr>
      <w:tr>
        <w:trPr>
          <w:trHeight w:val="235"/>
        </w:trPr>
        <w:tc>
          <w:tcPr>
            <w:tcW w:w="1540" w:type="dxa"/>
            <w:vAlign w:val="bottom"/>
          </w:tcPr>
          <w:p>
            <w:pPr>
              <w:jc w:val="center"/>
              <w:ind w:right="392"/>
              <w:spacing w:after="0"/>
              <w:rPr>
                <w:sz w:val="20"/>
                <w:szCs w:val="20"/>
                <w:color w:val="auto"/>
              </w:rPr>
            </w:pPr>
            <w:r>
              <w:rPr>
                <w:rFonts w:ascii="Courier New" w:cs="Courier New" w:eastAsia="Courier New" w:hAnsi="Courier New"/>
                <w:sz w:val="18"/>
                <w:szCs w:val="18"/>
                <w:color w:val="auto"/>
                <w:w w:val="98"/>
              </w:rPr>
              <w:t>Registered</w:t>
            </w:r>
          </w:p>
        </w:tc>
        <w:tc>
          <w:tcPr>
            <w:tcW w:w="1840" w:type="dxa"/>
            <w:vAlign w:val="bottom"/>
          </w:tcPr>
          <w:p>
            <w:pPr>
              <w:ind w:left="480"/>
              <w:spacing w:after="0"/>
              <w:rPr>
                <w:sz w:val="20"/>
                <w:szCs w:val="20"/>
                <w:color w:val="auto"/>
              </w:rPr>
            </w:pPr>
            <w:r>
              <w:rPr>
                <w:rFonts w:ascii="Courier New" w:cs="Courier New" w:eastAsia="Courier New" w:hAnsi="Courier New"/>
                <w:sz w:val="18"/>
                <w:szCs w:val="18"/>
                <w:color w:val="auto"/>
              </w:rPr>
              <w:t>Registered</w:t>
            </w:r>
          </w:p>
        </w:tc>
        <w:tc>
          <w:tcPr>
            <w:tcW w:w="2060" w:type="dxa"/>
            <w:vAlign w:val="bottom"/>
          </w:tcPr>
          <w:p>
            <w:pPr>
              <w:jc w:val="center"/>
              <w:spacing w:after="0"/>
              <w:rPr>
                <w:sz w:val="20"/>
                <w:szCs w:val="20"/>
                <w:color w:val="auto"/>
              </w:rPr>
            </w:pPr>
            <w:r>
              <w:rPr>
                <w:rFonts w:ascii="Courier New" w:cs="Courier New" w:eastAsia="Courier New" w:hAnsi="Courier New"/>
                <w:sz w:val="18"/>
                <w:szCs w:val="18"/>
                <w:color w:val="auto"/>
                <w:w w:val="97"/>
              </w:rPr>
              <w:t>Per Share(1)</w:t>
            </w:r>
          </w:p>
        </w:tc>
        <w:tc>
          <w:tcPr>
            <w:tcW w:w="1740" w:type="dxa"/>
            <w:vAlign w:val="bottom"/>
          </w:tcPr>
          <w:p>
            <w:pPr>
              <w:jc w:val="center"/>
              <w:spacing w:after="0"/>
              <w:rPr>
                <w:sz w:val="20"/>
                <w:szCs w:val="20"/>
                <w:color w:val="auto"/>
              </w:rPr>
            </w:pPr>
            <w:r>
              <w:rPr>
                <w:rFonts w:ascii="Courier New" w:cs="Courier New" w:eastAsia="Courier New" w:hAnsi="Courier New"/>
                <w:sz w:val="18"/>
                <w:szCs w:val="18"/>
                <w:color w:val="auto"/>
                <w:w w:val="97"/>
              </w:rPr>
              <w:t>Offering(1)</w:t>
            </w:r>
          </w:p>
        </w:tc>
        <w:tc>
          <w:tcPr>
            <w:tcW w:w="1580" w:type="dxa"/>
            <w:vAlign w:val="bottom"/>
          </w:tcPr>
          <w:p>
            <w:pPr>
              <w:jc w:val="center"/>
              <w:ind w:left="212"/>
              <w:spacing w:after="0"/>
              <w:rPr>
                <w:sz w:val="20"/>
                <w:szCs w:val="20"/>
                <w:color w:val="auto"/>
              </w:rPr>
            </w:pPr>
            <w:r>
              <w:rPr>
                <w:rFonts w:ascii="Courier New" w:cs="Courier New" w:eastAsia="Courier New" w:hAnsi="Courier New"/>
                <w:sz w:val="18"/>
                <w:szCs w:val="18"/>
                <w:color w:val="auto"/>
                <w:w w:val="98"/>
              </w:rPr>
              <w:t>Fee(1)</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 ---------------------------------------------------------------------------------------</w:t>
      </w:r>
    </w:p>
    <w:p>
      <w:pPr>
        <w:spacing w:after="0" w:line="192"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060" w:type="dxa"/>
            <w:vAlign w:val="bottom"/>
          </w:tcPr>
          <w:p>
            <w:pPr>
              <w:spacing w:after="0"/>
              <w:rPr>
                <w:sz w:val="20"/>
                <w:szCs w:val="20"/>
                <w:color w:val="auto"/>
              </w:rPr>
            </w:pPr>
            <w:r>
              <w:rPr>
                <w:rFonts w:ascii="Courier New" w:cs="Courier New" w:eastAsia="Courier New" w:hAnsi="Courier New"/>
                <w:sz w:val="18"/>
                <w:szCs w:val="18"/>
                <w:color w:val="auto"/>
              </w:rPr>
              <w:t>Common Stock, par   1,200,000 shares</w:t>
            </w:r>
          </w:p>
        </w:tc>
        <w:tc>
          <w:tcPr>
            <w:tcW w:w="15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$30.21875</w:t>
            </w:r>
          </w:p>
        </w:tc>
        <w:tc>
          <w:tcPr>
            <w:tcW w:w="2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$36,262,500.00</w:t>
            </w:r>
          </w:p>
        </w:tc>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$10,081.00</w:t>
            </w:r>
          </w:p>
        </w:tc>
      </w:tr>
    </w:tbl>
    <w:p>
      <w:pPr>
        <w:ind w:left="220"/>
        <w:spacing w:after="0" w:line="238" w:lineRule="auto"/>
        <w:rPr>
          <w:sz w:val="20"/>
          <w:szCs w:val="20"/>
          <w:color w:val="auto"/>
        </w:rPr>
      </w:pPr>
      <w:r>
        <w:rPr>
          <w:rFonts w:ascii="Courier New" w:cs="Courier New" w:eastAsia="Courier New" w:hAnsi="Courier New"/>
          <w:sz w:val="18"/>
          <w:szCs w:val="18"/>
          <w:color w:val="auto"/>
        </w:rPr>
        <w:t>value $.01 per</w:t>
      </w:r>
    </w:p>
    <w:p>
      <w:pPr>
        <w:ind w:left="540"/>
        <w:spacing w:after="0"/>
        <w:rPr>
          <w:sz w:val="20"/>
          <w:szCs w:val="20"/>
          <w:color w:val="auto"/>
        </w:rPr>
      </w:pPr>
      <w:r>
        <w:rPr>
          <w:rFonts w:ascii="Courier New" w:cs="Courier New" w:eastAsia="Courier New" w:hAnsi="Courier New"/>
          <w:sz w:val="18"/>
          <w:szCs w:val="18"/>
          <w:color w:val="auto"/>
        </w:rPr>
        <w:t>share(2)</w:t>
      </w: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540" w:right="1879" w:hanging="532"/>
        <w:spacing w:after="0" w:line="318"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Rule 457(h)(1), the proposed maximum offering price per share and the proposed maximum aggregate offering price have been calculated on the basis of $30.21875 per share, the average of the high and low price of the Common Stock on the New York Stock Exchange on April 20, 1999.</w:t>
      </w:r>
    </w:p>
    <w:p>
      <w:pPr>
        <w:spacing w:after="0" w:line="52" w:lineRule="exact"/>
        <w:rPr>
          <w:rFonts w:ascii="Courier New" w:cs="Courier New" w:eastAsia="Courier New" w:hAnsi="Courier New"/>
          <w:sz w:val="16"/>
          <w:szCs w:val="16"/>
          <w:color w:val="auto"/>
        </w:rPr>
      </w:pPr>
    </w:p>
    <w:p>
      <w:pPr>
        <w:ind w:left="540" w:right="1879" w:hanging="532"/>
        <w:spacing w:after="0" w:line="292"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Preferred Stock Purchase Rights which, prior to the occurrence of certain events, will not be exercisable or evidenced separately from the Common Stock.</w:t>
      </w:r>
    </w:p>
    <w:p>
      <w:pPr>
        <w:sectPr>
          <w:pgSz w:w="11900" w:h="16838" w:orient="portrait"/>
          <w:cols w:equalWidth="0" w:num="1">
            <w:col w:w="10219"/>
          </w:cols>
          <w:pgMar w:left="240" w:top="218" w:right="1440" w:bottom="1440" w:gutter="0" w:footer="0" w:header="0"/>
        </w:sectPr>
      </w:pPr>
    </w:p>
    <w:bookmarkStart w:id="1" w:name="page2"/>
    <w:bookmarkEnd w:id="1"/>
    <w:p>
      <w:pPr>
        <w:ind w:left="320"/>
        <w:spacing w:after="0"/>
        <w:rPr>
          <w:sz w:val="20"/>
          <w:szCs w:val="20"/>
          <w:color w:val="auto"/>
        </w:rPr>
      </w:pPr>
      <w:r>
        <w:rPr>
          <w:rFonts w:ascii="Courier New" w:cs="Courier New" w:eastAsia="Courier New" w:hAnsi="Courier New"/>
          <w:sz w:val="18"/>
          <w:szCs w:val="18"/>
          <w:color w:val="auto"/>
        </w:rPr>
        <w:t>2</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PART II</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INCORPORATION OF CERTAIN DOCUMENTS BY REFERENCE</w:t>
      </w:r>
    </w:p>
    <w:p>
      <w:pPr>
        <w:spacing w:after="0" w:line="201" w:lineRule="exact"/>
        <w:rPr>
          <w:sz w:val="20"/>
          <w:szCs w:val="20"/>
          <w:color w:val="auto"/>
        </w:rPr>
      </w:pPr>
    </w:p>
    <w:p>
      <w:pPr>
        <w:ind w:right="2519" w:firstLine="527"/>
        <w:spacing w:after="0" w:line="292" w:lineRule="auto"/>
        <w:rPr>
          <w:sz w:val="20"/>
          <w:szCs w:val="20"/>
          <w:color w:val="auto"/>
        </w:rPr>
      </w:pPr>
      <w:r>
        <w:rPr>
          <w:rFonts w:ascii="Courier New" w:cs="Courier New" w:eastAsia="Courier New" w:hAnsi="Courier New"/>
          <w:sz w:val="18"/>
          <w:szCs w:val="18"/>
          <w:color w:val="auto"/>
        </w:rPr>
        <w:t>The following documents filed by ABM Industries Incorporated (the "Company") with the Securities and Exchange Commission ("Commission") are incorporated by reference to this Registration Statement:</w:t>
      </w:r>
    </w:p>
    <w:p>
      <w:pPr>
        <w:spacing w:after="0" w:line="66" w:lineRule="exact"/>
        <w:rPr>
          <w:sz w:val="20"/>
          <w:szCs w:val="20"/>
          <w:color w:val="auto"/>
        </w:rPr>
      </w:pPr>
    </w:p>
    <w:p>
      <w:pPr>
        <w:ind w:left="1060" w:right="2199" w:hanging="525"/>
        <w:spacing w:after="0" w:line="34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Annual Report on Form 10-K for the fiscal year ended October 31, 1998.</w:t>
      </w:r>
    </w:p>
    <w:p>
      <w:pPr>
        <w:spacing w:after="0" w:line="18" w:lineRule="exact"/>
        <w:rPr>
          <w:rFonts w:ascii="Courier New" w:cs="Courier New" w:eastAsia="Courier New" w:hAnsi="Courier New"/>
          <w:sz w:val="18"/>
          <w:szCs w:val="18"/>
          <w:color w:val="auto"/>
        </w:rPr>
      </w:pPr>
    </w:p>
    <w:p>
      <w:pPr>
        <w:ind w:left="1060" w:right="2319" w:hanging="525"/>
        <w:spacing w:after="0" w:line="347"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Company's Quarterly Report on Form 10-Q for the quarter ended January 31, 1999.</w:t>
      </w:r>
    </w:p>
    <w:p>
      <w:pPr>
        <w:spacing w:after="0" w:line="18" w:lineRule="exact"/>
        <w:rPr>
          <w:rFonts w:ascii="Courier New" w:cs="Courier New" w:eastAsia="Courier New" w:hAnsi="Courier New"/>
          <w:sz w:val="18"/>
          <w:szCs w:val="18"/>
          <w:color w:val="auto"/>
        </w:rPr>
      </w:pPr>
    </w:p>
    <w:p>
      <w:pPr>
        <w:ind w:left="1060" w:right="1879" w:hanging="525"/>
        <w:spacing w:after="0" w:line="265" w:lineRule="auto"/>
        <w:tabs>
          <w:tab w:leader="none" w:pos="10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description of the Company's common stock and preferred stock purchase rights contained in registration statements filed under the Securities Exchange Act of 1934 (the "Exchange Act") on Form 8-A, including any subsequent amendment or report filed for the purpose of updating such description.</w:t>
      </w:r>
    </w:p>
    <w:p>
      <w:pPr>
        <w:spacing w:after="0" w:line="90"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All documents subsequently filed by the Company pursuant to Sections 13(a), 13(c), 14, and 15(d) of the Exchange Act, prior to the filing of a post-effective amendment which indicates that all securities offered have been sold or which deregisters all securities then remaining unsold, shall be deemed to be incorporated by reference in this Registration Statement and to be a part hereof from the date of filing of such documents.</w:t>
      </w:r>
    </w:p>
    <w:p>
      <w:pPr>
        <w:spacing w:after="0" w:line="93" w:lineRule="exact"/>
        <w:rPr>
          <w:sz w:val="20"/>
          <w:szCs w:val="20"/>
          <w:color w:val="auto"/>
        </w:rPr>
      </w:pPr>
    </w:p>
    <w:p>
      <w:pPr>
        <w:ind w:right="1779" w:firstLine="527"/>
        <w:spacing w:after="0" w:line="260" w:lineRule="auto"/>
        <w:rPr>
          <w:sz w:val="20"/>
          <w:szCs w:val="20"/>
          <w:color w:val="auto"/>
        </w:rPr>
      </w:pPr>
      <w:r>
        <w:rPr>
          <w:rFonts w:ascii="Courier New" w:cs="Courier New" w:eastAsia="Courier New" w:hAnsi="Courier New"/>
          <w:sz w:val="18"/>
          <w:szCs w:val="18"/>
          <w:color w:val="auto"/>
        </w:rPr>
        <w:t>The consolidated financial statements and financial statement schedules of the Company and its subsidiaries included in or incorporated by reference in the Company's Annual Report on Form 10-K for the fiscal year ended October 31, 1998 have been incorporated herein by reference in reliance upon the reports, also incorporated herein by reference, of KPMG LLP, independent auditors, given on their authority as experts in auditing and accounting.</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DESCRIPTION OF SECURITIES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INTERESTS OF NAMED EXPERTS AND COUNSEL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INDEMNIFICATION OF DIRECTORS AND OFFICERS</w:t>
      </w:r>
    </w:p>
    <w:p>
      <w:pPr>
        <w:spacing w:after="0" w:line="201" w:lineRule="exact"/>
        <w:rPr>
          <w:sz w:val="20"/>
          <w:szCs w:val="20"/>
          <w:color w:val="auto"/>
        </w:rPr>
      </w:pPr>
    </w:p>
    <w:p>
      <w:pPr>
        <w:ind w:right="1779" w:firstLine="527"/>
        <w:spacing w:after="0" w:line="276" w:lineRule="auto"/>
        <w:rPr>
          <w:sz w:val="20"/>
          <w:szCs w:val="20"/>
          <w:color w:val="auto"/>
        </w:rPr>
      </w:pPr>
      <w:r>
        <w:rPr>
          <w:rFonts w:ascii="Courier New" w:cs="Courier New" w:eastAsia="Courier New" w:hAnsi="Courier New"/>
          <w:sz w:val="16"/>
          <w:szCs w:val="16"/>
          <w:color w:val="auto"/>
        </w:rPr>
        <w:t>As authorized by Section 145 of the Delaware Corporation Law, the Company's Certificate of Incorporation eliminates the personal liability of its directors to the Company or its stockholders for monetary damages for any breach of fiduciary duty as a director, except for: (i) any breach of the duty of loyalty to the Company or its stockholders, (ii) acts or omissions not in good faith,</w:t>
      </w:r>
    </w:p>
    <w:p>
      <w:pPr>
        <w:spacing w:after="0" w:line="3" w:lineRule="exact"/>
        <w:rPr>
          <w:sz w:val="20"/>
          <w:szCs w:val="20"/>
          <w:color w:val="auto"/>
        </w:rPr>
      </w:pPr>
    </w:p>
    <w:p>
      <w:pPr>
        <w:ind w:right="2519" w:firstLine="8"/>
        <w:spacing w:after="0" w:line="378" w:lineRule="auto"/>
        <w:tabs>
          <w:tab w:leader="none" w:pos="632"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intentional misconduct or a knowing violation of law, or (iv) any transaction from which the director derived an improper personal benefit.</w:t>
      </w:r>
    </w:p>
    <w:p>
      <w:pPr>
        <w:spacing w:after="0" w:line="5" w:lineRule="exact"/>
        <w:rPr>
          <w:sz w:val="20"/>
          <w:szCs w:val="20"/>
          <w:color w:val="auto"/>
        </w:rPr>
      </w:pPr>
    </w:p>
    <w:p>
      <w:pPr>
        <w:ind w:right="1779" w:firstLine="527"/>
        <w:spacing w:after="0" w:line="318" w:lineRule="auto"/>
        <w:rPr>
          <w:sz w:val="20"/>
          <w:szCs w:val="20"/>
          <w:color w:val="auto"/>
        </w:rPr>
      </w:pPr>
      <w:r>
        <w:rPr>
          <w:rFonts w:ascii="Courier New" w:cs="Courier New" w:eastAsia="Courier New" w:hAnsi="Courier New"/>
          <w:sz w:val="16"/>
          <w:szCs w:val="16"/>
          <w:color w:val="auto"/>
        </w:rPr>
        <w:t>As authorized by Section 145 of the Delaware Corporation Law, the Company's By-Laws provide for the indemnification of the directors, officers, employees or agents of the Company in certain cases. Indemnification shall be provided to directors and officers of the Company, or of other enterprises if serving at</w:t>
      </w:r>
    </w:p>
    <w:p>
      <w:pPr>
        <w:spacing w:after="0" w:line="5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285" w:right="1440"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8"/>
          <w:szCs w:val="18"/>
          <w:color w:val="auto"/>
        </w:rPr>
        <w:t>3</w:t>
      </w:r>
    </w:p>
    <w:p>
      <w:pPr>
        <w:spacing w:after="0" w:line="31" w:lineRule="exact"/>
        <w:rPr>
          <w:sz w:val="20"/>
          <w:szCs w:val="20"/>
          <w:color w:val="auto"/>
        </w:rPr>
      </w:pPr>
    </w:p>
    <w:p>
      <w:pPr>
        <w:ind w:right="1779"/>
        <w:spacing w:after="0" w:line="244" w:lineRule="auto"/>
        <w:rPr>
          <w:sz w:val="20"/>
          <w:szCs w:val="20"/>
          <w:color w:val="auto"/>
        </w:rPr>
      </w:pPr>
      <w:r>
        <w:rPr>
          <w:rFonts w:ascii="Courier New" w:cs="Courier New" w:eastAsia="Courier New" w:hAnsi="Courier New"/>
          <w:sz w:val="18"/>
          <w:szCs w:val="18"/>
          <w:color w:val="auto"/>
        </w:rPr>
        <w:t>the request of the Company, against actual and reasonable costs, charges, expenses (including attorneys' fees), judgments, fines and amounts paid in settlement in connection with pending or completed actions, suits or proceedings, whether civil, criminal, administrative or investigative (other than action by or in the right of the Company) if the director or officer acted in good faith and in a manner reasonably believed to be in or not opposed to the best interest of the Company, and, with respect to any criminal action or proceeding, had no reasonable cause to believe the conduct was unlawful. Similar indemnification shall not be applicable to employees or agents of the Company, or of other enterprises if serving at the request of the Company (other than employees or agents who are also officers or directors of the Company or other enterprise, as the case may be), unless and until such indemnity is specifically approved by the Board of Directors.</w:t>
      </w:r>
    </w:p>
    <w:p>
      <w:pPr>
        <w:spacing w:after="0" w:line="109" w:lineRule="exact"/>
        <w:rPr>
          <w:sz w:val="20"/>
          <w:szCs w:val="20"/>
          <w:color w:val="auto"/>
        </w:rPr>
      </w:pPr>
    </w:p>
    <w:p>
      <w:pPr>
        <w:ind w:right="1779" w:firstLine="527"/>
        <w:spacing w:after="0" w:line="306" w:lineRule="auto"/>
        <w:rPr>
          <w:sz w:val="20"/>
          <w:szCs w:val="20"/>
          <w:color w:val="auto"/>
        </w:rPr>
      </w:pPr>
      <w:r>
        <w:rPr>
          <w:rFonts w:ascii="Courier New" w:cs="Courier New" w:eastAsia="Courier New" w:hAnsi="Courier New"/>
          <w:sz w:val="16"/>
          <w:szCs w:val="16"/>
          <w:color w:val="auto"/>
        </w:rPr>
        <w:t>If such proceeding is brought by or on the behalf of the Company, a similar standard of care is applicable, except that no indemnification shall be made with respect to any matter as to which such person is adjudged to be liable to the Company unless and only to the extent that the court shall determine such person is fairly and reasonably entitled to indemnification of such costs.</w:t>
      </w:r>
    </w:p>
    <w:p>
      <w:pPr>
        <w:spacing w:after="0" w:line="60" w:lineRule="exact"/>
        <w:rPr>
          <w:sz w:val="20"/>
          <w:szCs w:val="20"/>
          <w:color w:val="auto"/>
        </w:rPr>
      </w:pPr>
    </w:p>
    <w:p>
      <w:pPr>
        <w:ind w:right="1779" w:firstLine="527"/>
        <w:spacing w:after="0" w:line="274" w:lineRule="auto"/>
        <w:rPr>
          <w:sz w:val="20"/>
          <w:szCs w:val="20"/>
          <w:color w:val="auto"/>
        </w:rPr>
      </w:pPr>
      <w:r>
        <w:rPr>
          <w:rFonts w:ascii="Courier New" w:cs="Courier New" w:eastAsia="Courier New" w:hAnsi="Courier New"/>
          <w:sz w:val="18"/>
          <w:szCs w:val="18"/>
          <w:color w:val="auto"/>
        </w:rPr>
        <w:t>The Company's By-Laws further provide that, notwithstanding the foregoing, directors, officers, employees and agents shall be indemnified of all actual and reasonable costs to the extent that such persons are successful on the merits or otherwise.</w:t>
      </w:r>
    </w:p>
    <w:p>
      <w:pPr>
        <w:spacing w:after="0" w:line="82" w:lineRule="exact"/>
        <w:rPr>
          <w:sz w:val="20"/>
          <w:szCs w:val="20"/>
          <w:color w:val="auto"/>
        </w:rPr>
      </w:pPr>
    </w:p>
    <w:p>
      <w:pPr>
        <w:ind w:right="1779" w:firstLine="527"/>
        <w:spacing w:after="0" w:line="287" w:lineRule="auto"/>
        <w:rPr>
          <w:sz w:val="20"/>
          <w:szCs w:val="20"/>
          <w:color w:val="auto"/>
        </w:rPr>
      </w:pPr>
      <w:r>
        <w:rPr>
          <w:rFonts w:ascii="Courier New" w:cs="Courier New" w:eastAsia="Courier New" w:hAnsi="Courier New"/>
          <w:sz w:val="16"/>
          <w:szCs w:val="16"/>
          <w:color w:val="auto"/>
        </w:rPr>
        <w:t>In addition to the above, the Company has entered into Indemnification Agreements with its directors. The Indemnification Agreement provides directors with the same indemnification by the Company as set forth in the preceding paragraphs except that the Indemnification Agreement differs from the By-Laws in the following significant respects: (1) indemnification is provided to directors in excess of that provided by any insurance coverage; and (2) no indemnification is provided on account of any action commenced by the director in his or her individual right against the Company, its directors, officers and stockholders unless authorized by a majority of disinterested directors.</w:t>
      </w:r>
    </w:p>
    <w:p>
      <w:pPr>
        <w:spacing w:after="0" w:line="75" w:lineRule="exact"/>
        <w:rPr>
          <w:sz w:val="20"/>
          <w:szCs w:val="20"/>
          <w:color w:val="auto"/>
        </w:rPr>
      </w:pPr>
    </w:p>
    <w:p>
      <w:pPr>
        <w:ind w:right="1879" w:firstLine="527"/>
        <w:spacing w:after="0" w:line="260" w:lineRule="auto"/>
        <w:rPr>
          <w:sz w:val="20"/>
          <w:szCs w:val="20"/>
          <w:color w:val="auto"/>
        </w:rPr>
      </w:pPr>
      <w:r>
        <w:rPr>
          <w:rFonts w:ascii="Courier New" w:cs="Courier New" w:eastAsia="Courier New" w:hAnsi="Courier New"/>
          <w:sz w:val="18"/>
          <w:szCs w:val="18"/>
          <w:color w:val="auto"/>
        </w:rPr>
        <w:t>There exists directors' and officers' liability insurance presently outstanding which insures directors and officers of the Company. The losses covered by the policy are subject to certain exclusions and the policy contains certain deductible provisions. The Indemnification Agreements discussed in the preceding paragraph provide indemnification of all such exclusions and deductibles.</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EXEMPTION FROM REGISTRATION CLAIMED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EXHIBITS</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5.1</w:t>
      </w:r>
      <w:r>
        <w:rPr>
          <w:sz w:val="20"/>
          <w:szCs w:val="20"/>
          <w:color w:val="auto"/>
        </w:rPr>
        <w:tab/>
      </w:r>
      <w:r>
        <w:rPr>
          <w:rFonts w:ascii="Courier New" w:cs="Courier New" w:eastAsia="Courier New" w:hAnsi="Courier New"/>
          <w:sz w:val="16"/>
          <w:szCs w:val="16"/>
          <w:color w:val="auto"/>
        </w:rPr>
        <w:t>Opinion of Orrick, Herrington &amp; Sutcliffe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Consent of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23.2 Consent of Orrick, Herrington &amp; Sutcliffe LLP is included in Exhibit 5.1.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 of Attorney.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285" w:right="1440"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UNDERTAKINGS</w:t>
      </w:r>
    </w:p>
    <w:p>
      <w:pPr>
        <w:spacing w:after="0" w:line="201" w:lineRule="exact"/>
        <w:rPr>
          <w:sz w:val="20"/>
          <w:szCs w:val="20"/>
          <w:color w:val="auto"/>
        </w:rPr>
      </w:pPr>
    </w:p>
    <w:p>
      <w:pPr>
        <w:ind w:left="1060" w:hanging="525"/>
        <w:spacing w:after="0"/>
        <w:tabs>
          <w:tab w:leader="none" w:pos="10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w:t>
      </w:r>
    </w:p>
    <w:p>
      <w:pPr>
        <w:spacing w:after="0" w:line="201" w:lineRule="exact"/>
        <w:rPr>
          <w:rFonts w:ascii="Courier New" w:cs="Courier New" w:eastAsia="Courier New" w:hAnsi="Courier New"/>
          <w:sz w:val="18"/>
          <w:szCs w:val="18"/>
          <w:color w:val="auto"/>
        </w:rPr>
      </w:pPr>
    </w:p>
    <w:p>
      <w:pPr>
        <w:ind w:right="2199" w:firstLine="1061"/>
        <w:spacing w:after="0" w:line="347" w:lineRule="auto"/>
        <w:tabs>
          <w:tab w:leader="none" w:pos="1580" w:val="left"/>
        </w:tabs>
        <w:numPr>
          <w:ilvl w:val="1"/>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file, during any period in which offers or sales are being made, a post-effective amendment to this registration statement:</w:t>
      </w:r>
    </w:p>
    <w:p>
      <w:pPr>
        <w:spacing w:after="0" w:line="18" w:lineRule="exact"/>
        <w:rPr>
          <w:rFonts w:ascii="Courier New" w:cs="Courier New" w:eastAsia="Courier New" w:hAnsi="Courier New"/>
          <w:sz w:val="18"/>
          <w:szCs w:val="18"/>
          <w:color w:val="auto"/>
        </w:rPr>
      </w:pPr>
    </w:p>
    <w:p>
      <w:pPr>
        <w:ind w:right="2099" w:firstLine="1588"/>
        <w:spacing w:after="0" w:line="347" w:lineRule="auto"/>
        <w:tabs>
          <w:tab w:leader="none" w:pos="2107"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prospectus required by section 10(a)(3) of the Securities Act of 1933 (the "Securities Act");</w:t>
      </w:r>
    </w:p>
    <w:p>
      <w:pPr>
        <w:spacing w:after="0" w:line="18" w:lineRule="exact"/>
        <w:rPr>
          <w:rFonts w:ascii="Courier New" w:cs="Courier New" w:eastAsia="Courier New" w:hAnsi="Courier New"/>
          <w:sz w:val="18"/>
          <w:szCs w:val="18"/>
          <w:color w:val="auto"/>
        </w:rPr>
      </w:pPr>
    </w:p>
    <w:p>
      <w:pPr>
        <w:ind w:right="1879" w:firstLine="1588"/>
        <w:spacing w:after="0" w:line="265" w:lineRule="auto"/>
        <w:tabs>
          <w:tab w:leader="none" w:pos="2107"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w:t>
      </w:r>
    </w:p>
    <w:p>
      <w:pPr>
        <w:spacing w:after="0" w:line="89" w:lineRule="exact"/>
        <w:rPr>
          <w:rFonts w:ascii="Courier New" w:cs="Courier New" w:eastAsia="Courier New" w:hAnsi="Courier New"/>
          <w:sz w:val="18"/>
          <w:szCs w:val="18"/>
          <w:color w:val="auto"/>
        </w:rPr>
      </w:pPr>
    </w:p>
    <w:p>
      <w:pPr>
        <w:ind w:right="1999" w:firstLine="1588"/>
        <w:spacing w:after="0" w:line="292" w:lineRule="auto"/>
        <w:tabs>
          <w:tab w:leader="none" w:pos="2212"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6" w:lineRule="exact"/>
        <w:rPr>
          <w:sz w:val="20"/>
          <w:szCs w:val="20"/>
          <w:color w:val="auto"/>
        </w:rPr>
      </w:pPr>
    </w:p>
    <w:p>
      <w:pPr>
        <w:ind w:right="1879"/>
        <w:spacing w:after="0" w:line="265" w:lineRule="auto"/>
        <w:rPr>
          <w:sz w:val="20"/>
          <w:szCs w:val="20"/>
          <w:color w:val="auto"/>
        </w:rPr>
      </w:pPr>
      <w:r>
        <w:rPr>
          <w:rFonts w:ascii="Courier New" w:cs="Courier New" w:eastAsia="Courier New" w:hAnsi="Courier New"/>
          <w:sz w:val="18"/>
          <w:szCs w:val="18"/>
          <w:color w:val="auto"/>
        </w:rPr>
        <w:t>Provided, however, that paragraphs (a)(1)(i) and (a)(1)(ii) do not apply if the information required to be included in a post-effective amendment by those paragraphs is contained in periodic reports filed by the registrant pursuant to section 13 or section 15(d) of the Exchange Act that are incorporated by reference in the registration statement.</w:t>
      </w:r>
    </w:p>
    <w:p>
      <w:pPr>
        <w:spacing w:after="0" w:line="90" w:lineRule="exact"/>
        <w:rPr>
          <w:sz w:val="20"/>
          <w:szCs w:val="20"/>
          <w:color w:val="auto"/>
        </w:rPr>
      </w:pPr>
    </w:p>
    <w:p>
      <w:pPr>
        <w:ind w:right="1879" w:firstLine="1061"/>
        <w:spacing w:after="0" w:line="265"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Courier New" w:cs="Courier New" w:eastAsia="Courier New" w:hAnsi="Courier New"/>
          <w:sz w:val="18"/>
          <w:szCs w:val="18"/>
          <w:color w:val="auto"/>
        </w:rPr>
      </w:pPr>
    </w:p>
    <w:p>
      <w:pPr>
        <w:ind w:right="2319" w:firstLine="1061"/>
        <w:spacing w:after="0" w:line="292" w:lineRule="auto"/>
        <w:tabs>
          <w:tab w:leader="none" w:pos="15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remove from registration by means of a post-effective amendment any of the securities being registered which remain unsold at the termination of the offering.</w:t>
      </w:r>
    </w:p>
    <w:p>
      <w:pPr>
        <w:spacing w:after="0" w:line="66" w:lineRule="exact"/>
        <w:rPr>
          <w:rFonts w:ascii="Courier New" w:cs="Courier New" w:eastAsia="Courier New" w:hAnsi="Courier New"/>
          <w:sz w:val="18"/>
          <w:szCs w:val="18"/>
          <w:color w:val="auto"/>
        </w:rPr>
      </w:pPr>
    </w:p>
    <w:p>
      <w:pPr>
        <w:ind w:right="2099" w:firstLine="535"/>
        <w:spacing w:after="0" w:line="25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registrant hereby undertakes that, for purposes of determining any liability under the Securities 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98" w:lineRule="exact"/>
        <w:rPr>
          <w:rFonts w:ascii="Courier New" w:cs="Courier New" w:eastAsia="Courier New" w:hAnsi="Courier New"/>
          <w:sz w:val="18"/>
          <w:szCs w:val="18"/>
          <w:color w:val="auto"/>
        </w:rPr>
      </w:pPr>
    </w:p>
    <w:p>
      <w:pPr>
        <w:ind w:right="1779" w:firstLine="535"/>
        <w:spacing w:after="0" w:line="246" w:lineRule="auto"/>
        <w:tabs>
          <w:tab w:leader="none" w:pos="105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285" w:right="1440"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1" w:lineRule="exact"/>
        <w:rPr>
          <w:sz w:val="20"/>
          <w:szCs w:val="20"/>
          <w:color w:val="auto"/>
        </w:rPr>
      </w:pPr>
    </w:p>
    <w:p>
      <w:pPr>
        <w:ind w:right="1779"/>
        <w:spacing w:after="0" w:line="260" w:lineRule="auto"/>
        <w:rPr>
          <w:sz w:val="20"/>
          <w:szCs w:val="20"/>
          <w:color w:val="auto"/>
        </w:rPr>
      </w:pPr>
      <w:r>
        <w:rPr>
          <w:rFonts w:ascii="Courier New" w:cs="Courier New" w:eastAsia="Courier New" w:hAnsi="Courier New"/>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San Francisco, State of California on the 21st day of April, 1999.</w:t>
      </w:r>
    </w:p>
    <w:p>
      <w:pPr>
        <w:spacing w:after="0" w:line="93"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ABM INDUSTRIES INCORPORATED</w:t>
      </w:r>
    </w:p>
    <w:p>
      <w:pPr>
        <w:spacing w:after="0" w:line="31"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(Registrant)</w:t>
      </w:r>
    </w:p>
    <w:p>
      <w:pPr>
        <w:spacing w:after="0" w:line="16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/s/ William W. Steele</w:t>
      </w:r>
    </w:p>
    <w:p>
      <w:pPr>
        <w:spacing w:after="0" w:line="29" w:lineRule="exact"/>
        <w:rPr>
          <w:sz w:val="20"/>
          <w:szCs w:val="20"/>
          <w:color w:val="auto"/>
        </w:rPr>
      </w:pPr>
    </w:p>
    <w:p>
      <w:pPr>
        <w:ind w:left="4320"/>
        <w:spacing w:after="0"/>
        <w:rPr>
          <w:sz w:val="20"/>
          <w:szCs w:val="20"/>
          <w:color w:val="auto"/>
        </w:rPr>
      </w:pPr>
      <w:r>
        <w:rPr>
          <w:rFonts w:ascii="Courier New" w:cs="Courier New" w:eastAsia="Courier New" w:hAnsi="Courier New"/>
          <w:sz w:val="18"/>
          <w:szCs w:val="18"/>
          <w:color w:val="auto"/>
        </w:rPr>
        <w:t>---------------------------------------</w:t>
      </w:r>
    </w:p>
    <w:p>
      <w:pPr>
        <w:ind w:left="4320"/>
        <w:spacing w:after="0" w:line="238" w:lineRule="auto"/>
        <w:rPr>
          <w:sz w:val="20"/>
          <w:szCs w:val="20"/>
          <w:color w:val="auto"/>
        </w:rPr>
      </w:pPr>
      <w:r>
        <w:rPr>
          <w:rFonts w:ascii="Courier New" w:cs="Courier New" w:eastAsia="Courier New" w:hAnsi="Courier New"/>
          <w:sz w:val="18"/>
          <w:szCs w:val="18"/>
          <w:color w:val="auto"/>
        </w:rPr>
        <w:t>William W. Steele</w:t>
      </w:r>
    </w:p>
    <w:p>
      <w:pPr>
        <w:ind w:left="4320"/>
        <w:spacing w:after="0"/>
        <w:rPr>
          <w:sz w:val="20"/>
          <w:szCs w:val="20"/>
          <w:color w:val="auto"/>
        </w:rPr>
      </w:pPr>
      <w:r>
        <w:rPr>
          <w:rFonts w:ascii="Courier New" w:cs="Courier New" w:eastAsia="Courier New" w:hAnsi="Courier New"/>
          <w:sz w:val="18"/>
          <w:szCs w:val="18"/>
          <w:color w:val="auto"/>
        </w:rPr>
        <w:t>President and Chief Executive Officer</w:t>
      </w:r>
    </w:p>
    <w:p>
      <w:pPr>
        <w:spacing w:after="0" w:line="372" w:lineRule="exact"/>
        <w:rPr>
          <w:sz w:val="20"/>
          <w:szCs w:val="20"/>
          <w:color w:val="auto"/>
        </w:rPr>
      </w:pPr>
    </w:p>
    <w:p>
      <w:pPr>
        <w:ind w:right="1879"/>
        <w:spacing w:after="0" w:line="292" w:lineRule="auto"/>
        <w:rPr>
          <w:sz w:val="20"/>
          <w:szCs w:val="20"/>
          <w:color w:val="auto"/>
        </w:rPr>
      </w:pPr>
      <w:r>
        <w:rPr>
          <w:rFonts w:ascii="Courier New" w:cs="Courier New" w:eastAsia="Courier New" w:hAnsi="Courier New"/>
          <w:sz w:val="18"/>
          <w:szCs w:val="18"/>
          <w:color w:val="auto"/>
        </w:rPr>
        <w:t>Pursuant to the requirements of the Securities Act of 1933, this registration statement has been signed by the following persons in the capacities and on the date indicated.</w:t>
      </w:r>
    </w:p>
    <w:p>
      <w:pPr>
        <w:spacing w:after="0" w:line="200" w:lineRule="exact"/>
        <w:rPr>
          <w:sz w:val="20"/>
          <w:szCs w:val="20"/>
          <w:color w:val="auto"/>
        </w:rPr>
      </w:pP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Title</w:t>
            </w:r>
          </w:p>
        </w:tc>
        <w:tc>
          <w:tcPr>
            <w:tcW w:w="2160" w:type="dxa"/>
            <w:vAlign w:val="bottom"/>
          </w:tcPr>
          <w:p>
            <w:pPr>
              <w:ind w:left="480"/>
              <w:spacing w:after="0"/>
              <w:rPr>
                <w:sz w:val="20"/>
                <w:szCs w:val="20"/>
                <w:color w:val="auto"/>
              </w:rPr>
            </w:pPr>
            <w:r>
              <w:rPr>
                <w:rFonts w:ascii="Courier New" w:cs="Courier New" w:eastAsia="Courier New" w:hAnsi="Courier New"/>
                <w:sz w:val="18"/>
                <w:szCs w:val="18"/>
                <w:color w:val="auto"/>
              </w:rPr>
              <w:t>Date</w:t>
            </w: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33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160" w:type="dxa"/>
            <w:vAlign w:val="bottom"/>
          </w:tcPr>
          <w:p>
            <w:pPr>
              <w:ind w:left="700"/>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Principal Executive Officer:</w:t>
            </w:r>
          </w:p>
        </w:tc>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William W. Steele</w:t>
            </w:r>
          </w:p>
        </w:tc>
        <w:tc>
          <w:tcPr>
            <w:tcW w:w="3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President and</w:t>
            </w:r>
          </w:p>
        </w:tc>
        <w:tc>
          <w:tcPr>
            <w:tcW w:w="2160" w:type="dxa"/>
            <w:vAlign w:val="bottom"/>
            <w:vMerge w:val="restart"/>
          </w:tcPr>
          <w:p>
            <w:pPr>
              <w:ind w:left="700"/>
              <w:spacing w:after="0"/>
              <w:rPr>
                <w:sz w:val="20"/>
                <w:szCs w:val="20"/>
                <w:color w:val="auto"/>
              </w:rPr>
            </w:pPr>
            <w:r>
              <w:rPr>
                <w:rFonts w:ascii="Courier New" w:cs="Courier New" w:eastAsia="Courier New" w:hAnsi="Courier New"/>
                <w:sz w:val="18"/>
                <w:szCs w:val="18"/>
                <w:color w:val="auto"/>
                <w:w w:val="95"/>
              </w:rPr>
              <w:t>April 21, 1999</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36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William W. Steele</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Chief Executive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Principal Financial Officer:</w:t>
            </w:r>
          </w:p>
        </w:tc>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David H. Hebble</w:t>
            </w:r>
          </w:p>
        </w:tc>
        <w:tc>
          <w:tcPr>
            <w:tcW w:w="3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Vice President</w:t>
            </w:r>
          </w:p>
        </w:tc>
        <w:tc>
          <w:tcPr>
            <w:tcW w:w="2160" w:type="dxa"/>
            <w:vAlign w:val="bottom"/>
            <w:vMerge w:val="restart"/>
          </w:tcPr>
          <w:p>
            <w:pPr>
              <w:ind w:left="700"/>
              <w:spacing w:after="0"/>
              <w:rPr>
                <w:sz w:val="20"/>
                <w:szCs w:val="20"/>
                <w:color w:val="auto"/>
              </w:rPr>
            </w:pPr>
            <w:r>
              <w:rPr>
                <w:rFonts w:ascii="Courier New" w:cs="Courier New" w:eastAsia="Courier New" w:hAnsi="Courier New"/>
                <w:sz w:val="18"/>
                <w:szCs w:val="18"/>
                <w:color w:val="auto"/>
                <w:w w:val="95"/>
              </w:rPr>
              <w:t>April 21, 1999</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36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David H. Hebble</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and Chief Financial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w w:val="98"/>
              </w:rPr>
              <w:t>Principal Accounting Officer:</w:t>
            </w:r>
          </w:p>
        </w:tc>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120" w:type="dxa"/>
            <w:vAlign w:val="bottom"/>
          </w:tcPr>
          <w:p>
            <w:pPr>
              <w:spacing w:after="0"/>
              <w:rPr>
                <w:sz w:val="20"/>
                <w:szCs w:val="20"/>
                <w:color w:val="auto"/>
              </w:rPr>
            </w:pPr>
            <w:r>
              <w:rPr>
                <w:rFonts w:ascii="Courier New" w:cs="Courier New" w:eastAsia="Courier New" w:hAnsi="Courier New"/>
                <w:sz w:val="18"/>
                <w:szCs w:val="18"/>
                <w:color w:val="auto"/>
              </w:rPr>
              <w:t>/s/ Vernon E. Skelton</w:t>
            </w:r>
          </w:p>
        </w:tc>
        <w:tc>
          <w:tcPr>
            <w:tcW w:w="336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Controller and</w:t>
            </w:r>
          </w:p>
        </w:tc>
        <w:tc>
          <w:tcPr>
            <w:tcW w:w="2160" w:type="dxa"/>
            <w:vAlign w:val="bottom"/>
            <w:vMerge w:val="restart"/>
          </w:tcPr>
          <w:p>
            <w:pPr>
              <w:ind w:left="700"/>
              <w:spacing w:after="0"/>
              <w:rPr>
                <w:sz w:val="20"/>
                <w:szCs w:val="20"/>
                <w:color w:val="auto"/>
              </w:rPr>
            </w:pPr>
            <w:r>
              <w:rPr>
                <w:rFonts w:ascii="Courier New" w:cs="Courier New" w:eastAsia="Courier New" w:hAnsi="Courier New"/>
                <w:sz w:val="18"/>
                <w:szCs w:val="18"/>
                <w:color w:val="auto"/>
                <w:w w:val="95"/>
              </w:rPr>
              <w:t>April 21, 1999</w:t>
            </w:r>
          </w:p>
        </w:tc>
        <w:tc>
          <w:tcPr>
            <w:tcW w:w="0" w:type="dxa"/>
            <w:vAlign w:val="bottom"/>
          </w:tcPr>
          <w:p>
            <w:pPr>
              <w:spacing w:after="0"/>
              <w:rPr>
                <w:sz w:val="1"/>
                <w:szCs w:val="1"/>
                <w:color w:val="auto"/>
              </w:rPr>
            </w:pP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3360" w:type="dxa"/>
            <w:vAlign w:val="bottom"/>
            <w:vMerge w:val="continue"/>
          </w:tcPr>
          <w:p>
            <w:pPr>
              <w:spacing w:after="0"/>
              <w:rPr>
                <w:sz w:val="17"/>
                <w:szCs w:val="17"/>
                <w:color w:val="auto"/>
              </w:rPr>
            </w:pPr>
          </w:p>
        </w:tc>
        <w:tc>
          <w:tcPr>
            <w:tcW w:w="2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Vernon E. Skelton</w:t>
            </w:r>
          </w:p>
        </w:tc>
        <w:tc>
          <w:tcPr>
            <w:tcW w:w="3360" w:type="dxa"/>
            <w:vAlign w:val="bottom"/>
          </w:tcPr>
          <w:p>
            <w:pPr>
              <w:ind w:left="40"/>
              <w:spacing w:after="0"/>
              <w:rPr>
                <w:sz w:val="20"/>
                <w:szCs w:val="20"/>
                <w:color w:val="auto"/>
              </w:rPr>
            </w:pPr>
            <w:r>
              <w:rPr>
                <w:rFonts w:ascii="Courier New" w:cs="Courier New" w:eastAsia="Courier New" w:hAnsi="Courier New"/>
                <w:sz w:val="18"/>
                <w:szCs w:val="18"/>
                <w:color w:val="auto"/>
              </w:rPr>
              <w:t>Chief Accounting Officer</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120" w:type="dxa"/>
            <w:vAlign w:val="bottom"/>
          </w:tcPr>
          <w:p>
            <w:pPr>
              <w:spacing w:after="0"/>
              <w:rPr>
                <w:sz w:val="24"/>
                <w:szCs w:val="24"/>
                <w:color w:val="auto"/>
              </w:rPr>
            </w:pPr>
          </w:p>
        </w:tc>
        <w:tc>
          <w:tcPr>
            <w:tcW w:w="3360" w:type="dxa"/>
            <w:vAlign w:val="bottom"/>
          </w:tcPr>
          <w:p>
            <w:pPr>
              <w:ind w:left="1000"/>
              <w:spacing w:after="0"/>
              <w:rPr>
                <w:sz w:val="20"/>
                <w:szCs w:val="20"/>
                <w:color w:val="auto"/>
              </w:rPr>
            </w:pPr>
            <w:r>
              <w:rPr>
                <w:rFonts w:ascii="Courier New" w:cs="Courier New" w:eastAsia="Courier New" w:hAnsi="Courier New"/>
                <w:sz w:val="18"/>
                <w:szCs w:val="18"/>
                <w:color w:val="auto"/>
              </w:rPr>
              <w:t>5</w:t>
            </w: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85"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96"/>
        </w:trPr>
        <w:tc>
          <w:tcPr>
            <w:tcW w:w="3120" w:type="dxa"/>
            <w:vAlign w:val="bottom"/>
          </w:tcPr>
          <w:p>
            <w:pPr>
              <w:ind w:left="320"/>
              <w:spacing w:after="0"/>
              <w:rPr>
                <w:sz w:val="20"/>
                <w:szCs w:val="20"/>
                <w:color w:val="auto"/>
              </w:rPr>
            </w:pPr>
            <w:r>
              <w:rPr>
                <w:rFonts w:ascii="Courier New" w:cs="Courier New" w:eastAsia="Courier New" w:hAnsi="Courier New"/>
                <w:sz w:val="18"/>
                <w:szCs w:val="18"/>
                <w:color w:val="auto"/>
              </w:rPr>
              <w:t>6</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717"/>
        </w:trPr>
        <w:tc>
          <w:tcPr>
            <w:tcW w:w="312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Title</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rPr>
              <w:t>Date</w:t>
            </w: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 ---------</w:t>
            </w:r>
          </w:p>
        </w:tc>
        <w:tc>
          <w:tcPr>
            <w:tcW w:w="236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2960" w:type="dxa"/>
            <w:vAlign w:val="bottom"/>
          </w:tcPr>
          <w:p>
            <w:pPr>
              <w:ind w:left="1700"/>
              <w:spacing w:after="0"/>
              <w:rPr>
                <w:sz w:val="20"/>
                <w:szCs w:val="20"/>
                <w:color w:val="auto"/>
              </w:rPr>
            </w:pPr>
            <w:r>
              <w:rPr>
                <w:rFonts w:ascii="Courier New" w:cs="Courier New" w:eastAsia="Courier New" w:hAnsi="Courier New"/>
                <w:sz w:val="18"/>
                <w:szCs w:val="18"/>
                <w:color w:val="auto"/>
              </w:rPr>
              <w:t>----</w:t>
            </w:r>
          </w:p>
        </w:tc>
      </w:tr>
      <w:tr>
        <w:trPr>
          <w:trHeight w:val="608"/>
        </w:trPr>
        <w:tc>
          <w:tcPr>
            <w:tcW w:w="3120" w:type="dxa"/>
            <w:vAlign w:val="bottom"/>
          </w:tcPr>
          <w:p>
            <w:pPr>
              <w:spacing w:after="0"/>
              <w:rPr>
                <w:sz w:val="20"/>
                <w:szCs w:val="20"/>
                <w:color w:val="auto"/>
              </w:rPr>
            </w:pPr>
            <w:r>
              <w:rPr>
                <w:rFonts w:ascii="Courier New" w:cs="Courier New" w:eastAsia="Courier New" w:hAnsi="Courier New"/>
                <w:sz w:val="18"/>
                <w:szCs w:val="18"/>
                <w:color w:val="auto"/>
              </w:rPr>
              <w:t>Directors:</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Maryellen B. Cattani</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Maryellen B. Cattani</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Linda Chavez</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Linda Chavez</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John F. Egan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John F. Egan</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Luke S. Helms</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Luke S. Helms</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Charles T. Horngren</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Charles T. Horngren</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Henry L. Kotkins, Jr.</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Henry L. Kotkins, Jr.</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Martinn H. Mandles</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Martinn H. Mandles</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Theodore Rosenberg</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Theodore Rosenberg</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William W. Steele</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William W. Steele</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William E. Walsh</w:t>
            </w:r>
          </w:p>
        </w:tc>
        <w:tc>
          <w:tcPr>
            <w:tcW w:w="2360" w:type="dxa"/>
            <w:vAlign w:val="bottom"/>
          </w:tcPr>
          <w:p>
            <w:pPr>
              <w:ind w:left="40"/>
              <w:spacing w:after="0"/>
              <w:rPr>
                <w:sz w:val="20"/>
                <w:szCs w:val="20"/>
                <w:color w:val="auto"/>
              </w:rPr>
            </w:pPr>
            <w:r>
              <w:rPr>
                <w:rFonts w:ascii="Courier New" w:cs="Courier New" w:eastAsia="Courier New" w:hAnsi="Courier New"/>
                <w:sz w:val="18"/>
                <w:szCs w:val="18"/>
                <w:color w:val="auto"/>
              </w:rPr>
              <w:t>Director</w:t>
            </w:r>
          </w:p>
        </w:tc>
        <w:tc>
          <w:tcPr>
            <w:tcW w:w="2960" w:type="dxa"/>
            <w:vAlign w:val="bottom"/>
          </w:tcPr>
          <w:p>
            <w:pPr>
              <w:ind w:left="1480"/>
              <w:spacing w:after="0"/>
              <w:rPr>
                <w:sz w:val="20"/>
                <w:szCs w:val="20"/>
                <w:color w:val="auto"/>
              </w:rPr>
            </w:pPr>
            <w:r>
              <w:rPr>
                <w:rFonts w:ascii="Courier New" w:cs="Courier New" w:eastAsia="Courier New" w:hAnsi="Courier New"/>
                <w:sz w:val="18"/>
                <w:szCs w:val="18"/>
                <w:color w:val="auto"/>
                <w:w w:val="96"/>
              </w:rPr>
              <w:t>April 21, 1999</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 ---------------------------</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spacing w:after="0"/>
              <w:rPr>
                <w:sz w:val="20"/>
                <w:szCs w:val="20"/>
                <w:color w:val="auto"/>
              </w:rPr>
            </w:pPr>
            <w:r>
              <w:rPr>
                <w:rFonts w:ascii="Courier New" w:cs="Courier New" w:eastAsia="Courier New" w:hAnsi="Courier New"/>
                <w:sz w:val="18"/>
                <w:szCs w:val="18"/>
                <w:color w:val="auto"/>
              </w:rPr>
              <w:t>William E. Walsh</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514"/>
        </w:trPr>
        <w:tc>
          <w:tcPr>
            <w:tcW w:w="3120" w:type="dxa"/>
            <w:vAlign w:val="bottom"/>
          </w:tcPr>
          <w:p>
            <w:pPr>
              <w:spacing w:after="0"/>
              <w:rPr>
                <w:sz w:val="20"/>
                <w:szCs w:val="20"/>
                <w:color w:val="auto"/>
              </w:rPr>
            </w:pPr>
            <w:r>
              <w:rPr>
                <w:rFonts w:ascii="Courier New" w:cs="Courier New" w:eastAsia="Courier New" w:hAnsi="Courier New"/>
                <w:sz w:val="18"/>
                <w:szCs w:val="18"/>
                <w:color w:val="auto"/>
              </w:rPr>
              <w:t>* By /s/ Harry H. Kahn</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03"/>
        </w:trPr>
        <w:tc>
          <w:tcPr>
            <w:tcW w:w="31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Harry H. Kahn</w:t>
            </w:r>
          </w:p>
        </w:tc>
        <w:tc>
          <w:tcPr>
            <w:tcW w:w="2360" w:type="dxa"/>
            <w:vAlign w:val="bottom"/>
          </w:tcPr>
          <w:p>
            <w:pPr>
              <w:spacing w:after="0"/>
              <w:rPr>
                <w:sz w:val="17"/>
                <w:szCs w:val="17"/>
                <w:color w:val="auto"/>
              </w:rPr>
            </w:pPr>
          </w:p>
        </w:tc>
        <w:tc>
          <w:tcPr>
            <w:tcW w:w="2960" w:type="dxa"/>
            <w:vAlign w:val="bottom"/>
          </w:tcPr>
          <w:p>
            <w:pPr>
              <w:spacing w:after="0"/>
              <w:rPr>
                <w:sz w:val="17"/>
                <w:szCs w:val="17"/>
                <w:color w:val="auto"/>
              </w:rPr>
            </w:pPr>
          </w:p>
        </w:tc>
      </w:tr>
      <w:tr>
        <w:trPr>
          <w:trHeight w:val="296"/>
        </w:trPr>
        <w:tc>
          <w:tcPr>
            <w:tcW w:w="3120" w:type="dxa"/>
            <w:vAlign w:val="bottom"/>
          </w:tcPr>
          <w:p>
            <w:pPr>
              <w:ind w:left="540"/>
              <w:spacing w:after="0"/>
              <w:rPr>
                <w:sz w:val="20"/>
                <w:szCs w:val="20"/>
                <w:color w:val="auto"/>
              </w:rPr>
            </w:pPr>
            <w:r>
              <w:rPr>
                <w:rFonts w:ascii="Courier New" w:cs="Courier New" w:eastAsia="Courier New" w:hAnsi="Courier New"/>
                <w:sz w:val="18"/>
                <w:szCs w:val="18"/>
                <w:color w:val="auto"/>
              </w:rPr>
              <w:t>Attorney-in-Fact</w:t>
            </w:r>
          </w:p>
        </w:tc>
        <w:tc>
          <w:tcPr>
            <w:tcW w:w="2360" w:type="dxa"/>
            <w:vAlign w:val="bottom"/>
          </w:tcPr>
          <w:p>
            <w:pPr>
              <w:spacing w:after="0"/>
              <w:rPr>
                <w:sz w:val="24"/>
                <w:szCs w:val="24"/>
                <w:color w:val="auto"/>
              </w:rPr>
            </w:pPr>
          </w:p>
        </w:tc>
        <w:tc>
          <w:tcPr>
            <w:tcW w:w="29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0219"/>
          </w:cols>
          <w:pgMar w:left="240" w:top="285" w:right="1440" w:bottom="1440" w:gutter="0" w:footer="0" w:header="0"/>
        </w:sectPr>
      </w:pPr>
    </w:p>
    <w:p>
      <w:pPr>
        <w:spacing w:after="0" w:line="1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285" w:right="1440" w:bottom="1440" w:gutter="0" w:footer="0" w:header="0"/>
          <w:type w:val="continuous"/>
        </w:sectPr>
      </w:pPr>
    </w:p>
    <w:bookmarkStart w:id="6" w:name="page7"/>
    <w:bookmarkEnd w:id="6"/>
    <w:p>
      <w:pPr>
        <w:ind w:left="3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 Opinion of Orrick, Herrington &amp; Sutcliffe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23.1 Consent of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23.2 Consent of Orrick, Herrington &amp; Sutcliffe LLP is included in Exhibit 5.1.</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 Power of Attorney.</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285" w:right="1440" w:bottom="1440" w:gutter="0" w:footer="0" w:header="0"/>
        </w:sectPr>
      </w:pPr>
    </w:p>
    <w:bookmarkStart w:id="7" w:name="page8"/>
    <w:bookmarkEnd w:id="7"/>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jc w:val="right"/>
        <w:ind w:right="1779"/>
        <w:spacing w:after="0"/>
        <w:rPr>
          <w:sz w:val="20"/>
          <w:szCs w:val="20"/>
          <w:color w:val="auto"/>
        </w:rPr>
      </w:pPr>
      <w:r>
        <w:rPr>
          <w:rFonts w:ascii="Courier New" w:cs="Courier New" w:eastAsia="Courier New" w:hAnsi="Courier New"/>
          <w:sz w:val="18"/>
          <w:szCs w:val="18"/>
          <w:color w:val="auto"/>
        </w:rPr>
        <w:t>EXHIBIT 5.1</w:t>
      </w:r>
    </w:p>
    <w:p>
      <w:pPr>
        <w:spacing w:after="0" w:line="37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April 21, 1999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160 Pacific Avenue, Suite 222</w:t>
      </w:r>
    </w:p>
    <w:p>
      <w:pPr>
        <w:spacing w:after="0"/>
        <w:tabs>
          <w:tab w:leader="none" w:pos="2840" w:val="left"/>
        </w:tabs>
        <w:rPr>
          <w:sz w:val="20"/>
          <w:szCs w:val="20"/>
          <w:color w:val="auto"/>
        </w:rPr>
      </w:pPr>
      <w:r>
        <w:rPr>
          <w:rFonts w:ascii="Courier New" w:cs="Courier New" w:eastAsia="Courier New" w:hAnsi="Courier New"/>
          <w:sz w:val="18"/>
          <w:szCs w:val="18"/>
          <w:color w:val="auto"/>
        </w:rPr>
        <w:t>San Francisco, California</w:t>
      </w:r>
      <w:r>
        <w:rPr>
          <w:sz w:val="20"/>
          <w:szCs w:val="20"/>
          <w:color w:val="auto"/>
        </w:rPr>
        <w:tab/>
      </w:r>
      <w:r>
        <w:rPr>
          <w:rFonts w:ascii="Courier New" w:cs="Courier New" w:eastAsia="Courier New" w:hAnsi="Courier New"/>
          <w:sz w:val="16"/>
          <w:szCs w:val="16"/>
          <w:color w:val="auto"/>
        </w:rPr>
        <w:t>94111</w:t>
      </w:r>
    </w:p>
    <w:p>
      <w:pPr>
        <w:spacing w:after="0" w:line="169" w:lineRule="exact"/>
        <w:rPr>
          <w:sz w:val="20"/>
          <w:szCs w:val="20"/>
          <w:color w:val="auto"/>
        </w:rPr>
      </w:pPr>
    </w:p>
    <w:p>
      <w:pPr>
        <w:ind w:left="420" w:right="4519" w:hanging="419"/>
        <w:spacing w:after="0" w:line="402" w:lineRule="auto"/>
        <w:tabs>
          <w:tab w:leader="none" w:pos="400" w:val="left"/>
        </w:tabs>
        <w:rPr>
          <w:sz w:val="20"/>
          <w:szCs w:val="20"/>
          <w:color w:val="auto"/>
        </w:rPr>
      </w:pPr>
      <w:r>
        <w:rPr>
          <w:rFonts w:ascii="Courier New" w:cs="Courier New" w:eastAsia="Courier New" w:hAnsi="Courier New"/>
          <w:sz w:val="16"/>
          <w:szCs w:val="16"/>
          <w:color w:val="auto"/>
        </w:rPr>
        <w:t>Re:</w:t>
        <w:tab/>
        <w:t>ABM Industries Incorporated Registration Statement on Form S-8/Employee Stock Purchase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Ladies and Gentlemen:</w:t>
      </w:r>
    </w:p>
    <w:p>
      <w:pPr>
        <w:spacing w:after="0" w:line="201" w:lineRule="exact"/>
        <w:rPr>
          <w:sz w:val="20"/>
          <w:szCs w:val="20"/>
          <w:color w:val="auto"/>
        </w:rPr>
      </w:pPr>
    </w:p>
    <w:p>
      <w:pPr>
        <w:ind w:right="1779" w:firstLine="527"/>
        <w:spacing w:after="0" w:line="265" w:lineRule="auto"/>
        <w:rPr>
          <w:sz w:val="20"/>
          <w:szCs w:val="20"/>
          <w:color w:val="auto"/>
        </w:rPr>
      </w:pPr>
      <w:r>
        <w:rPr>
          <w:rFonts w:ascii="Courier New" w:cs="Courier New" w:eastAsia="Courier New" w:hAnsi="Courier New"/>
          <w:sz w:val="18"/>
          <w:szCs w:val="18"/>
          <w:color w:val="auto"/>
        </w:rPr>
        <w:t>At your request, we are rendering this opinion in connection with the proposed issuance pursuant to the ABM Industries Incorporated Employee Stock Purchase Plan (the "Plan"), of up to 1,200,000 shares of common stock, $0.01 par value ("Common Stock"), of ABM Industries Incorporated, a Delaware corporation (the "Company").</w:t>
      </w:r>
    </w:p>
    <w:p>
      <w:pPr>
        <w:spacing w:after="0" w:line="90" w:lineRule="exact"/>
        <w:rPr>
          <w:sz w:val="20"/>
          <w:szCs w:val="20"/>
          <w:color w:val="auto"/>
        </w:rPr>
      </w:pPr>
    </w:p>
    <w:p>
      <w:pPr>
        <w:ind w:right="1879" w:firstLine="527"/>
        <w:spacing w:after="0" w:line="253" w:lineRule="auto"/>
        <w:rPr>
          <w:sz w:val="20"/>
          <w:szCs w:val="20"/>
          <w:color w:val="auto"/>
        </w:rPr>
      </w:pPr>
      <w:r>
        <w:rPr>
          <w:rFonts w:ascii="Courier New" w:cs="Courier New" w:eastAsia="Courier New" w:hAnsi="Courier New"/>
          <w:sz w:val="18"/>
          <w:szCs w:val="18"/>
          <w:color w:val="auto"/>
        </w:rPr>
        <w:t>We have examined instruments, documents, and records which we deemed relevant and necessary for the basis of our opinion hereinafter expressed. In such examination, we have assumed the following: (a) the authenticity of original documents and the genuineness of all signatures; (b) the conformity to the originals of all documents submitted to me as copies; and (c) the truth, accuracy and completeness of the information, representations and warranties contained in the records, documents, instruments and certificates we have reviewed.</w:t>
      </w:r>
    </w:p>
    <w:p>
      <w:pPr>
        <w:spacing w:after="0" w:line="104" w:lineRule="exact"/>
        <w:rPr>
          <w:sz w:val="20"/>
          <w:szCs w:val="20"/>
          <w:color w:val="auto"/>
        </w:rPr>
      </w:pPr>
    </w:p>
    <w:p>
      <w:pPr>
        <w:ind w:right="1879" w:firstLine="527"/>
        <w:spacing w:after="0" w:line="318" w:lineRule="auto"/>
        <w:rPr>
          <w:sz w:val="20"/>
          <w:szCs w:val="20"/>
          <w:color w:val="auto"/>
        </w:rPr>
      </w:pPr>
      <w:r>
        <w:rPr>
          <w:rFonts w:ascii="Courier New" w:cs="Courier New" w:eastAsia="Courier New" w:hAnsi="Courier New"/>
          <w:sz w:val="16"/>
          <w:szCs w:val="16"/>
          <w:color w:val="auto"/>
        </w:rPr>
        <w:t>Based on such examination, we are of the opinion that the 1,200,000 shares of Common Stock to be issued by the Company pursuant to the Plan are validly authorized shares of Common Stock and, when issued in accordance with the provisions of the Plan, will be legally issued, fully paid and nonassessable.</w:t>
      </w:r>
    </w:p>
    <w:p>
      <w:pPr>
        <w:spacing w:after="0" w:line="52" w:lineRule="exact"/>
        <w:rPr>
          <w:sz w:val="20"/>
          <w:szCs w:val="20"/>
          <w:color w:val="auto"/>
        </w:rPr>
      </w:pPr>
    </w:p>
    <w:p>
      <w:pPr>
        <w:ind w:right="1999" w:firstLine="527"/>
        <w:spacing w:after="0" w:line="256" w:lineRule="auto"/>
        <w:rPr>
          <w:sz w:val="20"/>
          <w:szCs w:val="20"/>
          <w:color w:val="auto"/>
        </w:rPr>
      </w:pPr>
      <w:r>
        <w:rPr>
          <w:rFonts w:ascii="Courier New" w:cs="Courier New" w:eastAsia="Courier New" w:hAnsi="Courier New"/>
          <w:sz w:val="18"/>
          <w:szCs w:val="18"/>
          <w:color w:val="auto"/>
        </w:rPr>
        <w:t>We hereby consent to the filing of this opinion as an exhibit to this Registration Statement on Form S-8. In giving such consent, we do not consider that we are an "expert" within the meaning of such term as used in the Securities Act of 1933, as amended, or the rules and regulations of the Securities and Exchange Commission issued thereunder, with respect to any part of the Registration Statement, including this opinion as an exhibit or otherwise.</w:t>
      </w:r>
    </w:p>
    <w:p>
      <w:pPr>
        <w:spacing w:after="0" w:line="98"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 ORRICK, HERRINGTON &amp; SUTCLIFFE LLP</w:t>
      </w:r>
    </w:p>
    <w:p>
      <w:pPr>
        <w:spacing w:after="0" w:line="201"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110" w:right="1440" w:bottom="1440" w:gutter="0" w:footer="0" w:header="0"/>
        </w:sectPr>
      </w:pPr>
    </w:p>
    <w:bookmarkStart w:id="8" w:name="page9"/>
    <w:bookmarkEnd w:id="8"/>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6960"/>
        <w:spacing w:after="0"/>
        <w:rPr>
          <w:sz w:val="20"/>
          <w:szCs w:val="20"/>
          <w:color w:val="auto"/>
        </w:rPr>
      </w:pPr>
      <w:r>
        <w:rPr>
          <w:rFonts w:ascii="Courier New" w:cs="Courier New" w:eastAsia="Courier New" w:hAnsi="Courier New"/>
          <w:sz w:val="18"/>
          <w:szCs w:val="18"/>
          <w:color w:val="auto"/>
        </w:rPr>
        <w:t>EXHIBIT 23.1</w:t>
      </w:r>
    </w:p>
    <w:p>
      <w:pPr>
        <w:spacing w:after="0" w:line="372"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CONSENT OF INDEPENDENT AUDITORS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Board of Directors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ABM Industries Incorporated:</w:t>
      </w:r>
    </w:p>
    <w:p>
      <w:pPr>
        <w:spacing w:after="0" w:line="372" w:lineRule="exact"/>
        <w:rPr>
          <w:sz w:val="20"/>
          <w:szCs w:val="20"/>
          <w:color w:val="auto"/>
        </w:rPr>
      </w:pPr>
    </w:p>
    <w:p>
      <w:pPr>
        <w:ind w:right="1879"/>
        <w:spacing w:after="0" w:line="252" w:lineRule="auto"/>
        <w:rPr>
          <w:sz w:val="20"/>
          <w:szCs w:val="20"/>
          <w:color w:val="auto"/>
        </w:rPr>
      </w:pPr>
      <w:r>
        <w:rPr>
          <w:rFonts w:ascii="Courier New" w:cs="Courier New" w:eastAsia="Courier New" w:hAnsi="Courier New"/>
          <w:sz w:val="18"/>
          <w:szCs w:val="18"/>
          <w:color w:val="auto"/>
        </w:rPr>
        <w:t>We consent to the incorporation by reference in the registration statement on Form S-8 of ABM Industries Incorporated of our report dated December 14, 1998, with respect to the consolidated balance sheets of ABM Industries Incorporated and subsidiaries as of October 31, 1997 and 1998, and the related consolidated statements of income, stockholders' equity, and cash flows for each of the years in the three-year period ended October 31, 1998 and the related financial statement schedule II, which report appears in the Form 10-K of ABM Industries Incorporated dated January 27, 1999 and to the reference to our firm under the heading "Experts" in the Form S-8.</w:t>
      </w:r>
    </w:p>
    <w:p>
      <w:pPr>
        <w:spacing w:after="0" w:line="30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KPMG LLP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San Francisco, California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April 19, 1999</w:t>
      </w:r>
    </w:p>
    <w:p>
      <w:pPr>
        <w:spacing w:after="0" w:line="37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110"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8"/>
          <w:szCs w:val="18"/>
          <w:color w:val="auto"/>
        </w:rPr>
        <w:t>1</w:t>
      </w:r>
    </w:p>
    <w:p>
      <w:pPr>
        <w:spacing w:after="0" w:line="3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EXHIBIT 24.1</w:t>
      </w:r>
    </w:p>
    <w:p>
      <w:pPr>
        <w:spacing w:after="0" w:line="39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POWER OF ATTORNEY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PERSONS BY THESE PRESENTS:</w:t>
      </w:r>
    </w:p>
    <w:p>
      <w:pPr>
        <w:spacing w:after="0" w:line="201" w:lineRule="exact"/>
        <w:rPr>
          <w:sz w:val="20"/>
          <w:szCs w:val="20"/>
          <w:color w:val="auto"/>
        </w:rPr>
      </w:pPr>
    </w:p>
    <w:p>
      <w:pPr>
        <w:ind w:right="1879" w:firstLine="527"/>
        <w:spacing w:after="0" w:line="277" w:lineRule="auto"/>
        <w:rPr>
          <w:sz w:val="20"/>
          <w:szCs w:val="20"/>
          <w:color w:val="auto"/>
        </w:rPr>
      </w:pPr>
      <w:r>
        <w:rPr>
          <w:rFonts w:ascii="Courier New" w:cs="Courier New" w:eastAsia="Courier New" w:hAnsi="Courier New"/>
          <w:sz w:val="16"/>
          <w:szCs w:val="16"/>
          <w:color w:val="auto"/>
        </w:rPr>
        <w:t>The undersigned hereby constitutes and appoints HARRY KAHN and LORRAINE O'HARA, and each of them with power to act alone, his or her true and lawful attorney-in-fact and agent, with full power of substitution and resubstitution, for him or her and in his or her name, place and stead, in any and all capacities, to sign (either manually or electronically through the EDGAR System of the United States Securities and Exchange Commission) a Registration Statement or Registration Statements on Form S-8 related to shares of common stock of ABM Industries Incorporated issuable under the ABM Industries Incorporated 1985 Employee Stock Purchase Plan, and any and all amendments of such Registration Statements, including post-effective amendments, and to file the same, together with exhibits thereto and other documents in connection therewith, with the Securities and Exchange Commission, granting unto each such attorney-in-fact full power and authority to do and perform each and every act and thing requisite and necessary to be done in and about the premises hereof, as fully as to all intents and purposes as he or she might do or could do in person, hereby ratifying and confirming all that each such attorney-in-fact or his or her substitutes may lawfully do or cause to be done by virtue hereof.</w:t>
      </w:r>
    </w:p>
    <w:p>
      <w:pPr>
        <w:spacing w:after="0" w:line="299" w:lineRule="exact"/>
        <w:rPr>
          <w:sz w:val="20"/>
          <w:szCs w:val="20"/>
          <w:color w:val="auto"/>
        </w:rPr>
      </w:pPr>
    </w:p>
    <w:p>
      <w:pPr>
        <w:ind w:right="1999" w:firstLine="527"/>
        <w:spacing w:after="0" w:line="347" w:lineRule="auto"/>
        <w:rPr>
          <w:sz w:val="20"/>
          <w:szCs w:val="20"/>
          <w:color w:val="auto"/>
        </w:rPr>
      </w:pPr>
      <w:r>
        <w:rPr>
          <w:rFonts w:ascii="Courier New" w:cs="Courier New" w:eastAsia="Courier New" w:hAnsi="Courier New"/>
          <w:sz w:val="18"/>
          <w:szCs w:val="18"/>
          <w:color w:val="auto"/>
        </w:rPr>
        <w:t>IN WITNESS WHEREOF, the undersigned directors have executed this Power of Attorney effective as of the 15th day of December, 1998.</w:t>
      </w:r>
    </w:p>
    <w:p>
      <w:pPr>
        <w:sectPr>
          <w:pgSz w:w="11900" w:h="16838" w:orient="portrait"/>
          <w:cols w:equalWidth="0" w:num="1">
            <w:col w:w="10219"/>
          </w:cols>
          <w:pgMar w:left="240" w:top="110" w:right="1440" w:bottom="1440" w:gutter="0" w:footer="0" w:header="0"/>
        </w:sect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Maryellen Cattani</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Maryellen Cattani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3" w:lineRule="exact"/>
        <w:rPr>
          <w:sz w:val="20"/>
          <w:szCs w:val="20"/>
          <w:color w:val="auto"/>
        </w:rPr>
      </w:pPr>
    </w:p>
    <w:p>
      <w:pPr>
        <w:ind w:right="1579"/>
        <w:spacing w:after="0" w:line="292" w:lineRule="auto"/>
        <w:rPr>
          <w:sz w:val="20"/>
          <w:szCs w:val="20"/>
          <w:color w:val="auto"/>
        </w:rPr>
      </w:pPr>
      <w:r>
        <w:rPr>
          <w:rFonts w:ascii="Courier New" w:cs="Courier New" w:eastAsia="Courier New" w:hAnsi="Courier New"/>
          <w:sz w:val="18"/>
          <w:szCs w:val="18"/>
          <w:color w:val="auto"/>
        </w:rPr>
        <w:t>/s/ Henry L. Kotkins, Jr. -------------------------------------- Henry L. Kotkins, Jr.</w:t>
      </w:r>
    </w:p>
    <w:p>
      <w:pPr>
        <w:spacing w:after="0" w:line="200" w:lineRule="exact"/>
        <w:rPr>
          <w:sz w:val="20"/>
          <w:szCs w:val="20"/>
          <w:color w:val="auto"/>
        </w:rPr>
      </w:pPr>
    </w:p>
    <w:p>
      <w:pPr>
        <w:sectPr>
          <w:pgSz w:w="11900" w:h="16838" w:orient="portrait"/>
          <w:cols w:equalWidth="0" w:num="2">
            <w:col w:w="4320" w:space="120"/>
            <w:col w:w="5779"/>
          </w:cols>
          <w:pgMar w:left="240" w:top="110" w:right="1440"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Linda Chavez</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Linda Chavez</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Martinn H. Mandles</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Martinn H. Mandles</w:t>
      </w:r>
    </w:p>
    <w:p>
      <w:pPr>
        <w:spacing w:after="0" w:line="200" w:lineRule="exact"/>
        <w:rPr>
          <w:sz w:val="20"/>
          <w:szCs w:val="20"/>
          <w:color w:val="auto"/>
        </w:rPr>
      </w:pPr>
    </w:p>
    <w:p>
      <w:pPr>
        <w:sectPr>
          <w:pgSz w:w="11900" w:h="16838" w:orient="portrait"/>
          <w:cols w:equalWidth="0" w:num="2">
            <w:col w:w="4320" w:space="120"/>
            <w:col w:w="5779"/>
          </w:cols>
          <w:pgMar w:left="240" w:top="110"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John F. Egan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 F. Egan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Theodore Rosenberg</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Theodore Rosenberg</w:t>
      </w:r>
    </w:p>
    <w:p>
      <w:pPr>
        <w:spacing w:after="0" w:line="200" w:lineRule="exact"/>
        <w:rPr>
          <w:sz w:val="20"/>
          <w:szCs w:val="20"/>
          <w:color w:val="auto"/>
        </w:rPr>
      </w:pPr>
    </w:p>
    <w:p>
      <w:pPr>
        <w:sectPr>
          <w:pgSz w:w="11900" w:h="16838" w:orient="portrait"/>
          <w:cols w:equalWidth="0" w:num="2">
            <w:col w:w="4320" w:space="120"/>
            <w:col w:w="5779"/>
          </w:cols>
          <w:pgMar w:left="240" w:top="110"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Luke S. Helms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Luke S. Helms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W. Steele</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W. Steele</w:t>
      </w:r>
    </w:p>
    <w:p>
      <w:pPr>
        <w:spacing w:after="0" w:line="200" w:lineRule="exact"/>
        <w:rPr>
          <w:sz w:val="20"/>
          <w:szCs w:val="20"/>
          <w:color w:val="auto"/>
        </w:rPr>
      </w:pPr>
    </w:p>
    <w:p>
      <w:pPr>
        <w:sectPr>
          <w:pgSz w:w="11900" w:h="16838" w:orient="portrait"/>
          <w:cols w:equalWidth="0" w:num="2">
            <w:col w:w="4320" w:space="120"/>
            <w:col w:w="5779"/>
          </w:cols>
          <w:pgMar w:left="240" w:top="110" w:right="1440" w:bottom="1440" w:gutter="0" w:footer="0" w:header="0"/>
          <w:type w:val="continuous"/>
        </w:sectPr>
      </w:pP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Charles T. Horngren</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Charles T. Horngren</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William E. Walsh</w:t>
      </w:r>
    </w:p>
    <w:p>
      <w:pPr>
        <w:spacing w:after="0" w:line="31"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E. Walsh</w:t>
      </w:r>
    </w:p>
    <w:p>
      <w:pPr>
        <w:spacing w:after="0" w:line="200" w:lineRule="exact"/>
        <w:rPr>
          <w:sz w:val="20"/>
          <w:szCs w:val="20"/>
          <w:color w:val="auto"/>
        </w:rPr>
      </w:pPr>
    </w:p>
    <w:p>
      <w:pPr>
        <w:sectPr>
          <w:pgSz w:w="11900" w:h="16838" w:orient="portrait"/>
          <w:cols w:equalWidth="0" w:num="2">
            <w:col w:w="4320" w:space="120"/>
            <w:col w:w="5779"/>
          </w:cols>
          <w:pgMar w:left="240" w:top="110" w:right="1440" w:bottom="1440" w:gutter="0" w:footer="0" w:header="0"/>
          <w:type w:val="continuous"/>
        </w:sectPr>
      </w:pPr>
    </w:p>
    <w:p>
      <w:pPr>
        <w:spacing w:after="0" w:line="172"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sectPr>
      <w:pgSz w:w="11900" w:h="16838" w:orient="portrait"/>
      <w:cols w:equalWidth="0" w:num="1">
        <w:col w:w="1021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Roman"/>
      <w:start w:val="3"/>
    </w:lvl>
  </w:abstractNum>
  <w:abstractNum w:abstractNumId="3">
    <w:nsid w:val="46E87CCD"/>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4">
    <w:nsid w:val="3D1B58BA"/>
    <w:multiLevelType w:val="hybridMultilevel"/>
    <w:lvl w:ilvl="0">
      <w:lvlJc w:val="left"/>
      <w:lvlText w:val="%1"/>
      <w:numFmt w:val="lowerLetter"/>
      <w:start w:val="1"/>
    </w:lvl>
    <w:lvl w:ilvl="1">
      <w:lvlJc w:val="left"/>
      <w:lvlText w:val="(%2)"/>
      <w:numFmt w:val="decimal"/>
      <w:start w:val="2"/>
    </w:lvl>
  </w:abstractNum>
  <w:abstractNum w:abstractNumId="5">
    <w:nsid w:val="507ED7AB"/>
    <w:multiLevelType w:val="hybridMultilevel"/>
    <w:lvl w:ilvl="0">
      <w:lvlJc w:val="left"/>
      <w:lvlText w:val="(%1)"/>
      <w:numFmt w:val="lowerLetter"/>
      <w:start w:val="2"/>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2020-02-22T11:30:59Z</dcterms:created>
  <dcterms:modified xsi:type="dcterms:W3CDTF">2020-02-22T11:30:59Z</dcterms:modified>
</cp:coreProperties>
</file>