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7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14605</wp:posOffset>
            </wp:positionV>
            <wp:extent cx="4485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1"/>
              </w:rPr>
              <w:t>Delaware</w:t>
            </w:r>
          </w:p>
        </w:tc>
        <w:tc>
          <w:tcPr>
            <w:tcW w:w="262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1-8929</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94-1369354</w:t>
            </w: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2"/>
          </w:tcPr>
          <w:p>
            <w:pPr>
              <w:jc w:val="center"/>
              <w:ind w:right="1020"/>
              <w:spacing w:after="0" w:line="195" w:lineRule="exact"/>
              <w:rPr>
                <w:sz w:val="20"/>
                <w:szCs w:val="20"/>
                <w:color w:val="auto"/>
              </w:rPr>
            </w:pPr>
            <w:r>
              <w:rPr>
                <w:rFonts w:ascii="Arial" w:cs="Arial" w:eastAsia="Arial" w:hAnsi="Arial"/>
                <w:sz w:val="18"/>
                <w:szCs w:val="18"/>
                <w:color w:val="auto"/>
                <w:w w:val="93"/>
              </w:rPr>
              <w:t>(Commission File</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4900" w:type="dxa"/>
            <w:vAlign w:val="bottom"/>
            <w:gridSpan w:val="3"/>
          </w:tcPr>
          <w:p>
            <w:pPr>
              <w:jc w:val="center"/>
              <w:ind w:right="1260"/>
              <w:spacing w:after="0"/>
              <w:rPr>
                <w:sz w:val="20"/>
                <w:szCs w:val="20"/>
                <w:color w:val="auto"/>
              </w:rPr>
            </w:pPr>
            <w:r>
              <w:rPr>
                <w:rFonts w:ascii="Arial" w:cs="Arial" w:eastAsia="Arial" w:hAnsi="Arial"/>
                <w:sz w:val="18"/>
                <w:szCs w:val="18"/>
                <w:color w:val="auto"/>
                <w:w w:val="95"/>
              </w:rPr>
              <w:t>of incorporation)</w:t>
            </w:r>
          </w:p>
        </w:tc>
        <w:tc>
          <w:tcPr>
            <w:tcW w:w="264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0" w:type="dxa"/>
            <w:vAlign w:val="bottom"/>
          </w:tcPr>
          <w:p>
            <w:pPr>
              <w:spacing w:after="0"/>
              <w:rPr>
                <w:sz w:val="24"/>
                <w:szCs w:val="24"/>
                <w:color w:val="auto"/>
              </w:rPr>
            </w:pPr>
          </w:p>
        </w:tc>
        <w:tc>
          <w:tcPr>
            <w:tcW w:w="490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w w:val="91"/>
              </w:rPr>
              <w:t>One Liberty Plaza, 7</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w:t>
            </w: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900" w:type="dxa"/>
            <w:vAlign w:val="bottom"/>
            <w:gridSpan w:val="3"/>
          </w:tcPr>
          <w:p>
            <w:pPr>
              <w:jc w:val="center"/>
              <w:ind w:left="2510"/>
              <w:spacing w:after="0"/>
              <w:rPr>
                <w:sz w:val="20"/>
                <w:szCs w:val="20"/>
                <w:color w:val="auto"/>
              </w:rPr>
            </w:pPr>
            <w:r>
              <w:rPr>
                <w:rFonts w:ascii="Arial" w:cs="Arial" w:eastAsia="Arial" w:hAnsi="Arial"/>
                <w:sz w:val="18"/>
                <w:szCs w:val="18"/>
                <w:b w:val="1"/>
                <w:bCs w:val="1"/>
                <w:color w:val="auto"/>
                <w:w w:val="93"/>
              </w:rPr>
              <w:t>New York, New York</w:t>
            </w: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10006</w:t>
            </w:r>
          </w:p>
        </w:tc>
      </w:tr>
      <w:tr>
        <w:trPr>
          <w:trHeight w:val="224"/>
        </w:trPr>
        <w:tc>
          <w:tcPr>
            <w:tcW w:w="20" w:type="dxa"/>
            <w:vAlign w:val="bottom"/>
          </w:tcPr>
          <w:p>
            <w:pPr>
              <w:spacing w:after="0"/>
              <w:rPr>
                <w:sz w:val="19"/>
                <w:szCs w:val="19"/>
                <w:color w:val="auto"/>
              </w:rPr>
            </w:pPr>
          </w:p>
        </w:tc>
        <w:tc>
          <w:tcPr>
            <w:tcW w:w="7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4920" w:type="dxa"/>
            <w:vAlign w:val="bottom"/>
            <w:gridSpan w:val="4"/>
          </w:tcPr>
          <w:p>
            <w:pPr>
              <w:jc w:val="center"/>
              <w:ind w:right="1220"/>
              <w:spacing w:after="0"/>
              <w:rPr>
                <w:sz w:val="20"/>
                <w:szCs w:val="20"/>
                <w:color w:val="auto"/>
              </w:rPr>
            </w:pPr>
            <w:r>
              <w:rPr>
                <w:rFonts w:ascii="Arial" w:cs="Arial" w:eastAsia="Arial" w:hAnsi="Arial"/>
                <w:sz w:val="18"/>
                <w:szCs w:val="18"/>
                <w:color w:val="auto"/>
                <w:w w:val="89"/>
              </w:rPr>
              <w:t>Registrant’s telephone number, including area code</w:t>
            </w:r>
          </w:p>
        </w:tc>
        <w:tc>
          <w:tcPr>
            <w:tcW w:w="2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590"/>
              <w:spacing w:after="0"/>
              <w:rPr>
                <w:sz w:val="20"/>
                <w:szCs w:val="20"/>
                <w:color w:val="auto"/>
              </w:rPr>
            </w:pPr>
            <w:r>
              <w:rPr>
                <w:rFonts w:ascii="Arial" w:cs="Arial" w:eastAsia="Arial" w:hAnsi="Arial"/>
                <w:sz w:val="18"/>
                <w:szCs w:val="18"/>
                <w:b w:val="1"/>
                <w:bCs w:val="1"/>
                <w:color w:val="auto"/>
                <w:w w:val="94"/>
              </w:rPr>
              <w:t>(212) 297-0200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right="2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September 6, 2017, ABM Industries Incorporated (the “Company”) issued a press release announcing financial results related to the third quarter of fiscal year 2017. A copy of the press release is attached as Exhibit 99.1,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the press release attached as Exhibit 99.1, the Company will hold a live web cast on September 7, 2017 relating to the Company’s financial results for the third quarter of fiscal year 2017. A copy of the slides to be presented at the Company’s web cast and discussed in the conference call relating to such financial results is being furnished as Exhibit 99.2 to this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September 6, 2017, the Company announced that the Board of Directors of the Company declared a quarterly dividend of $0.17 per share, payable on November 6, 2017 to stockholders of record on October 5, 2017. A copy of the press release announcing the declaration of the dividend is attached as Exhibit 99.1, which is incorporated into this item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660" w:right="300" w:hanging="647"/>
        <w:spacing w:after="0" w:line="308" w:lineRule="auto"/>
        <w:tabs>
          <w:tab w:leader="none" w:pos="640" w:val="left"/>
        </w:tabs>
        <w:rPr>
          <w:rFonts w:ascii="Arial" w:cs="Arial" w:eastAsia="Arial" w:hAnsi="Arial"/>
          <w:sz w:val="17"/>
          <w:szCs w:val="17"/>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7"/>
            <w:szCs w:val="17"/>
            <w:u w:val="single" w:color="auto"/>
            <w:color w:val="0000EE"/>
          </w:rPr>
          <w:t>Press Release issued by ABM Industries Incorporated, dated September 6, 2017, announcing financial results related to the third quarter of fiscal</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year 2017 and the declaration of a dividend payable November 6, 2017 to stockholders of record on October 5, 2017.</w:t>
        </w:r>
      </w:hyperlink>
    </w:p>
    <w:p>
      <w:pPr>
        <w:spacing w:after="0" w:line="14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Slides of ABM Industries Incorporated dated September 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9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ABM INDUSTRIES INCORPORATED</w:t>
            </w:r>
          </w:p>
        </w:tc>
      </w:tr>
      <w:tr>
        <w:trPr>
          <w:trHeight w:val="392"/>
        </w:trPr>
        <w:tc>
          <w:tcPr>
            <w:tcW w:w="3800" w:type="dxa"/>
            <w:vAlign w:val="bottom"/>
            <w:gridSpan w:val="3"/>
          </w:tcPr>
          <w:p>
            <w:pPr>
              <w:spacing w:after="0"/>
              <w:rPr>
                <w:sz w:val="20"/>
                <w:szCs w:val="20"/>
                <w:color w:val="auto"/>
              </w:rPr>
            </w:pPr>
            <w:r>
              <w:rPr>
                <w:rFonts w:ascii="Arial" w:cs="Arial" w:eastAsia="Arial" w:hAnsi="Arial"/>
                <w:sz w:val="18"/>
                <w:szCs w:val="18"/>
                <w:color w:val="auto"/>
              </w:rPr>
              <w:t>Dated: September 6, 2017</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Barbara L. Smithers</w:t>
            </w:r>
          </w:p>
        </w:tc>
      </w:tr>
      <w:tr>
        <w:trPr>
          <w:trHeight w:val="21"/>
        </w:trPr>
        <w:tc>
          <w:tcPr>
            <w:tcW w:w="5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Barbara L. Smithers</w:t>
            </w:r>
          </w:p>
        </w:tc>
      </w:tr>
      <w:tr>
        <w:trPr>
          <w:trHeight w:val="216"/>
        </w:trPr>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Deputy General</w:t>
            </w:r>
          </w:p>
        </w:tc>
      </w:tr>
      <w:tr>
        <w:trPr>
          <w:trHeight w:val="230"/>
        </w:trPr>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Counsel and Assistant Secretary</w:t>
            </w:r>
          </w:p>
        </w:tc>
      </w:tr>
      <w:tr>
        <w:trPr>
          <w:trHeight w:val="648"/>
        </w:trPr>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60" w:hanging="647"/>
        <w:spacing w:after="0" w:line="308" w:lineRule="auto"/>
        <w:tabs>
          <w:tab w:leader="none" w:pos="640" w:val="left"/>
        </w:tabs>
        <w:rPr>
          <w:rFonts w:ascii="Arial" w:cs="Arial" w:eastAsia="Arial" w:hAnsi="Arial"/>
          <w:sz w:val="17"/>
          <w:szCs w:val="17"/>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7"/>
            <w:szCs w:val="17"/>
            <w:u w:val="single" w:color="auto"/>
            <w:color w:val="0000EE"/>
          </w:rPr>
          <w:t>Press Release issued by ABM Industries Incorporated, dated September 6, 2017, announcing financial results related to the third quarter of fiscal</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year 2017 and the declaration of a dividend payable November 6, 2017 to stockholders of record on October 5, 2017.</w:t>
        </w:r>
      </w:hyperlink>
    </w:p>
    <w:p>
      <w:pPr>
        <w:spacing w:after="0" w:line="147"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Slides of ABM Industries Incorporated dated September 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60475" cy="763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04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ANNOUNCES RESULTS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FISCAL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Revenues Increase to $1.3 billion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Continuing EPS of $0.58; Adjusted Continuing EPS of $0.51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Declaration of 206</w:t>
      </w:r>
      <w:r>
        <w:rPr>
          <w:rFonts w:ascii="Arial" w:cs="Arial" w:eastAsia="Arial" w:hAnsi="Arial"/>
          <w:sz w:val="30"/>
          <w:szCs w:val="30"/>
          <w:i w:val="1"/>
          <w:iCs w:val="1"/>
          <w:color w:val="auto"/>
          <w:vertAlign w:val="superscript"/>
        </w:rPr>
        <w:t>th</w:t>
      </w:r>
      <w:r>
        <w:rPr>
          <w:rFonts w:ascii="Arial" w:cs="Arial" w:eastAsia="Arial" w:hAnsi="Arial"/>
          <w:sz w:val="18"/>
          <w:szCs w:val="18"/>
          <w:i w:val="1"/>
          <w:iCs w:val="1"/>
          <w:color w:val="auto"/>
        </w:rPr>
        <w:t xml:space="preserve"> Consecutive Quarterly Dividend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 September 6, 2017 - ABM (NYSE: ABM), a leading provider of facility solutions, today announced financial results for the third quarter of fiscal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(in millions, except per share amounts)</w:t>
            </w:r>
          </w:p>
        </w:tc>
        <w:tc>
          <w:tcPr>
            <w:tcW w:w="200" w:type="dxa"/>
            <w:vAlign w:val="bottom"/>
          </w:tcPr>
          <w:p>
            <w:pPr>
              <w:spacing w:after="0"/>
              <w:rPr>
                <w:sz w:val="18"/>
                <w:szCs w:val="18"/>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5"/>
              </w:rPr>
              <w:t>Three Months Ended</w:t>
            </w: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Increase/</w:t>
            </w:r>
          </w:p>
        </w:tc>
        <w:tc>
          <w:tcPr>
            <w:tcW w:w="200" w:type="dxa"/>
            <w:vAlign w:val="bottom"/>
          </w:tcPr>
          <w:p>
            <w:pPr>
              <w:spacing w:after="0"/>
              <w:rPr>
                <w:sz w:val="18"/>
                <w:szCs w:val="18"/>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3780" w:type="dxa"/>
            <w:vAlign w:val="bottom"/>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July 31,</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July 31,</w:t>
            </w:r>
          </w:p>
        </w:tc>
        <w:tc>
          <w:tcPr>
            <w:tcW w:w="7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(unaudited)</w:t>
            </w:r>
          </w:p>
        </w:tc>
        <w:tc>
          <w:tcPr>
            <w:tcW w:w="20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(Decrease)</w:t>
            </w:r>
          </w:p>
        </w:tc>
        <w:tc>
          <w:tcPr>
            <w:tcW w:w="200" w:type="dxa"/>
            <w:vAlign w:val="bottom"/>
          </w:tcPr>
          <w:p>
            <w:pPr>
              <w:spacing w:after="0"/>
              <w:rPr>
                <w:sz w:val="19"/>
                <w:szCs w:val="19"/>
                <w:color w:val="auto"/>
              </w:rPr>
            </w:pP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2016</w:t>
            </w:r>
          </w:p>
        </w:tc>
        <w:tc>
          <w:tcPr>
            <w:tcW w:w="2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3,955.6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44.0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Income from continuing operations per diluted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income from continuing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8"/>
              </w:rPr>
              <w:t>Adjusted income from continuing operations per</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 per 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0.87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operating activities of</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61.1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166.0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(40)bps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refers to certain non-GAAP financial measures described as “Adjusted EBITDA” defined as earnings before income from discontinued operations, net of taxes, interest, taxes, depreciation and amortization and excluding items impacting comparability, "Adjusted EBITDA margin", “Adjusted income from continuing operations,” and “Adjusted income from continuing operations per diluted share”. These adjustments have been made with the intent of providing financial measures that give management and investors a more representative understanding of underlying operational results and trends as well as the Company’s operational performance. Management also uses Adjusted EBITDA as a basis for planning and forecasting future periods. Please refer to the accompanying financial schedules for supplemental financial data and corresponding reconciliation of these non-GAAP financial measures to certain GAAP financial measures. We round amounts in these schedules to millions and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Performance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third quarter of fiscal 2017, revenues of approximately $1.3 billion increased 1.7%. Excluding the Company's Government Services business, which was sold on May 31, 2017, organic revenue increased 2.3% compared to the third quarter of fiscal 2016. The Company's organic revenue performance was driven primarily by growth stemming from both new business wins and expansions with existing clients, including greater Work Order (tag) sales. In addition, acquisitions provided $8.7 million of incremental revenues during the quarter primarily related to the Aviation and Technical Solutions segments.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On a GAAP basis, income from continuing operations was $32.9 million, or $0.58 per diluted share, compared to income from continuing operations of $32.9 million, or $0.58 per diluted share last year. Income from continuing operations versus last year reflects higher revenue contribution, higher savings related to the Company's 2020 Vision initiatives, and favorable items impacting comparability. This performance was offset by one additional working day this year, which primarily impacted the Business &amp; Industry segment. Additionally, a contract termination within the Company's Aviation segment impacted the quarter negatively.</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Adjusted income from continuing operations for the third quarter of 2017 was $29.1 million, or $0.51 per diluted share, compared to $30.6 million, or $0.54 per diluted share for the third quarter of fiscal 2016. The decrease versus last year is attributable to the aforementioned factors, but excludes items impacting comparability. A full description of items impacting comparability can be found in the "Reconciliation of Non-GAAP Financial Measures" table.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third quarter of 2017 was $32.9 million, or $0.58 per diluted share, compared to net income of $31.1 million, or $0.55 per diluted share last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for the quarter was $57.3 million compared to $61.1 million in the third quarter of fiscal 2016. Adjusted EBITDA margin for the quarter was 4.3% versus 4.7% last year. The decrease in margin versus last year is primarily attributable to one additional working day during the quarter, which offset higher savings related to the Company's 2020 Vision initiatives.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Scott Salmirs, President and Chief Executive Officer of ABM Industries, commented, "Since the announcement of our 2020 Vision, we have taken several important steps in our evolution towards becoming a company led by our industry group expertise and focused on long-term profitable growth. Our ongoing work of instituting the ABM Way is empowering us to approach our business more informatively and discerningly. As today's results demonstrate, we continue to grow and learn through our transformation and we are encouraged about the long term opportunities the continued implementation of our 2020 Vision will yield."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third quarter of fiscal 2017, revenues increased by $21.5 million, or 1.7%, compared to the third quarter of fiscal 2016. The increase in revenues was attributable to organic growth in the Aviation segment's domestic operations related to parking, transportation, cabin cleaning, catering, and passenger services for new and existing customers. The Company also experienced organic growth in the Business &amp; Industry segment as a result of higher janitorial and facility services revenues in the Company's U.S. and U.K. operations. In addition, acquisitions provided $8.7 million of incremental revenues during the quarter primarily reflected in the Aviation and Technical Solutions segments.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profit for the quarter was $22.6 million compared to $18.5 million in the third quarter of fiscal 2016. The increase versus last year is primarily attributable to the aforementioned lower, year-over-year items impacting comparability, higher revenue contribution, and procurement and organizational savings related to the Company's 2020 Vision initiatives which were initiated in fiscal 2016. The year-over-year increase in the Company's operating profit for the quarter was partially offset by one additional working day and the impact of the termination of a contract within the Company's Aviation business.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Liquidity &amp;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ended the quarter with total debt, including standby letters of credit, of $392.4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repurchase any shares during the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paid a quarterly cash dividend of $0.170 per common share for a total distribution of $9.5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 of Quarterly Cash Dividend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announced that the Board of Directors has declared a cash dividend of $0.170 per common share for the third quarter of fiscal 2017 payable on November 6, 2017 to shareholders of record on October 5, 2017. This will be the Company's 206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consecutive quarterly cash dividend.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continues to quantify the full financial impact of its recently closed acquisition of GCA Services Group, which includes the continuation of the purchase accounting process and certain third-party valuations. As a result of the potential for these processes to have a material impact on future results, the Company is removing its previous guidance outlook.</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 Anthony Scaglione, Executive Vice President and Chief Financial Officer, concluded, "As we announced last week, we are thrilled to be expanding the ABM network with our acquisition of GCA Services Group and we welcome the valuable employees and clients of GCA. As expected, the next few months will involve a thorough and extensive integration process and the continuation of purchase accounting to quantify the full financial impact of our acquisition. Without the GCA transaction, our previous GAAP guidance would have been adjusted for the favorable impact related to expiring statutes of limitations for an uncertain tax position, partially offset by other Items Impacting Comparability. Our non-GAAP guidance range would have remained the same."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ABM will host its quarterly conference call for all interested parties on Thursday, September 7, 2017 at 8:30 AM (ET). The live conference call can be accessed via audio webcast under the "Events &amp; Presentations" section of the Company's Investor Relations website, located at investor.abm.com, or by dialing (877) 451-6152 approximately 15 minutes prior to the scheduled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supplemental presentation will accompany the webcast on the Company's website.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will be available approximately two hours after the recording through September 14, 2017 and can be accessed by dialing (844) 512-2921 and then entering ID #13668937. An archive will also be available on the ABM website for 90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ABOUT ABM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ABM (</w:t>
      </w:r>
      <w:r>
        <w:rPr>
          <w:rFonts w:ascii="Arial" w:cs="Arial" w:eastAsia="Arial" w:hAnsi="Arial"/>
          <w:sz w:val="18"/>
          <w:szCs w:val="18"/>
          <w:u w:val="single" w:color="auto"/>
          <w:color w:val="auto"/>
        </w:rPr>
        <w:t>NYSE: ABM</w:t>
      </w:r>
      <w:r>
        <w:rPr>
          <w:rFonts w:ascii="Arial" w:cs="Arial" w:eastAsia="Arial" w:hAnsi="Arial"/>
          <w:sz w:val="18"/>
          <w:szCs w:val="18"/>
          <w:color w:val="auto"/>
        </w:rPr>
        <w:t xml:space="preserve">) is a leading provider of facility solutions with revenues of approximately $5.1 billion and over 130,000 employees in 350+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18"/>
          <w:szCs w:val="18"/>
          <w:u w:val="single" w:color="auto"/>
          <w:color w:val="auto"/>
        </w:rPr>
        <w:t>www.abm.com</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Cautionary Statement under the Private Securities Litigation Reform Act of 1995</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press release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risks and uncertainties that could cause our actual results to be materially different from those expressed in our forward-looking statements include the following: (1) we may not realize the growth opportunities and cost synergies that are anticipated from the acquisition of GCA Services Group (“GCA”); (2) we have incurred a substantial amount of debt to complete the acquisition of GCA, and to service our debt we will require a significant amount of cash; (3) changes to our businesses, operating structure, financial reporting structure, or personnel relating to the implementation of our 2020 Vision strategic transformation initiative; (4) unfavorable developments in our class and representative actions and other lawsuits alleging various claims; (5) increases in estimates of ultimate insurance losses; (6) our risk management and safety programs may not be successful in achieving anticipated improvements; (7) challenges preserving long-term client relationships, passing through costs to clients, responding to competitive pressures, and retaining qualified personnel; (8) unexpected tax liabilities or changes in tax laws; (9) the impact of Hurricane Harvey on our business is currently unknown as the flooding it caused has disrupted operations at our Shared Services Center in Sugar Land, TX and impacted services we provide to clients in the Houston area and the time frame to resume operations and provision of services to impacted clients is uncertain; (10) deterioration of general economic conditions and resulting reductions in commercial office building occupancy; (11) impairment of goodwill and long-lived assets; (12) changes in immigration laws, or enforcement actions or investigations under such laws; (13) failure of our joint venture partners to perform their obligations; (14) losses or other incidents at facilities in which we operate; (15) difficulty responding to cyber-security incidents and business interruptions; (16) liabilities associated with participation in multiemployer pension plans; (17) actions of activist investors; and (18) weather conditions, catastrophic events, and terrorist attacks.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To supplement ABM’s consolidated financial information, the Company has presented income from continuing operations and income from continuing operations per diluted share as adjusted for items impacting comparability, for the third quarter and fiscal years 2017 and 2016.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income from discontinued operations, net of taxes, interest, taxes, depreciation and amortization and excluding items impacting comparability (adjusted EBITDA) for the third quarter of fiscal years 2017 and 2016.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Contact:</w:t>
            </w:r>
          </w:p>
        </w:tc>
        <w:tc>
          <w:tcPr>
            <w:tcW w:w="26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Investor &amp; Media Relations:</w:t>
            </w:r>
          </w:p>
        </w:tc>
        <w:tc>
          <w:tcPr>
            <w:tcW w:w="1540" w:type="dxa"/>
            <w:vAlign w:val="bottom"/>
          </w:tcPr>
          <w:p>
            <w:pPr>
              <w:spacing w:after="0"/>
              <w:rPr>
                <w:sz w:val="20"/>
                <w:szCs w:val="20"/>
                <w:color w:val="auto"/>
              </w:rPr>
            </w:pPr>
            <w:r>
              <w:rPr>
                <w:rFonts w:ascii="Arial" w:cs="Arial" w:eastAsia="Arial" w:hAnsi="Arial"/>
                <w:sz w:val="18"/>
                <w:szCs w:val="18"/>
                <w:color w:val="auto"/>
              </w:rPr>
              <w:t>Susie A. Choi</w:t>
            </w:r>
          </w:p>
        </w:tc>
      </w:tr>
      <w:tr>
        <w:trPr>
          <w:trHeight w:val="216"/>
        </w:trPr>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(212) 297-9721</w:t>
            </w:r>
          </w:p>
        </w:tc>
      </w:tr>
      <w:tr>
        <w:trPr>
          <w:trHeight w:val="190"/>
        </w:trPr>
        <w:tc>
          <w:tcPr>
            <w:tcW w:w="6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5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susie.choi@abm.com</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Financial Schedules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CONSOLIDATED INCOME STATEMENT INFORMATION (UNAUDITED)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6"/>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Three Months Ended July 31,</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millions, except per share amounts)</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tcPr>
          <w:p>
            <w:pPr>
              <w:spacing w:after="0"/>
              <w:rPr>
                <w:sz w:val="19"/>
                <w:szCs w:val="19"/>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1,161.3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Restructuring and related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Impairment recovery and gain on sale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63"/>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197"/>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share — basic</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94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30"/>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10"/>
        </w:trPr>
        <w:tc>
          <w:tcPr>
            <w:tcW w:w="69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4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10"/>
        </w:trPr>
        <w:tc>
          <w:tcPr>
            <w:tcW w:w="69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4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0.170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0.165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 INFORMATION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Nine Months Ended July 31,</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millions, except per share amounts)</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tcPr>
          <w:p>
            <w:pPr>
              <w:spacing w:after="0"/>
              <w:rPr>
                <w:sz w:val="19"/>
                <w:szCs w:val="19"/>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3,430.1</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Restructuring and related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Impairment recovery and gain on sale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63"/>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(85.0)%</w:t>
            </w:r>
          </w:p>
        </w:tc>
      </w:tr>
      <w:tr>
        <w:trPr>
          <w:trHeight w:val="197"/>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share — Basic</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9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r>
      <w:tr>
        <w:trPr>
          <w:trHeight w:val="230"/>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63"/>
        </w:trPr>
        <w:tc>
          <w:tcPr>
            <w:tcW w:w="6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(85.2)%</w:t>
            </w:r>
          </w:p>
        </w:tc>
      </w:tr>
      <w:tr>
        <w:trPr>
          <w:trHeight w:val="197"/>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share — diluted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9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r>
      <w:tr>
        <w:trPr>
          <w:trHeight w:val="230"/>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r>
      <w:tr>
        <w:trPr>
          <w:trHeight w:val="263"/>
        </w:trPr>
        <w:tc>
          <w:tcPr>
            <w:tcW w:w="6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(85.1)%</w:t>
            </w:r>
          </w:p>
        </w:tc>
      </w:tr>
      <w:tr>
        <w:trPr>
          <w:trHeight w:val="197"/>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94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0.510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0.495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SELECTED CONSOLIDATED CASH FLOW INFORMATION (UNAUDITED)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3"/>
              </w:rPr>
              <w:t>Three Months Ended July 31,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cash used in operating activities of discontinued operations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Proceeds from sale of business</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35.5</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Proceeds from issuance of share-based compensation awards, net of taxes withheld</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Incremental tax benefit from share-based compensation awards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Borrowings from line of credit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229.1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Repayment of borrowings from line of credit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Changes in book cash overdrafts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Financing of energy savings performance contracts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34"/>
        </w:trPr>
        <w:tc>
          <w:tcPr>
            <w:tcW w:w="846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SELECTED CONSOLIDATED CASH FLOW INFORMATION (UNAUDITED)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Nine Months Ended July 31,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cash used in operating activities of discontinued operations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Purchase of businesses, net of cash acquired</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(18.6)</w:t>
            </w: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business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 of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cash used in investing activities of discontinued operations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Proceeds from issuance of share-based compensation awards, net of taxes withheld</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Borrowings from line of credit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Repayment of borrowings from line of credit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Changes in book cash overdrafts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Financing of energy savings performance contracts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exchange rate changes on cash and cash equivalents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846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 INFORMATION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4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2017</w:t>
            </w:r>
          </w:p>
        </w:tc>
        <w:tc>
          <w:tcPr>
            <w:tcW w:w="152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October 31, 2016</w:t>
            </w:r>
          </w:p>
        </w:tc>
        <w:tc>
          <w:tcPr>
            <w:tcW w:w="0" w:type="dxa"/>
            <w:vAlign w:val="bottom"/>
          </w:tcPr>
          <w:p>
            <w:pPr>
              <w:spacing w:after="0"/>
              <w:rPr>
                <w:sz w:val="1"/>
                <w:szCs w:val="1"/>
                <w:color w:val="auto"/>
              </w:rPr>
            </w:pPr>
          </w:p>
        </w:tc>
      </w:tr>
      <w:tr>
        <w:trPr>
          <w:trHeight w:val="210"/>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Trade accounts receivable, net of allowances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Trade 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Accrued taxes—other than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Insurance claims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Legal settlements from discontinued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Liabilities held for sale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taxes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Noncurrent insurance claims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0"/>
        </w:trPr>
        <w:tc>
          <w:tcPr>
            <w:tcW w:w="84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56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4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REVENUES AND OPERATING PROFIT BY SEGMENT (UNAUDITED)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3"/>
              </w:rPr>
              <w:t>Three Months Ended July 31,</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0"/>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Business &amp; Industry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749.9</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733.4</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Aviation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Emerging Industries Group</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Technical Solutions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Government Services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Business &amp; Industry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Aviation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Emerging Industries Group</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Technical Solutions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(55.0)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income from unconsolidated affiliates, net, included in Aviation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Services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Adjustment for tax deductions for energy efficient government buildings, included in Technical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4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profit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b w:val="1"/>
                <w:bCs w:val="1"/>
                <w:color w:val="auto"/>
              </w:rPr>
              <w:t>REVENUES AND OPERATING PROFIT BY SEGMENT (UNAUDITED)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3"/>
              </w:rPr>
              <w:t>Nine Months Ended July 31,</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10"/>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Business &amp; Industry</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2,237.5</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2,207.4</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Aviation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Emerging Industries Group</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594.7</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Technical Solutions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309.8</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Government Services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Business &amp; Industry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Aviation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Emerging Industries Group</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Technical Solutions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(130.5)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income from unconsolidated affiliates, net, included in Aviation and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Services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Adjustment for tax deductions for energy efficient government buildings, included in Technical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4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profit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right="5020"/>
        <w:spacing w:after="0" w:line="282" w:lineRule="auto"/>
        <w:rPr>
          <w:sz w:val="20"/>
          <w:szCs w:val="20"/>
          <w:color w:val="auto"/>
        </w:rPr>
      </w:pPr>
      <w:r>
        <w:rPr>
          <w:rFonts w:ascii="Arial" w:cs="Arial" w:eastAsia="Arial" w:hAnsi="Arial"/>
          <w:sz w:val="18"/>
          <w:szCs w:val="18"/>
          <w:b w:val="1"/>
          <w:bCs w:val="1"/>
          <w:color w:val="auto"/>
        </w:rPr>
        <w:t>ABM INDUSTRIES INCORPORATED AND SUBSIDIARIES RECONCILIATIONS OF NON-GAAP FINANCIAL MEASURES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3"/>
              </w:rPr>
              <w:t>Three Months Ended July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4"/>
              </w:rPr>
              <w:t>Nine Months Ended July 31,</w:t>
            </w: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 except per share amounts)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55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7"/>
              </w:rPr>
              <w:t>Reconciliation of Income from Continuing Operations to Adjusted</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80.6</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r>
      <w:tr>
        <w:trPr>
          <w:trHeight w:val="257"/>
        </w:trPr>
        <w:tc>
          <w:tcPr>
            <w:tcW w:w="5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Items impacting comparability</w:t>
            </w:r>
            <w:r>
              <w:rPr>
                <w:rFonts w:ascii="Arial" w:cs="Arial" w:eastAsia="Arial" w:hAnsi="Arial"/>
                <w:sz w:val="29"/>
                <w:szCs w:val="29"/>
                <w:color w:val="auto"/>
                <w:vertAlign w:val="superscript"/>
              </w:rPr>
              <w:t>(a)</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5620" w:type="dxa"/>
            <w:vAlign w:val="bottom"/>
            <w:gridSpan w:val="2"/>
          </w:tcPr>
          <w:p>
            <w:pPr>
              <w:ind w:left="280"/>
              <w:spacing w:after="0" w:line="256" w:lineRule="exact"/>
              <w:rPr>
                <w:sz w:val="20"/>
                <w:szCs w:val="20"/>
                <w:color w:val="auto"/>
              </w:rPr>
            </w:pPr>
            <w:r>
              <w:rPr>
                <w:rFonts w:ascii="Arial" w:cs="Arial" w:eastAsia="Arial" w:hAnsi="Arial"/>
                <w:sz w:val="18"/>
                <w:szCs w:val="18"/>
                <w:color w:val="auto"/>
              </w:rPr>
              <w:t>Prior year self-insurance adjustment</w:t>
            </w:r>
            <w:r>
              <w:rPr>
                <w:rFonts w:ascii="Arial" w:cs="Arial" w:eastAsia="Arial" w:hAnsi="Arial"/>
                <w:sz w:val="29"/>
                <w:szCs w:val="29"/>
                <w:color w:val="auto"/>
                <w:vertAlign w:val="superscript"/>
              </w:rPr>
              <w:t>(b)</w:t>
            </w:r>
          </w:p>
        </w:tc>
        <w:tc>
          <w:tcPr>
            <w:tcW w:w="16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2"/>
                <w:szCs w:val="22"/>
                <w:color w:val="auto"/>
              </w:rPr>
            </w:pPr>
          </w:p>
        </w:tc>
      </w:tr>
      <w:tr>
        <w:trPr>
          <w:trHeight w:val="257"/>
        </w:trPr>
        <w:tc>
          <w:tcPr>
            <w:tcW w:w="5620" w:type="dxa"/>
            <w:vAlign w:val="bottom"/>
            <w:gridSpan w:val="2"/>
            <w:shd w:val="clear" w:color="auto" w:fill="CCEEFF"/>
          </w:tcPr>
          <w:p>
            <w:pPr>
              <w:ind w:left="280"/>
              <w:spacing w:after="0" w:line="256" w:lineRule="exact"/>
              <w:rPr>
                <w:sz w:val="20"/>
                <w:szCs w:val="20"/>
                <w:color w:val="auto"/>
              </w:rPr>
            </w:pPr>
            <w:r>
              <w:rPr>
                <w:rFonts w:ascii="Arial" w:cs="Arial" w:eastAsia="Arial" w:hAnsi="Arial"/>
                <w:sz w:val="18"/>
                <w:szCs w:val="18"/>
                <w:color w:val="auto"/>
              </w:rPr>
              <w:t>U.S. Foreign Corrupt Practices Act investigation</w:t>
            </w:r>
            <w:r>
              <w:rPr>
                <w:rFonts w:ascii="Arial" w:cs="Arial" w:eastAsia="Arial" w:hAnsi="Arial"/>
                <w:sz w:val="29"/>
                <w:szCs w:val="29"/>
                <w:color w:val="auto"/>
                <w:vertAlign w:val="superscript"/>
              </w:rPr>
              <w:t>(c)</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2"/>
                <w:szCs w:val="22"/>
                <w:color w:val="auto"/>
              </w:rPr>
            </w:pPr>
          </w:p>
        </w:tc>
      </w:tr>
      <w:tr>
        <w:trPr>
          <w:trHeight w:val="257"/>
        </w:trPr>
        <w:tc>
          <w:tcPr>
            <w:tcW w:w="5620" w:type="dxa"/>
            <w:vAlign w:val="bottom"/>
            <w:gridSpan w:val="2"/>
          </w:tcPr>
          <w:p>
            <w:pPr>
              <w:ind w:left="280"/>
              <w:spacing w:after="0" w:line="256" w:lineRule="exact"/>
              <w:rPr>
                <w:sz w:val="20"/>
                <w:szCs w:val="20"/>
                <w:color w:val="auto"/>
              </w:rPr>
            </w:pPr>
            <w:r>
              <w:rPr>
                <w:rFonts w:ascii="Arial" w:cs="Arial" w:eastAsia="Arial" w:hAnsi="Arial"/>
                <w:sz w:val="18"/>
                <w:szCs w:val="18"/>
                <w:color w:val="auto"/>
              </w:rPr>
              <w:t>Restructuring and related</w:t>
            </w:r>
            <w:r>
              <w:rPr>
                <w:rFonts w:ascii="Arial" w:cs="Arial" w:eastAsia="Arial" w:hAnsi="Arial"/>
                <w:sz w:val="29"/>
                <w:szCs w:val="29"/>
                <w:color w:val="auto"/>
                <w:vertAlign w:val="superscript"/>
              </w:rPr>
              <w:t>(d)</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2"/>
                <w:szCs w:val="22"/>
                <w:color w:val="auto"/>
              </w:rPr>
            </w:pPr>
          </w:p>
        </w:tc>
      </w:tr>
      <w:tr>
        <w:trPr>
          <w:trHeight w:val="216"/>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57"/>
        </w:trPr>
        <w:tc>
          <w:tcPr>
            <w:tcW w:w="5620" w:type="dxa"/>
            <w:vAlign w:val="bottom"/>
            <w:gridSpan w:val="2"/>
          </w:tcPr>
          <w:p>
            <w:pPr>
              <w:ind w:left="280"/>
              <w:spacing w:after="0" w:line="256" w:lineRule="exact"/>
              <w:rPr>
                <w:sz w:val="20"/>
                <w:szCs w:val="20"/>
                <w:color w:val="auto"/>
              </w:rPr>
            </w:pPr>
            <w:r>
              <w:rPr>
                <w:rFonts w:ascii="Arial" w:cs="Arial" w:eastAsia="Arial" w:hAnsi="Arial"/>
                <w:sz w:val="18"/>
                <w:szCs w:val="18"/>
                <w:color w:val="auto"/>
              </w:rPr>
              <w:t>Litigation and other settlements</w:t>
            </w:r>
            <w:r>
              <w:rPr>
                <w:rFonts w:ascii="Arial" w:cs="Arial" w:eastAsia="Arial" w:hAnsi="Arial"/>
                <w:sz w:val="29"/>
                <w:szCs w:val="29"/>
                <w:color w:val="auto"/>
                <w:vertAlign w:val="superscript"/>
              </w:rPr>
              <w:t>(e)</w:t>
            </w:r>
          </w:p>
        </w:tc>
        <w:tc>
          <w:tcPr>
            <w:tcW w:w="16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2"/>
                <w:szCs w:val="22"/>
                <w:color w:val="auto"/>
              </w:rPr>
            </w:pPr>
          </w:p>
        </w:tc>
      </w:tr>
      <w:tr>
        <w:trPr>
          <w:trHeight w:val="216"/>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Impairment recovery and gain on sale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280"/>
              <w:spacing w:after="0" w:line="269" w:lineRule="exact"/>
              <w:rPr>
                <w:sz w:val="20"/>
                <w:szCs w:val="20"/>
                <w:color w:val="auto"/>
              </w:rPr>
            </w:pPr>
            <w:r>
              <w:rPr>
                <w:rFonts w:ascii="Arial" w:cs="Arial" w:eastAsia="Arial" w:hAnsi="Arial"/>
                <w:sz w:val="18"/>
                <w:szCs w:val="18"/>
                <w:color w:val="auto"/>
              </w:rPr>
              <w:t>Gain from equity investment</w:t>
            </w:r>
            <w:r>
              <w:rPr>
                <w:rFonts w:ascii="Arial" w:cs="Arial" w:eastAsia="Arial" w:hAnsi="Arial"/>
                <w:sz w:val="30"/>
                <w:szCs w:val="30"/>
                <w:color w:val="auto"/>
                <w:vertAlign w:val="superscript"/>
              </w:rPr>
              <w:t>(f)</w:t>
            </w:r>
          </w:p>
        </w:tc>
        <w:tc>
          <w:tcPr>
            <w:tcW w:w="16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items impacting comparability</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0"/>
        </w:trPr>
        <w:tc>
          <w:tcPr>
            <w:tcW w:w="5620" w:type="dxa"/>
            <w:vAlign w:val="bottom"/>
            <w:gridSpan w:val="2"/>
          </w:tcPr>
          <w:p>
            <w:pPr>
              <w:spacing w:after="0" w:line="269" w:lineRule="exact"/>
              <w:rPr>
                <w:sz w:val="20"/>
                <w:szCs w:val="20"/>
                <w:color w:val="auto"/>
              </w:rPr>
            </w:pPr>
            <w:r>
              <w:rPr>
                <w:rFonts w:ascii="Arial" w:cs="Arial" w:eastAsia="Arial" w:hAnsi="Arial"/>
                <w:sz w:val="18"/>
                <w:szCs w:val="18"/>
                <w:color w:val="auto"/>
              </w:rPr>
              <w:t>Income tax benefit</w:t>
            </w:r>
            <w:r>
              <w:rPr>
                <w:rFonts w:ascii="Arial" w:cs="Arial" w:eastAsia="Arial" w:hAnsi="Arial"/>
                <w:sz w:val="30"/>
                <w:szCs w:val="30"/>
                <w:color w:val="auto"/>
                <w:vertAlign w:val="superscript"/>
              </w:rPr>
              <w:t>(g) (i)</w:t>
            </w:r>
          </w:p>
        </w:tc>
        <w:tc>
          <w:tcPr>
            <w:tcW w:w="16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(42.6)</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Items impacting comparability, net of taxes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Adjusted income from continuing operations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 July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4"/>
              </w:rPr>
              <w:t>Nine Months Ended July 31,</w:t>
            </w:r>
          </w:p>
        </w:tc>
      </w:tr>
      <w:tr>
        <w:trPr>
          <w:trHeight w:val="223"/>
        </w:trPr>
        <w:tc>
          <w:tcPr>
            <w:tcW w:w="56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Pr>
          <w:p>
            <w:pPr>
              <w:jc w:val="right"/>
              <w:ind w:right="69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impacting comparability</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loss from discontinued operations</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57"/>
        </w:trPr>
        <w:tc>
          <w:tcPr>
            <w:tcW w:w="5620" w:type="dxa"/>
            <w:vAlign w:val="bottom"/>
          </w:tcPr>
          <w:p>
            <w:pPr>
              <w:ind w:left="180"/>
              <w:spacing w:after="0" w:line="256" w:lineRule="exact"/>
              <w:rPr>
                <w:sz w:val="20"/>
                <w:szCs w:val="20"/>
                <w:color w:val="auto"/>
              </w:rPr>
            </w:pPr>
            <w:r>
              <w:rPr>
                <w:rFonts w:ascii="Arial" w:cs="Arial" w:eastAsia="Arial" w:hAnsi="Arial"/>
                <w:sz w:val="18"/>
                <w:szCs w:val="18"/>
                <w:color w:val="auto"/>
              </w:rPr>
              <w:t>Interest income from energy efficient government buildings</w:t>
            </w:r>
            <w:r>
              <w:rPr>
                <w:rFonts w:ascii="Arial" w:cs="Arial" w:eastAsia="Arial" w:hAnsi="Arial"/>
                <w:sz w:val="29"/>
                <w:szCs w:val="29"/>
                <w:color w:val="auto"/>
                <w:vertAlign w:val="superscript"/>
              </w:rPr>
              <w:t>(h)</w:t>
            </w:r>
          </w:p>
        </w:tc>
        <w:tc>
          <w:tcPr>
            <w:tcW w:w="86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 July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 July 31,</w:t>
            </w:r>
          </w:p>
        </w:tc>
      </w:tr>
      <w:tr>
        <w:trPr>
          <w:trHeight w:val="223"/>
        </w:trPr>
        <w:tc>
          <w:tcPr>
            <w:tcW w:w="56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178"/>
        </w:trPr>
        <w:tc>
          <w:tcPr>
            <w:tcW w:w="56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Reconciliation of Income from Continuing Operations per Diluted</w:t>
            </w: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Share to Adjusted Income from Continuing Operations per Diluted</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from continuing operations per diluted share</w:t>
            </w:r>
          </w:p>
        </w:tc>
        <w:tc>
          <w:tcPr>
            <w:tcW w:w="840" w:type="dxa"/>
            <w:vAlign w:val="bottom"/>
          </w:tcPr>
          <w:p>
            <w:pPr>
              <w:jc w:val="right"/>
              <w:ind w:right="67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impacting comparability, net of taxes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income from continuing operations per diluted share</w:t>
            </w:r>
          </w:p>
        </w:tc>
        <w:tc>
          <w:tcPr>
            <w:tcW w:w="84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shares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20" w:firstLine="8"/>
        <w:spacing w:after="0" w:line="238" w:lineRule="auto"/>
        <w:tabs>
          <w:tab w:leader="none" w:pos="204"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Company adjusts income from continuing operations to exclude the impact of certain items that are unusual, non-recurring, or otherwise do not reflect management's views of the underlying operational results and trends of the Company.</w:t>
      </w:r>
    </w:p>
    <w:p>
      <w:pPr>
        <w:spacing w:after="0" w:line="244" w:lineRule="exact"/>
        <w:rPr>
          <w:rFonts w:ascii="Arial" w:cs="Arial" w:eastAsia="Arial" w:hAnsi="Arial"/>
          <w:sz w:val="24"/>
          <w:szCs w:val="24"/>
          <w:color w:val="auto"/>
          <w:vertAlign w:val="superscript"/>
        </w:rPr>
      </w:pPr>
    </w:p>
    <w:p>
      <w:pPr>
        <w:jc w:val="both"/>
        <w:ind w:firstLine="8"/>
        <w:spacing w:after="0" w:line="253" w:lineRule="auto"/>
        <w:tabs>
          <w:tab w:leader="none" w:pos="234" w:val="left"/>
        </w:tabs>
        <w:numPr>
          <w:ilvl w:val="0"/>
          <w:numId w:val="3"/>
        </w:numPr>
        <w:rPr>
          <w:rFonts w:ascii="Arial" w:cs="Arial" w:eastAsia="Arial" w:hAnsi="Arial"/>
          <w:sz w:val="27"/>
          <w:szCs w:val="27"/>
          <w:color w:val="auto"/>
          <w:vertAlign w:val="superscript"/>
        </w:rPr>
      </w:pPr>
      <w:r>
        <w:rPr>
          <w:rFonts w:ascii="Arial" w:cs="Arial" w:eastAsia="Arial" w:hAnsi="Arial"/>
          <w:sz w:val="17"/>
          <w:szCs w:val="17"/>
          <w:color w:val="auto"/>
        </w:rPr>
        <w:t>Represents adjustments to our self-insurance reserve for general liability, workers’ compensation and automobile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income from continuing operations is useful to investors by enabling them to better assess our operating performance in the context of current year profitability.</w:t>
      </w:r>
    </w:p>
    <w:p>
      <w:pPr>
        <w:spacing w:after="0" w:line="235" w:lineRule="exact"/>
        <w:rPr>
          <w:rFonts w:ascii="Arial" w:cs="Arial" w:eastAsia="Arial" w:hAnsi="Arial"/>
          <w:sz w:val="27"/>
          <w:szCs w:val="27"/>
          <w:color w:val="auto"/>
          <w:vertAlign w:val="superscript"/>
        </w:rPr>
      </w:pPr>
    </w:p>
    <w:p>
      <w:pPr>
        <w:ind w:firstLine="8"/>
        <w:spacing w:after="0" w:line="221" w:lineRule="auto"/>
        <w:tabs>
          <w:tab w:leader="none" w:pos="217"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FY17 represents reimbursement of previously expensed legal and other costs incurred in connection with an internal investigation into a foreign entity affiliated with a former joint venture partner.</w:t>
      </w:r>
    </w:p>
    <w:p>
      <w:pPr>
        <w:spacing w:after="0" w:line="161" w:lineRule="exact"/>
        <w:rPr>
          <w:rFonts w:ascii="Arial" w:cs="Arial" w:eastAsia="Arial" w:hAnsi="Arial"/>
          <w:sz w:val="26"/>
          <w:szCs w:val="26"/>
          <w:color w:val="auto"/>
          <w:vertAlign w:val="superscript"/>
        </w:rPr>
      </w:pPr>
    </w:p>
    <w:p>
      <w:pPr>
        <w:ind w:left="220" w:hanging="212"/>
        <w:spacing w:after="0"/>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Represents costs for 2020 Vision Transformation Initiative, net of the reversal of certain share-based compensation costs.</w:t>
      </w:r>
    </w:p>
    <w:p>
      <w:pPr>
        <w:spacing w:after="0" w:line="228" w:lineRule="exact"/>
        <w:rPr>
          <w:rFonts w:ascii="Arial" w:cs="Arial" w:eastAsia="Arial" w:hAnsi="Arial"/>
          <w:sz w:val="26"/>
          <w:szCs w:val="26"/>
          <w:color w:val="auto"/>
          <w:vertAlign w:val="superscript"/>
        </w:rPr>
      </w:pPr>
    </w:p>
    <w:p>
      <w:pPr>
        <w:ind w:firstLine="8"/>
        <w:spacing w:after="0" w:line="238" w:lineRule="auto"/>
        <w:tabs>
          <w:tab w:leader="none" w:pos="204"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YTD FY16 amount includes costs related to a reserve established for an outstanding client receivable that is being litigated, and a significant portion of the outstanding receivable amount is no longer deemed collectible.</w:t>
      </w:r>
    </w:p>
    <w:p>
      <w:pPr>
        <w:spacing w:after="0" w:line="129"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Company's share of a gain associated with property sales completed by one of its investments in a low income housing partnership.</w:t>
      </w:r>
    </w:p>
    <w:p>
      <w:pPr>
        <w:sectPr>
          <w:pgSz w:w="11900" w:h="16838" w:orient="portrait"/>
          <w:cols w:equalWidth="0" w:num="1">
            <w:col w:w="11420"/>
          </w:cols>
          <w:pgMar w:left="240" w:top="904" w:right="239" w:bottom="171" w:gutter="0" w:footer="0" w:header="0"/>
        </w:sectPr>
      </w:pPr>
    </w:p>
    <w:bookmarkStart w:id="17" w:name="page18"/>
    <w:bookmarkEnd w:id="17"/>
    <w:p>
      <w:pPr>
        <w:jc w:val="both"/>
        <w:ind w:left="-8" w:firstLine="8"/>
        <w:spacing w:after="0" w:line="243" w:lineRule="auto"/>
        <w:tabs>
          <w:tab w:leader="none" w:pos="204"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The Company's tax impact is calculated using the federal and state statutory rate of 41.5%, with the exception of an impairment recovery and gain on sale related to the Company’s Government Services business, for which a 39.0% tax rate was applied. We calculate tax from the underlying whole-dollar amounts, as a result, certain amounts may not recalculate based on reported numbers due to rounding.</w:t>
      </w:r>
    </w:p>
    <w:p>
      <w:pPr>
        <w:spacing w:after="0" w:line="227" w:lineRule="exact"/>
        <w:rPr>
          <w:rFonts w:ascii="Arial" w:cs="Arial" w:eastAsia="Arial" w:hAnsi="Arial"/>
          <w:sz w:val="25"/>
          <w:szCs w:val="25"/>
          <w:color w:val="auto"/>
          <w:vertAlign w:val="superscript"/>
        </w:rPr>
      </w:pPr>
    </w:p>
    <w:p>
      <w:pPr>
        <w:ind w:left="-8" w:right="20" w:firstLine="8"/>
        <w:spacing w:after="0" w:line="227" w:lineRule="auto"/>
        <w:tabs>
          <w:tab w:leader="none" w:pos="204"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Adjusted EBITDA does not include interest income for certain long term energy contracts, in which case a gross up of both interest income and interest expense is being recorded.</w:t>
      </w:r>
    </w:p>
    <w:p>
      <w:pPr>
        <w:spacing w:after="0" w:line="139" w:lineRule="exact"/>
        <w:rPr>
          <w:rFonts w:ascii="Arial" w:cs="Arial" w:eastAsia="Arial" w:hAnsi="Arial"/>
          <w:sz w:val="25"/>
          <w:szCs w:val="25"/>
          <w:color w:val="auto"/>
          <w:vertAlign w:val="superscript"/>
        </w:rPr>
      </w:pPr>
    </w:p>
    <w:p>
      <w:pPr>
        <w:ind w:left="172" w:hanging="172"/>
        <w:spacing w:after="0"/>
        <w:tabs>
          <w:tab w:leader="none" w:pos="172"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FY'17 and FY'16 include a tax benefit of $14.6M and $18.0M, respectively, related to expiring statute of limitations.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66" w:right="239" w:bottom="1440" w:gutter="0" w:footer="0" w:header="0"/>
        </w:sectPr>
      </w:pPr>
    </w:p>
    <w:bookmarkStart w:id="18" w:name="page19"/>
    <w:bookmarkEnd w:id="18"/>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746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54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6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54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54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45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745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2019-12-29T04:41:05Z</dcterms:created>
  <dcterms:modified xsi:type="dcterms:W3CDTF">2019-12-29T04:41:05Z</dcterms:modified>
</cp:coreProperties>
</file>