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10-K</w:t>
      </w:r>
    </w:p>
    <w:p>
      <w:pPr>
        <w:spacing w:after="0" w:line="200" w:lineRule="exact"/>
        <w:rPr>
          <w:sz w:val="24"/>
          <w:szCs w:val="24"/>
          <w:color w:val="auto"/>
        </w:rPr>
      </w:pPr>
    </w:p>
    <w:p>
      <w:pPr>
        <w:spacing w:after="0" w:line="313"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1940" w:right="3659" w:hanging="440"/>
        <w:spacing w:after="0" w:line="238" w:lineRule="auto"/>
        <w:tabs>
          <w:tab w:leader="none" w:pos="19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w:t>
      </w:r>
    </w:p>
    <w:p>
      <w:pPr>
        <w:spacing w:after="0" w:line="2" w:lineRule="exact"/>
        <w:rPr>
          <w:sz w:val="24"/>
          <w:szCs w:val="24"/>
          <w:color w:val="auto"/>
        </w:rPr>
      </w:pPr>
    </w:p>
    <w:p>
      <w:pPr>
        <w:ind w:left="3720"/>
        <w:spacing w:after="0"/>
        <w:rPr>
          <w:sz w:val="20"/>
          <w:szCs w:val="20"/>
          <w:color w:val="auto"/>
        </w:rPr>
      </w:pPr>
      <w:r>
        <w:rPr>
          <w:rFonts w:ascii="Courier New" w:cs="Courier New" w:eastAsia="Courier New" w:hAnsi="Courier New"/>
          <w:sz w:val="15"/>
          <w:szCs w:val="15"/>
          <w:color w:val="auto"/>
        </w:rPr>
        <w:t>EXCHANGE ACT OF 1934</w:t>
      </w:r>
    </w:p>
    <w:p>
      <w:pPr>
        <w:spacing w:after="0" w:line="342"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FOR THE FISCAL YEAR ENDED OCTOBER 31, 2000</w:t>
      </w:r>
    </w:p>
    <w:p>
      <w:pPr>
        <w:spacing w:after="0" w:line="200" w:lineRule="exact"/>
        <w:rPr>
          <w:sz w:val="24"/>
          <w:szCs w:val="24"/>
          <w:color w:val="auto"/>
        </w:rPr>
      </w:pPr>
    </w:p>
    <w:p>
      <w:pPr>
        <w:spacing w:after="0" w:line="315" w:lineRule="exact"/>
        <w:rPr>
          <w:sz w:val="24"/>
          <w:szCs w:val="24"/>
          <w:color w:val="auto"/>
        </w:rPr>
      </w:pPr>
    </w:p>
    <w:p>
      <w:pPr>
        <w:ind w:left="1060"/>
        <w:spacing w:after="0"/>
        <w:tabs>
          <w:tab w:leader="none" w:pos="1920" w:val="left"/>
        </w:tabs>
        <w:rPr>
          <w:sz w:val="20"/>
          <w:szCs w:val="20"/>
          <w:color w:val="auto"/>
        </w:rPr>
      </w:pPr>
      <w:r>
        <w:rPr>
          <w:rFonts w:ascii="Courier New" w:cs="Courier New" w:eastAsia="Courier New" w:hAnsi="Courier New"/>
          <w:sz w:val="14"/>
          <w:szCs w:val="14"/>
          <w:color w:val="auto"/>
        </w:rPr>
        <w:t>OR</w:t>
      </w:r>
      <w:r>
        <w:rPr>
          <w:sz w:val="20"/>
          <w:szCs w:val="20"/>
          <w:color w:val="auto"/>
        </w:rPr>
        <w:tab/>
      </w:r>
      <w:r>
        <w:rPr>
          <w:rFonts w:ascii="Courier New" w:cs="Courier New" w:eastAsia="Courier New" w:hAnsi="Courier New"/>
          <w:sz w:val="14"/>
          <w:szCs w:val="14"/>
          <w:color w:val="auto"/>
        </w:rPr>
        <w:t>TRANSITION REPORT PURSUANT TO SECTION 13 OR 15(d) OF THE</w:t>
      </w:r>
    </w:p>
    <w:p>
      <w:pPr>
        <w:spacing w:after="0" w:line="9"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EXCHANGE ACT OF 1934</w:t>
      </w:r>
    </w:p>
    <w:p>
      <w:pPr>
        <w:spacing w:after="0" w:line="342" w:lineRule="exact"/>
        <w:rPr>
          <w:sz w:val="24"/>
          <w:szCs w:val="24"/>
          <w:color w:val="auto"/>
        </w:rPr>
      </w:pPr>
    </w:p>
    <w:p>
      <w:pPr>
        <w:ind w:left="780"/>
        <w:spacing w:after="0"/>
        <w:tabs>
          <w:tab w:leader="none" w:pos="3600" w:val="left"/>
          <w:tab w:leader="none" w:pos="4680" w:val="left"/>
          <w:tab w:leader="none" w:pos="5020" w:val="left"/>
          <w:tab w:leader="none" w:pos="6100" w:val="left"/>
        </w:tabs>
        <w:rPr>
          <w:sz w:val="20"/>
          <w:szCs w:val="20"/>
          <w:color w:val="auto"/>
        </w:rPr>
      </w:pPr>
      <w:r>
        <w:rPr>
          <w:rFonts w:ascii="Courier New" w:cs="Courier New" w:eastAsia="Courier New" w:hAnsi="Courier New"/>
          <w:sz w:val="15"/>
          <w:szCs w:val="15"/>
          <w:color w:val="auto"/>
        </w:rPr>
        <w:t>For the Transition Period from</w:t>
        <w:tab/>
        <w:t>__________</w:t>
        <w:tab/>
        <w:t>to</w:t>
        <w:tab/>
        <w:t>__________</w:t>
      </w:r>
      <w:r>
        <w:rPr>
          <w:sz w:val="20"/>
          <w:szCs w:val="20"/>
          <w:color w:val="auto"/>
        </w:rPr>
        <w:tab/>
      </w:r>
      <w:r>
        <w:rPr>
          <w:rFonts w:ascii="Courier New" w:cs="Courier New" w:eastAsia="Courier New" w:hAnsi="Courier New"/>
          <w:sz w:val="13"/>
          <w:szCs w:val="13"/>
          <w:color w:val="auto"/>
        </w:rPr>
        <w:t>.</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1-8929</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ABM INDUSTRIES INCORPORATED</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(State or other jurisdiction of incorporation or</w:t>
      </w:r>
    </w:p>
    <w:p>
      <w:pPr>
        <w:spacing w:after="0" w:line="9"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5"/>
          <w:szCs w:val="15"/>
          <w:color w:val="auto"/>
        </w:rPr>
        <w:t>94-1369354</w:t>
      </w:r>
    </w:p>
    <w:p>
      <w:pPr>
        <w:spacing w:after="0" w:line="3"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79" w:lineRule="exact"/>
        <w:rPr>
          <w:sz w:val="24"/>
          <w:szCs w:val="24"/>
          <w:color w:val="auto"/>
        </w:rPr>
      </w:pPr>
    </w:p>
    <w:p>
      <w:pPr>
        <w:sectPr>
          <w:pgSz w:w="11900" w:h="16838" w:orient="portrait"/>
          <w:cols w:equalWidth="0" w:num="2">
            <w:col w:w="4500" w:space="720"/>
            <w:col w:w="4999"/>
          </w:cols>
          <w:pgMar w:left="240" w:top="230" w:right="1440" w:bottom="1440" w:gutter="0" w:footer="0" w:header="0"/>
          <w:type w:val="continuous"/>
        </w:sectPr>
      </w:pPr>
    </w:p>
    <w:p>
      <w:pPr>
        <w:spacing w:after="0" w:line="145" w:lineRule="exact"/>
        <w:rPr>
          <w:sz w:val="24"/>
          <w:szCs w:val="24"/>
          <w:color w:val="auto"/>
        </w:rPr>
      </w:pPr>
    </w:p>
    <w:p>
      <w:pPr>
        <w:ind w:left="1140" w:right="3919" w:hanging="359"/>
        <w:spacing w:after="0" w:line="271" w:lineRule="auto"/>
        <w:tabs>
          <w:tab w:leader="none" w:pos="1120" w:val="left"/>
        </w:tabs>
        <w:rPr>
          <w:sz w:val="20"/>
          <w:szCs w:val="20"/>
          <w:color w:val="auto"/>
        </w:rPr>
      </w:pPr>
      <w:r>
        <w:rPr>
          <w:rFonts w:ascii="Courier New" w:cs="Courier New" w:eastAsia="Courier New" w:hAnsi="Courier New"/>
          <w:sz w:val="14"/>
          <w:szCs w:val="14"/>
          <w:color w:val="auto"/>
        </w:rPr>
        <w:t>160</w:t>
        <w:tab/>
        <w:t>PACIFIC AVENUE, SUITE 222, SAN FRANCISCO, CALIFORNIA 94111 (Address and zip code of principal executive offices)</w:t>
      </w:r>
    </w:p>
    <w:p>
      <w:pPr>
        <w:spacing w:after="0" w:line="15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TELEPHONE: 415/733-4000</w:t>
      </w: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13" w:lineRule="exact"/>
        <w:rPr>
          <w:sz w:val="24"/>
          <w:szCs w:val="24"/>
          <w:color w:val="auto"/>
        </w:rPr>
      </w:pPr>
    </w:p>
    <w:tbl>
      <w:tblPr>
        <w:tblLayout w:type="fixed"/>
        <w:tblInd w:w="780" w:type="dxa"/>
        <w:tblCellMar>
          <w:top w:w="0" w:type="dxa"/>
          <w:left w:w="0" w:type="dxa"/>
          <w:bottom w:w="0" w:type="dxa"/>
          <w:right w:w="0" w:type="dxa"/>
        </w:tblCellMar>
      </w:tblPr>
      <w:tr>
        <w:trPr>
          <w:trHeight w:val="170"/>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Title of Each Class</w:t>
            </w:r>
          </w:p>
        </w:tc>
        <w:tc>
          <w:tcPr>
            <w:tcW w:w="12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Name of Each</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Exchange on Which Registered</w:t>
            </w:r>
          </w:p>
        </w:tc>
      </w:tr>
      <w:tr>
        <w:trPr>
          <w:trHeight w:val="341"/>
        </w:trPr>
        <w:tc>
          <w:tcPr>
            <w:tcW w:w="2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$.01 PAR</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YORK</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STOCK EXCHANGE</w:t>
            </w:r>
          </w:p>
        </w:tc>
      </w:tr>
      <w:tr>
        <w:trPr>
          <w:trHeight w:val="171"/>
        </w:trPr>
        <w:tc>
          <w:tcPr>
            <w:tcW w:w="2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PREFERRED STOCK PURCHASE</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RIGHTS</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YORK</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STOCK EXCHANGE</w:t>
            </w:r>
          </w:p>
        </w:tc>
      </w:tr>
    </w:tbl>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4" w:lineRule="exact"/>
        <w:rPr>
          <w:sz w:val="24"/>
          <w:szCs w:val="24"/>
          <w:color w:val="auto"/>
        </w:rPr>
      </w:pPr>
    </w:p>
    <w:p>
      <w:pPr>
        <w:ind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11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X No _</w:t>
      </w:r>
    </w:p>
    <w:p>
      <w:pPr>
        <w:spacing w:after="0" w:line="174" w:lineRule="exact"/>
        <w:rPr>
          <w:sz w:val="24"/>
          <w:szCs w:val="24"/>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As of December 31, 2000, nonaffiliates of the registrant beneficially owned 18,028,364 shares of the registrant's common stock with an aggregate market value of $552,118,648.</w:t>
      </w:r>
    </w:p>
    <w:p>
      <w:pPr>
        <w:spacing w:after="0" w:line="175" w:lineRule="exact"/>
        <w:rPr>
          <w:sz w:val="24"/>
          <w:szCs w:val="24"/>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As of December 31, 2000, there were 23,161,566 shares of the registrant's common stock outstanding.</w:t>
      </w:r>
    </w:p>
    <w:p>
      <w:pPr>
        <w:spacing w:after="0" w:line="17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Portions of the Proxy Statement to be used by the Company in connection with its 2001 Annual Meeting of Stockholders are incorporated by reference into Part III of this Form 10-K.</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ABM INDUSTRIES INCORPORATED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600" w:type="dxa"/>
            <w:vAlign w:val="bottom"/>
          </w:tcPr>
          <w:p>
            <w:pPr>
              <w:ind w:left="900"/>
              <w:spacing w:after="0"/>
              <w:rPr>
                <w:sz w:val="20"/>
                <w:szCs w:val="20"/>
                <w:color w:val="auto"/>
              </w:rPr>
            </w:pPr>
            <w:r>
              <w:rPr>
                <w:rFonts w:ascii="Courier New" w:cs="Courier New" w:eastAsia="Courier New" w:hAnsi="Courier New"/>
                <w:sz w:val="15"/>
                <w:szCs w:val="15"/>
                <w:color w:val="auto"/>
              </w:rPr>
              <w:t>FOR THE FISCAL YEAR ENDED OCTOBER 31, 2000</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83"/>
        </w:trPr>
        <w:tc>
          <w:tcPr>
            <w:tcW w:w="7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7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Business....................................................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Executive Officers of ABM...................................</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Properties..................................................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Legal Proceedings...........................................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Stockholder Matters.........................................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Selected Consolidated Financial Data........................</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and Results of Operations...................................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Qualitative and Quantitative Disclosures About Market</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Risk........................................................</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Financial Statements and Financial Statement Schedule.......</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and Financial Disclosure....................................</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III</w:t>
            </w:r>
          </w:p>
        </w:tc>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Directors and Executive Officers of the Registrant..........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Executive Compensation......................................</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Management..................................................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Exhibits, Consolidated Financial Statement Schedules, and</w:t>
            </w:r>
          </w:p>
        </w:tc>
        <w:tc>
          <w:tcPr>
            <w:tcW w:w="44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Reports on Form 8-K.........................................</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Signatures..................................................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171"/>
        </w:trPr>
        <w:tc>
          <w:tcPr>
            <w:tcW w:w="7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9"/>
              </w:rPr>
              <w:t>Exhibit Index...............................................</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r>
    </w:tbl>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tab/>
        <w:t>BUSINESS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ABM Industries Incorporated ("ABM") is the largest facility services contractor listed on the New York Stock Exchange. With annual revenues exceeding $1.8 billion and more than 60,000 employees, ABM and its subsidiaries (the "Company") provide air conditioning, elevator, engineering, janitorial, lighting, parking and security services to thousands of commercial, industrial and institutional customers in hundreds of cities across North America.</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ABM was reincorporated in Delaware on March 19, 1985, as the successor to a business founded in California in 1909. The Corporate Headquarters of the Company are located at 160 Pacific Avenue, Suite 222, San Francisco, California 94111, and its telephone number is 415/733-4000.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SEGMENT INFORMATION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Company's operations are grouped into nine industry segments or divisions (comprised of one or more subsidiaries of the Company). Referred to as "ABM Industries Incorporated Family of Services," they are listed below by their respective division name:</w:t>
      </w:r>
    </w:p>
    <w:p>
      <w:pPr>
        <w:spacing w:after="0" w:line="200" w:lineRule="exact"/>
        <w:rPr>
          <w:sz w:val="20"/>
          <w:szCs w:val="20"/>
          <w:color w:val="auto"/>
        </w:rPr>
      </w:pPr>
    </w:p>
    <w:p>
      <w:pPr>
        <w:spacing w:after="0" w:line="315"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 - ABM Engineering Services</w:t>
      </w:r>
      <w:r>
        <w:rPr>
          <w:sz w:val="20"/>
          <w:szCs w:val="20"/>
          <w:color w:val="auto"/>
        </w:rPr>
        <w:tab/>
      </w:r>
      <w:r>
        <w:rPr>
          <w:rFonts w:ascii="Courier New" w:cs="Courier New" w:eastAsia="Courier New" w:hAnsi="Courier New"/>
          <w:sz w:val="14"/>
          <w:szCs w:val="14"/>
          <w:color w:val="auto"/>
        </w:rPr>
        <w:t>- Amtech Elevator Services</w:t>
      </w:r>
    </w:p>
    <w:p>
      <w:pPr>
        <w:spacing w:after="0" w:line="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 - ABM Janitorial Services</w:t>
      </w:r>
      <w:r>
        <w:rPr>
          <w:sz w:val="20"/>
          <w:szCs w:val="20"/>
          <w:color w:val="auto"/>
        </w:rPr>
        <w:tab/>
      </w:r>
      <w:r>
        <w:rPr>
          <w:rFonts w:ascii="Courier New" w:cs="Courier New" w:eastAsia="Courier New" w:hAnsi="Courier New"/>
          <w:sz w:val="14"/>
          <w:szCs w:val="14"/>
          <w:color w:val="auto"/>
        </w:rPr>
        <w:t>- Amtech Lighting Services</w:t>
      </w:r>
    </w:p>
    <w:p>
      <w:pPr>
        <w:spacing w:after="0" w:line="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 - ABM Service Network</w:t>
      </w:r>
      <w:r>
        <w:rPr>
          <w:sz w:val="20"/>
          <w:szCs w:val="20"/>
          <w:color w:val="auto"/>
        </w:rPr>
        <w:tab/>
      </w:r>
      <w:r>
        <w:rPr>
          <w:rFonts w:ascii="Courier New" w:cs="Courier New" w:eastAsia="Courier New" w:hAnsi="Courier New"/>
          <w:sz w:val="14"/>
          <w:szCs w:val="14"/>
          <w:color w:val="auto"/>
        </w:rPr>
        <w:t>- CommAir Mechanical</w:t>
      </w:r>
    </w:p>
    <w:p>
      <w:pPr>
        <w:spacing w:after="0" w:line="1"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 - American Commercial</w:t>
      </w:r>
      <w:r>
        <w:rPr>
          <w:sz w:val="20"/>
          <w:szCs w:val="20"/>
          <w:color w:val="auto"/>
        </w:rPr>
        <w:tab/>
      </w:r>
      <w:r>
        <w:rPr>
          <w:rFonts w:ascii="Courier New" w:cs="Courier New" w:eastAsia="Courier New" w:hAnsi="Courier New"/>
          <w:sz w:val="14"/>
          <w:szCs w:val="14"/>
          <w:color w:val="auto"/>
        </w:rPr>
        <w:t>Services</w:t>
      </w:r>
    </w:p>
    <w:p>
      <w:pPr>
        <w:spacing w:after="0" w:line="1" w:lineRule="exact"/>
        <w:rPr>
          <w:sz w:val="20"/>
          <w:szCs w:val="20"/>
          <w:color w:val="auto"/>
        </w:rPr>
      </w:pPr>
    </w:p>
    <w:p>
      <w:pPr>
        <w:ind w:left="160"/>
        <w:spacing w:after="0"/>
        <w:tabs>
          <w:tab w:leader="none" w:pos="2540" w:val="left"/>
        </w:tabs>
        <w:rPr>
          <w:sz w:val="20"/>
          <w:szCs w:val="20"/>
          <w:color w:val="auto"/>
        </w:rPr>
      </w:pPr>
      <w:r>
        <w:rPr>
          <w:rFonts w:ascii="Courier New" w:cs="Courier New" w:eastAsia="Courier New" w:hAnsi="Courier New"/>
          <w:sz w:val="15"/>
          <w:szCs w:val="15"/>
          <w:color w:val="auto"/>
        </w:rPr>
        <w:t>Security Services</w:t>
      </w:r>
      <w:r>
        <w:rPr>
          <w:sz w:val="20"/>
          <w:szCs w:val="20"/>
          <w:color w:val="auto"/>
        </w:rPr>
        <w:tab/>
      </w:r>
      <w:r>
        <w:rPr>
          <w:rFonts w:ascii="Courier New" w:cs="Courier New" w:eastAsia="Courier New" w:hAnsi="Courier New"/>
          <w:sz w:val="14"/>
          <w:szCs w:val="14"/>
          <w:color w:val="auto"/>
        </w:rPr>
        <w:t>- Easterday Janitorial</w:t>
      </w:r>
    </w:p>
    <w:p>
      <w:pPr>
        <w:spacing w:after="0" w:line="1"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 - Ampco System Parking</w:t>
      </w:r>
      <w:r>
        <w:rPr>
          <w:sz w:val="20"/>
          <w:szCs w:val="20"/>
          <w:color w:val="auto"/>
        </w:rPr>
        <w:tab/>
      </w:r>
      <w:r>
        <w:rPr>
          <w:rFonts w:ascii="Courier New" w:cs="Courier New" w:eastAsia="Courier New" w:hAnsi="Courier New"/>
          <w:sz w:val="14"/>
          <w:szCs w:val="14"/>
          <w:color w:val="auto"/>
        </w:rPr>
        <w:t>Supply Company</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Additional information relating to the Company's industry segments appears in Note 14 of Notes to Consolidated Financial Statements contained in Item 8, "Financial Statements and Financial Statement Schedule." The business activities of the Company's industry segments, as they existed at October 31, 2000, are more fully described below.</w:t>
      </w:r>
    </w:p>
    <w:p>
      <w:pPr>
        <w:spacing w:after="0" w:line="174" w:lineRule="exact"/>
        <w:rPr>
          <w:sz w:val="20"/>
          <w:szCs w:val="20"/>
          <w:color w:val="auto"/>
        </w:rPr>
      </w:pPr>
    </w:p>
    <w:p>
      <w:pPr>
        <w:ind w:left="440" w:right="3119" w:firstLine="438"/>
        <w:spacing w:after="0"/>
        <w:tabs>
          <w:tab w:leader="none" w:pos="10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ENGINEERING SERVICES provides building owners and managers with on-site engineers to operate, maintain and repair electrical, energy management, mechanical, and plumbing systems utilizing computerized maintenance management systems (CMMS). This service is primarily for high-rise office buildings, but customers also include schools, warehouses, factories, shopping malls and universities. ABM Engineering Services operates in 21 states through eight regional offices, two of which are in California and one each in Chicago, Illinois; Denver, Colorado; Philadelphia, Pennsylvania; New York, New York; and Phoenix, Arizona. In 1999, this Division earned ISO 9002 Certification, the first national engineering services provider of on-site operating engineers to earn this exclusive designation. ISO is a quality standard comprised of a rigorous set of guidelines and good business practices against which companies are rated through a comprehensive independent audit process that can take several years.</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0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JANITORIAL SERVICES (also known as "American Building Maintenance")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as well as other building cleaning services. ABM Janitorial Services maintains 93 offices in 36 states, the District of Columbia and one Canadian province, and operates under thousands of individually negotiated building maintenance contracts, the majority of which are obtained by competitive bidding. Generally, profit margins on maintenance contracts tend to be inversely proportional to the size of the contract. Although many of this Division's maintenance contracts are fixed-price agreements, others contain clauses under which the customer agrees to reimburse the full amount of wages, payroll taxes, insurance charges and other expenses plus a profit percentage. The majority of ABM Janitorial Services contracts are for one-year periods, contain automatic renewal clauses and are subject to termination by either party upon 30 to 90 days written notice.</w:t>
      </w:r>
    </w:p>
    <w:p>
      <w:pPr>
        <w:spacing w:after="0" w:line="184" w:lineRule="exact"/>
        <w:rPr>
          <w:rFonts w:ascii="Courier New" w:cs="Courier New" w:eastAsia="Courier New" w:hAnsi="Courier New"/>
          <w:sz w:val="15"/>
          <w:szCs w:val="15"/>
          <w:color w:val="auto"/>
        </w:rPr>
      </w:pPr>
    </w:p>
    <w:p>
      <w:pPr>
        <w:ind w:left="440" w:right="3119" w:firstLine="438"/>
        <w:spacing w:after="0"/>
        <w:tabs>
          <w:tab w:leader="none" w:pos="10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SERVICE NETWORK provides customers with streamlined, centralized control and coordination of multiple facility service needs. This process is consistent with the greater competitive demands on corporate organizations to become more efficient in the business market today. By leveraging the core competencies of the Company's other affiliated divisions, this Division attempts to reduce overhead, such as redundant personnel, for its customers by providing multiple services under a single contract, with one contact</w:t>
      </w:r>
    </w:p>
    <w:p>
      <w:pPr>
        <w:sectPr>
          <w:pgSz w:w="11900" w:h="16838" w:orient="portrait"/>
          <w:cols w:equalWidth="0" w:num="1">
            <w:col w:w="10219"/>
          </w:cols>
          <w:pgMar w:left="240" w:top="287" w:right="1440" w:bottom="116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7" w:right="1440" w:bottom="116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180" w:right="3119"/>
        <w:spacing w:after="0"/>
        <w:rPr>
          <w:sz w:val="20"/>
          <w:szCs w:val="20"/>
          <w:color w:val="auto"/>
        </w:rPr>
      </w:pPr>
      <w:r>
        <w:rPr>
          <w:rFonts w:ascii="Courier New" w:cs="Courier New" w:eastAsia="Courier New" w:hAnsi="Courier New"/>
          <w:sz w:val="15"/>
          <w:szCs w:val="15"/>
          <w:color w:val="auto"/>
        </w:rPr>
        <w:t>and one invoice. Its National Service Center provides centralized dispatching, emergency services, accounting and related reports to financial institutions, high-tech companies, and other customers regardless of industry or size. ABM Service Network is headquartered in San Francisco, where it also maintains its National Service Center.</w:t>
      </w:r>
    </w:p>
    <w:p>
      <w:pPr>
        <w:spacing w:after="0" w:line="174" w:lineRule="exact"/>
        <w:rPr>
          <w:sz w:val="20"/>
          <w:szCs w:val="20"/>
          <w:color w:val="auto"/>
        </w:rPr>
      </w:pPr>
    </w:p>
    <w:p>
      <w:pPr>
        <w:ind w:left="180" w:right="3119" w:firstLine="438"/>
        <w:spacing w:after="0"/>
        <w:tabs>
          <w:tab w:leader="none" w:pos="8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COMMERCIAL SECURITY SERVICES(also known as "ACSS" and "ABM Security Services") provides security guards, electric monitoring of fire, life, safety, and access control devices, and security consulting services to a wide range of businesses in the major metropolitan areas of Phoenix, Arizona; San Francisco, San Diego and Los Angeles, California; Chicago, Illinois; New Orleans, Louisiana; Minneapolis, Minnesota; Portland, Oregon; Houston, Dallas, Fort Worth, Austin and San Antonio, Texas; Seattle, Washington; and Salt Lake City, Utah. Much like ABM Janitorial Services, the majority of this Division's contracts are for one-year periods, contain automatic renewal clauses and are subject to termination by either party upon 30 to 90 days written notice.</w:t>
      </w:r>
    </w:p>
    <w:p>
      <w:pPr>
        <w:spacing w:after="0" w:line="178" w:lineRule="exact"/>
        <w:rPr>
          <w:rFonts w:ascii="Courier New" w:cs="Courier New" w:eastAsia="Courier New" w:hAnsi="Courier New"/>
          <w:sz w:val="15"/>
          <w:szCs w:val="15"/>
          <w:color w:val="auto"/>
        </w:rPr>
      </w:pPr>
    </w:p>
    <w:p>
      <w:pPr>
        <w:ind w:left="180" w:right="3299" w:firstLine="438"/>
        <w:spacing w:after="0" w:line="259" w:lineRule="auto"/>
        <w:tabs>
          <w:tab w:leader="none" w:pos="80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AMPCO SYSTEM PARKING (also known as "Ampco System Airport Parking" and "Ampco Express Airport Parking") operates approximately 1,500 parking lots and garages, which are either leased from or operated through management contracts for third parties. The lease terms generally range from 5 to 20 years and usually contain provisions for renewal options. Leases which expire may continue on a month-to-month basis or may be replaced by similar leases. Many leases contain provisions for contingent rentals based on revenues. Ampco System Parking currently operates in 29 states and five of the 20 busiest international airports in the U.S.: Denver, Colorado; Honolulu, Hawaii; Newark, New Jersey; Phoenix, Arizona; and San Francisco, California. In conjunction with its on-airport parking services, this Division also operates off-airport parking facilities in Philadelphia, Pennsylvania; Houston, Texas; and Los Angeles, California, and parking shuttle bus services at thirteen locations.</w:t>
      </w:r>
    </w:p>
    <w:p>
      <w:pPr>
        <w:spacing w:after="0" w:line="163" w:lineRule="exact"/>
        <w:rPr>
          <w:rFonts w:ascii="Courier New" w:cs="Courier New" w:eastAsia="Courier New" w:hAnsi="Courier New"/>
          <w:sz w:val="14"/>
          <w:szCs w:val="14"/>
          <w:color w:val="auto"/>
        </w:rPr>
      </w:pPr>
    </w:p>
    <w:p>
      <w:pPr>
        <w:ind w:left="180" w:right="3119" w:firstLine="438"/>
        <w:spacing w:after="0" w:line="260" w:lineRule="auto"/>
        <w:tabs>
          <w:tab w:leader="none" w:pos="80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AMTECH ELEVATOR SERVICES maintains, modernizes and repairs elevators and escalators in major metropolitan areas of California; Houston, Texas; Cincinnati, Ohio; Detroit, Michigan; Upper Marlboro, Maryland; Las Vegas, Nevada; Pennsauken, New Jersey; Atlanta, Georgia; Philadelphia, Pennsylvania; Phoenix, Arizona; Denver, Colorado; Chicago, Illinois; and Washington, D.C. Amtech Elevator Services maintains 17 offices and several parts warehouses, and operates a fleet of radio-equipped service vehicles.</w:t>
      </w:r>
    </w:p>
    <w:p>
      <w:pPr>
        <w:spacing w:after="0" w:line="162" w:lineRule="exact"/>
        <w:rPr>
          <w:rFonts w:ascii="Courier New" w:cs="Courier New" w:eastAsia="Courier New" w:hAnsi="Courier New"/>
          <w:sz w:val="14"/>
          <w:szCs w:val="14"/>
          <w:color w:val="auto"/>
        </w:rPr>
      </w:pPr>
    </w:p>
    <w:p>
      <w:pPr>
        <w:ind w:left="180" w:right="3119" w:firstLine="438"/>
        <w:spacing w:after="0" w:line="260" w:lineRule="auto"/>
        <w:tabs>
          <w:tab w:leader="none" w:pos="80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AMTECH LIGHTING SERVICES (also known as "Sica Lighting &amp; Electrical Services") provides relamping, fixture cleaning and periodic maintenance service to a variety of commercial customers. Amtech Lighting Services also repairs, services, designs and installs outdoor signage. This Division maintains 26 offices, eight of which are located in California; four of which are in Texas; and one office in each of the following states: Alabama, Arizona, Florida, Georgia, Illinois, Louisiana, Maryland, Minnesota, Nevada, New Jersey, New York, Oklahoma, Oregon, and Washington.</w:t>
      </w:r>
    </w:p>
    <w:p>
      <w:pPr>
        <w:spacing w:after="0" w:line="158" w:lineRule="exact"/>
        <w:rPr>
          <w:rFonts w:ascii="Courier New" w:cs="Courier New" w:eastAsia="Courier New" w:hAnsi="Courier New"/>
          <w:sz w:val="14"/>
          <w:szCs w:val="14"/>
          <w:color w:val="auto"/>
        </w:rPr>
      </w:pPr>
    </w:p>
    <w:p>
      <w:pPr>
        <w:ind w:left="800" w:hanging="182"/>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COMMAIR MECHANICAL SERVICES (also known as "CommAir Preferred</w:t>
      </w:r>
    </w:p>
    <w:p>
      <w:pPr>
        <w:spacing w:after="0" w:line="3" w:lineRule="exact"/>
        <w:rPr>
          <w:rFonts w:ascii="Courier New" w:cs="Courier New" w:eastAsia="Courier New" w:hAnsi="Courier New"/>
          <w:sz w:val="15"/>
          <w:szCs w:val="15"/>
          <w:color w:val="auto"/>
        </w:rPr>
      </w:pPr>
    </w:p>
    <w:p>
      <w:pPr>
        <w:ind w:left="1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Mechanical Services") installs, maintains, and repairs heating, ventilation and air conditioning equipment, performs chemical water treatment, and provides energy conservation services for commercial, industrial and institutional facilities. CommAir Mechanical Services maintains ten offices, nine of which are located in California, and one in Phoenix, Arizona.</w:t>
      </w:r>
    </w:p>
    <w:p>
      <w:pPr>
        <w:spacing w:after="0" w:line="172" w:lineRule="exact"/>
        <w:rPr>
          <w:rFonts w:ascii="Courier New" w:cs="Courier New" w:eastAsia="Courier New" w:hAnsi="Courier New"/>
          <w:sz w:val="15"/>
          <w:szCs w:val="15"/>
          <w:color w:val="auto"/>
        </w:rPr>
      </w:pPr>
    </w:p>
    <w:p>
      <w:pPr>
        <w:ind w:left="800" w:hanging="182"/>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EASTERDAY JANITORIAL SUPPLY markets janitorial supplies and</w:t>
      </w:r>
    </w:p>
    <w:p>
      <w:pPr>
        <w:spacing w:after="0" w:line="3" w:lineRule="exact"/>
        <w:rPr>
          <w:rFonts w:ascii="Courier New" w:cs="Courier New" w:eastAsia="Courier New" w:hAnsi="Courier New"/>
          <w:sz w:val="15"/>
          <w:szCs w:val="15"/>
          <w:color w:val="auto"/>
        </w:rPr>
      </w:pPr>
    </w:p>
    <w:p>
      <w:pPr>
        <w:ind w:left="1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through six sales offices located in San Francisco, Los Angeles and Sacramento, California; Portland, Oregon; Reno, Nevada; and Houston, Texas. Aside from sales to ABM Janitorial Services, which, in 2000, accounted for approximately 27% of Easterday Janitorial Supply's total revenues, the principal customers for this Division are industrial plants, schools, commercial buildings, industrial organizations, transportation terminals, theaters, hotels, retail stores, restaurants, military establishments and janitorial service companies. Among the products sold are cleaning equipment, disinfectants, floor cleaners, floor finishes, glass cleaners, paper products and polishes. The products sold include many nationally advertised brands. This Division blends certain cleaning agents and floor finishes, which it sells under the Easterday trade name. Easterday Janitorial</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Supply also provides sanitation services to the food industry.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Company believes that it owns or is licensed to use all corporate names, trade names, trademarks, service marks, copyrights, patents and trade secrets which are material to the Company's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believes that each aspect of its business is highly competitive, and that such competition is based primarily on price and quality of service. Nearly all services provided by the Company are under contracts originally obtained through competitive bidding. The Company's competitors include a large number of regional and local companies located in major cities throughout the United States and Canada. While the majority of the Company's competitors operate in a limited geographic area, the operating divisions of a few large, diversified facility service companies compete with the Company on a national basis.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Company's sales and marketing efforts are conducted by its corporate, division, region,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 The Company also has designated a nationwide group of "ABM Family of Services" executives to market all of the Company's facility services capabilities.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employs over 60,000 persons, of whom the vast majority are service employees who perform air conditioning, elevator, engineering, janitorial, lighting, parking and security services. Approximately 24,800 of these employees are covered under collective bargaining agreements. There are about 3,600 employees with executive, managerial, supervisory, administrative, professional, sales, marketing or clerical responsibilities or other office assignments.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discussion of the Company's environmental matters can be found in Item 7, "Management's Discussion and Analysis of Financial Condition and Results of Operations."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ABM</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executive officers of ABM as of December 31, 2000 were as follows:</w:t>
      </w:r>
    </w:p>
    <w:p>
      <w:pPr>
        <w:spacing w:after="0" w:line="200" w:lineRule="exact"/>
        <w:rPr>
          <w:sz w:val="20"/>
          <w:szCs w:val="20"/>
          <w:color w:val="auto"/>
        </w:rPr>
      </w:pPr>
    </w:p>
    <w:p>
      <w:pPr>
        <w:spacing w:after="0" w:line="315" w:lineRule="exact"/>
        <w:rPr>
          <w:sz w:val="20"/>
          <w:szCs w:val="20"/>
          <w:color w:val="auto"/>
        </w:rPr>
      </w:pPr>
    </w:p>
    <w:p>
      <w:pPr>
        <w:ind w:left="1140" w:right="2059" w:firstLine="3017"/>
        <w:spacing w:after="0" w:line="238" w:lineRule="auto"/>
        <w:rPr>
          <w:sz w:val="20"/>
          <w:szCs w:val="20"/>
          <w:color w:val="auto"/>
        </w:rPr>
      </w:pPr>
      <w:r>
        <w:rPr>
          <w:rFonts w:ascii="Courier New" w:cs="Courier New" w:eastAsia="Courier New" w:hAnsi="Courier New"/>
          <w:sz w:val="15"/>
          <w:szCs w:val="15"/>
          <w:color w:val="auto"/>
        </w:rPr>
        <w:t>PRINCIPAL OCCUPATIONS AND BUSINESS EXPERIENCE NAME AGE DURING PAST FIVE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Henrik C. Slipsager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President &amp; Chief Executive Officer since November 2000;</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of ABM, and President of the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Janitorial Services Division, from November 1999 through</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October 2000; Senior Vice President of ABM from March 1998</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through October 1999; Executive Vice President of the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Janitorial Services Division from January 1997 through</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October 1999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Chairman of the Board since December 1997; Chief</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Administrative Officer since November 1991; Executive Vice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President from November 1991 through November 1997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Jess E. Benton, III</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since November 1999; Chief</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Operating Officer since November 2000; Senior Vice President</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from July 1994 through October 1999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Donna M. Dell</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of Human Resources since November</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1999; Chief Employment Counsel since April 1997; Vice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9"/>
              </w:rPr>
              <w:t>President of Human Resources from July 1994 through October</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David H. Hebble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since November 1999; Chief Financial</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Officer since November 1979; Vice President from November</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1979 through October 1999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Harry H. Kahn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Senior Vice President since November 1999; General Counsel &amp;</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Corporate Secretary since November 1991; Vice President from</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November 1991 through October 1999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Gary R. Wallace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Director of Business Development &amp;</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Chief Marketing Officer of ABM since November 2000; Senior</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of the Janitorial Services Division from</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September 1995 through October 2000</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Douglas B. Bowlus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Vice President since November 1999; Treasurer since February</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1984</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Anthony D. Lackey</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since November 1999; Director of Electronic</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Services &amp; Chief Technology Officer since July 1996;</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Assistant Vice President from July 1996 through October</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9"/>
              </w:rPr>
              <w:t>1999; other positions of increasing responsibility in ABM's</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Electronic Services Department from November 1987 through</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June 1996</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Terry D. McNeil</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since November 1999; Director of Insurance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Services since October 1988; Assistant Vice President from</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July 1996 through October 1999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Vernon E. Skelton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since November 1999; Controller &amp; Chief</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Accounting Officer since April 1997; Assistant Vice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President from July 1996 through October 1999; Director of</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Accounting from November 1991 through March 1997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Eleonora C. Walsh</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since November 1999; Director of</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9"/>
              </w:rPr>
              <w:t>Administrative Services since November 1991; Assistant Vice</w:t>
            </w:r>
          </w:p>
        </w:tc>
      </w:t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President from July 1996 through October 1999</w:t>
            </w:r>
          </w:p>
        </w:tc>
      </w:tr>
      <w:tr>
        <w:trPr>
          <w:trHeight w:val="512"/>
        </w:trPr>
        <w:tc>
          <w:tcPr>
            <w:tcW w:w="2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2.</w:t>
        <w:tab/>
        <w:t>PROPERTIES</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Company has corporate, division, regional, branch, or district offices in over 250 locations throughout the United States, and Canada. Thirteen of these facilities are owned by the Company and the remainder are leased. At October 31, 2000, the real estate owned by the Company had an aggregate net book value of $3.7 million and was located in: Phoenix, Arizona; Fresno, California; Jacksonville and Tampa, Florida; Elko, Nevada; Portland, Oregon; Houston and San Antonio, Texas; and Kennewick, Seattle, Spokane and Tacoma, Washington.</w:t>
      </w:r>
    </w:p>
    <w:p>
      <w:pPr>
        <w:spacing w:after="0" w:line="160"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Rental payments under long and short-term lease agreements amounted to</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$100.7 million for the fiscal year ended October 31, 2000. Of this amount, $70.3 million in rental expense was attributable to public parking lots and garages that Ampco System Parking leases and operates. The remaining expense was for the rental or lease of office space, computers, operating equipment and motor vehicles.</w:t>
      </w:r>
    </w:p>
    <w:p>
      <w:pPr>
        <w:spacing w:after="0" w:line="17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MATTERS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MARKET INFORMATION AND DIVIDENDS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ABM's common stock is listed on the New York Stock Exchange. ABM's credit agreement places certain limitations on dividend payments based on net income (see Note 5 of Notes to Consolidated Financial Statements contained in Item 8). The following table sets forth the high and low prices of ABM's common stock and quarterly cash dividends on common shares for the periods indicated:</w:t>
      </w:r>
    </w:p>
    <w:p>
      <w:pPr>
        <w:spacing w:after="0" w:line="200" w:lineRule="exact"/>
        <w:rPr>
          <w:sz w:val="20"/>
          <w:szCs w:val="20"/>
          <w:color w:val="auto"/>
        </w:rPr>
      </w:pPr>
    </w:p>
    <w:p>
      <w:pPr>
        <w:spacing w:after="0" w:line="313" w:lineRule="exact"/>
        <w:rPr>
          <w:sz w:val="20"/>
          <w:szCs w:val="20"/>
          <w:color w:val="auto"/>
        </w:rPr>
      </w:pPr>
    </w:p>
    <w:p>
      <w:pPr>
        <w:jc w:val="center"/>
        <w:ind w:left="2220"/>
        <w:spacing w:after="0"/>
        <w:rPr>
          <w:sz w:val="20"/>
          <w:szCs w:val="20"/>
          <w:color w:val="auto"/>
        </w:rPr>
      </w:pPr>
      <w:r>
        <w:rPr>
          <w:rFonts w:ascii="Courier New" w:cs="Courier New" w:eastAsia="Courier New" w:hAnsi="Courier New"/>
          <w:sz w:val="15"/>
          <w:szCs w:val="15"/>
          <w:color w:val="auto"/>
        </w:rPr>
        <w:t>FISCAL QUARTER</w:t>
      </w:r>
    </w:p>
    <w:p>
      <w:pPr>
        <w:spacing w:after="0" w:line="1" w:lineRule="exact"/>
        <w:rPr>
          <w:sz w:val="20"/>
          <w:szCs w:val="20"/>
          <w:color w:val="auto"/>
        </w:rPr>
      </w:pPr>
    </w:p>
    <w:p>
      <w:pPr>
        <w:ind w:left="52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229"/>
        <w:spacing w:after="0"/>
        <w:tabs>
          <w:tab w:leader="none" w:pos="6109" w:val="left"/>
          <w:tab w:leader="none" w:pos="6989" w:val="left"/>
          <w:tab w:leader="none" w:pos="7869" w:val="left"/>
          <w:tab w:leader="none" w:pos="8849"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5"/>
          <w:szCs w:val="15"/>
          <w:color w:val="auto"/>
        </w:rPr>
        <w:t>YEAR</w:t>
      </w:r>
    </w:p>
    <w:p>
      <w:pPr>
        <w:spacing w:after="0" w:line="174"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1999</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Price range of common stock:</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High</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35.06</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Low</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21.88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Price range of common stock:</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High</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28.00</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Low</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19.25</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0.62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At December 31, 2000, there were approximately 5,490 registered holders of ABM's common stock, in addition to stockholders in street name.</w:t>
      </w:r>
    </w:p>
    <w:p>
      <w:pPr>
        <w:spacing w:after="0" w:line="17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174" w:lineRule="exact"/>
        <w:rPr>
          <w:sz w:val="20"/>
          <w:szCs w:val="20"/>
          <w:color w:val="auto"/>
        </w:rPr>
      </w:pPr>
    </w:p>
    <w:p>
      <w:pPr>
        <w:jc w:val="both"/>
        <w:ind w:left="9" w:right="3399" w:firstLine="444"/>
        <w:spacing w:after="0" w:line="239" w:lineRule="auto"/>
        <w:rPr>
          <w:sz w:val="20"/>
          <w:szCs w:val="20"/>
          <w:color w:val="auto"/>
        </w:rPr>
      </w:pPr>
      <w:r>
        <w:rPr>
          <w:rFonts w:ascii="Courier New" w:cs="Courier New" w:eastAsia="Courier New" w:hAnsi="Courier New"/>
          <w:sz w:val="15"/>
          <w:szCs w:val="15"/>
          <w:color w:val="auto"/>
        </w:rPr>
        <w:t>The selected consolidated financial data presented below is derived from the Company's consolidated financial statements for each of the years in the five-year period ended October 31, 2000.</w:t>
      </w:r>
    </w:p>
    <w:p>
      <w:pPr>
        <w:spacing w:after="0" w:line="200" w:lineRule="exact"/>
        <w:rPr>
          <w:sz w:val="20"/>
          <w:szCs w:val="20"/>
          <w:color w:val="auto"/>
        </w:rPr>
      </w:pPr>
    </w:p>
    <w:p>
      <w:pPr>
        <w:spacing w:after="0" w:line="316"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 except per share amounts and</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2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OPERATIONS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$1,086,925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$1,252,472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$1,501,827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$1,629,716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$1,807,557</w:t>
            </w:r>
          </w:p>
        </w:tc>
      </w:tr>
    </w:tbl>
    <w:p>
      <w:pPr>
        <w:spacing w:after="0" w:line="3"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Expenses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 and cost of goods sold</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940,296</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1,076,078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1,298,423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1,413,541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1,573,998</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Selling,</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general and administrative</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105,943</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126,755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142,431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146,984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157,546</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334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2,581</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2,675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3,320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4349"/>
        <w:spacing w:after="0"/>
        <w:tabs>
          <w:tab w:leader="none" w:pos="5489" w:val="left"/>
          <w:tab w:leader="none" w:pos="6629" w:val="left"/>
          <w:tab w:leader="none" w:pos="7789" w:val="left"/>
          <w:tab w:leader="none" w:pos="8949" w:val="left"/>
        </w:tabs>
        <w:rPr>
          <w:sz w:val="20"/>
          <w:szCs w:val="20"/>
          <w:color w:val="auto"/>
        </w:rPr>
      </w:pPr>
      <w:r>
        <w:rPr>
          <w:rFonts w:ascii="Courier New" w:cs="Courier New" w:eastAsia="Courier New" w:hAnsi="Courier New"/>
          <w:sz w:val="15"/>
          <w:szCs w:val="15"/>
          <w:color w:val="auto"/>
        </w:rPr>
        <w:t>1,048,820</w:t>
      </w:r>
      <w:r>
        <w:rPr>
          <w:sz w:val="20"/>
          <w:szCs w:val="20"/>
          <w:color w:val="auto"/>
        </w:rPr>
        <w:tab/>
      </w:r>
      <w:r>
        <w:rPr>
          <w:rFonts w:ascii="Courier New" w:cs="Courier New" w:eastAsia="Courier New" w:hAnsi="Courier New"/>
          <w:sz w:val="15"/>
          <w:szCs w:val="15"/>
          <w:color w:val="auto"/>
        </w:rPr>
        <w:t>1,205,508</w:t>
      </w:r>
      <w:r>
        <w:rPr>
          <w:sz w:val="20"/>
          <w:szCs w:val="20"/>
          <w:color w:val="auto"/>
        </w:rPr>
        <w:tab/>
      </w:r>
      <w:r>
        <w:rPr>
          <w:rFonts w:ascii="Courier New" w:cs="Courier New" w:eastAsia="Courier New" w:hAnsi="Courier New"/>
          <w:sz w:val="15"/>
          <w:szCs w:val="15"/>
          <w:color w:val="auto"/>
        </w:rPr>
        <w:t>1,444,319</w:t>
      </w:r>
      <w:r>
        <w:rPr>
          <w:sz w:val="20"/>
          <w:szCs w:val="20"/>
          <w:color w:val="auto"/>
        </w:rPr>
        <w:tab/>
      </w:r>
      <w:r>
        <w:rPr>
          <w:rFonts w:ascii="Courier New" w:cs="Courier New" w:eastAsia="Courier New" w:hAnsi="Courier New"/>
          <w:sz w:val="15"/>
          <w:szCs w:val="15"/>
          <w:color w:val="auto"/>
        </w:rPr>
        <w:t>1,562,484</w:t>
      </w:r>
      <w:r>
        <w:rPr>
          <w:sz w:val="20"/>
          <w:szCs w:val="20"/>
          <w:color w:val="auto"/>
        </w:rPr>
        <w:tab/>
      </w:r>
      <w:r>
        <w:rPr>
          <w:rFonts w:ascii="Courier New" w:cs="Courier New" w:eastAsia="Courier New" w:hAnsi="Courier New"/>
          <w:sz w:val="14"/>
          <w:szCs w:val="14"/>
          <w:color w:val="auto"/>
        </w:rPr>
        <w:t>1,734,864</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w:t>
            </w:r>
          </w:p>
        </w:tc>
        <w:tc>
          <w:tcPr>
            <w:tcW w:w="2720" w:type="dxa"/>
            <w:vAlign w:val="bottom"/>
          </w:tcPr>
          <w:p>
            <w:pPr>
              <w:ind w:left="60"/>
              <w:spacing w:after="0"/>
              <w:rPr>
                <w:sz w:val="20"/>
                <w:szCs w:val="20"/>
                <w:color w:val="auto"/>
              </w:rPr>
            </w:pPr>
            <w:r>
              <w:rPr>
                <w:rFonts w:ascii="Courier New" w:cs="Courier New" w:eastAsia="Courier New" w:hAnsi="Courier New"/>
                <w:sz w:val="15"/>
                <w:szCs w:val="15"/>
                <w:color w:val="auto"/>
              </w:rPr>
              <w:t>before income taxes</w:t>
            </w:r>
          </w:p>
        </w:tc>
        <w:tc>
          <w:tcPr>
            <w:tcW w:w="2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38,105</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46,964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57,508</w:t>
            </w:r>
          </w:p>
        </w:tc>
        <w:tc>
          <w:tcPr>
            <w:tcW w:w="3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67,232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72,693</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w:t>
            </w:r>
          </w:p>
        </w:tc>
        <w:tc>
          <w:tcPr>
            <w:tcW w:w="2720" w:type="dxa"/>
            <w:vAlign w:val="bottom"/>
          </w:tcPr>
          <w:p>
            <w:pPr>
              <w:ind w:left="60"/>
              <w:spacing w:after="0"/>
              <w:rPr>
                <w:sz w:val="20"/>
                <w:szCs w:val="20"/>
                <w:color w:val="auto"/>
              </w:rPr>
            </w:pPr>
            <w:r>
              <w:rPr>
                <w:rFonts w:ascii="Courier New" w:cs="Courier New" w:eastAsia="Courier New" w:hAnsi="Courier New"/>
                <w:sz w:val="15"/>
                <w:szCs w:val="15"/>
                <w:color w:val="auto"/>
              </w:rPr>
              <w:t>taxes</w:t>
            </w:r>
          </w:p>
        </w:tc>
        <w:tc>
          <w:tcPr>
            <w:tcW w:w="2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16,385</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19,725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23,578</w:t>
            </w:r>
          </w:p>
        </w:tc>
        <w:tc>
          <w:tcPr>
            <w:tcW w:w="3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27,565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28,350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2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21,720</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27,239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33,930</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39,667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44,343</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1.33</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bl>
    <w:p>
      <w:pPr>
        <w:spacing w:after="0" w:line="3" w:lineRule="exact"/>
        <w:rPr>
          <w:sz w:val="20"/>
          <w:szCs w:val="20"/>
          <w:color w:val="auto"/>
        </w:rPr>
      </w:pPr>
    </w:p>
    <w:p>
      <w:pPr>
        <w:ind w:left="9" w:right="459"/>
        <w:spacing w:after="0" w:line="258" w:lineRule="auto"/>
        <w:rPr>
          <w:sz w:val="20"/>
          <w:szCs w:val="20"/>
          <w:color w:val="auto"/>
        </w:rPr>
      </w:pPr>
      <w:r>
        <w:rPr>
          <w:rFonts w:ascii="Courier New" w:cs="Courier New" w:eastAsia="Courier New" w:hAnsi="Courier New"/>
          <w:sz w:val="14"/>
          <w:szCs w:val="14"/>
          <w:color w:val="auto"/>
        </w:rPr>
        <w:t>============================================================================================================== Common and common equivalent shares</w:t>
      </w:r>
    </w:p>
    <w:tbl>
      <w:tblPr>
        <w:tblLayout w:type="fixed"/>
        <w:tblInd w:w="9" w:type="dxa"/>
        <w:tblCellMar>
          <w:top w:w="0" w:type="dxa"/>
          <w:left w:w="0" w:type="dxa"/>
          <w:bottom w:w="0" w:type="dxa"/>
          <w:right w:w="0" w:type="dxa"/>
        </w:tblCellMar>
      </w:tblPr>
      <w:tr>
        <w:trPr>
          <w:trHeight w:val="168"/>
        </w:trPr>
        <w:tc>
          <w:tcPr>
            <w:tcW w:w="26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840" w:type="dxa"/>
            <w:vAlign w:val="bottom"/>
          </w:tcPr>
          <w:p>
            <w:pPr>
              <w:jc w:val="right"/>
              <w:ind w:right="226"/>
              <w:spacing w:after="0" w:line="168" w:lineRule="exact"/>
              <w:rPr>
                <w:sz w:val="20"/>
                <w:szCs w:val="20"/>
                <w:color w:val="auto"/>
              </w:rPr>
            </w:pPr>
            <w:r>
              <w:rPr>
                <w:rFonts w:ascii="Courier New" w:cs="Courier New" w:eastAsia="Courier New" w:hAnsi="Courier New"/>
                <w:sz w:val="15"/>
                <w:szCs w:val="15"/>
                <w:color w:val="auto"/>
              </w:rPr>
              <w:t>19,123</w:t>
            </w:r>
          </w:p>
        </w:tc>
        <w:tc>
          <w:tcPr>
            <w:tcW w:w="1160" w:type="dxa"/>
            <w:vAlign w:val="bottom"/>
          </w:tcPr>
          <w:p>
            <w:pPr>
              <w:jc w:val="right"/>
              <w:ind w:right="226"/>
              <w:spacing w:after="0" w:line="168" w:lineRule="exact"/>
              <w:rPr>
                <w:sz w:val="20"/>
                <w:szCs w:val="20"/>
                <w:color w:val="auto"/>
              </w:rPr>
            </w:pPr>
            <w:r>
              <w:rPr>
                <w:rFonts w:ascii="Courier New" w:cs="Courier New" w:eastAsia="Courier New" w:hAnsi="Courier New"/>
                <w:sz w:val="15"/>
                <w:szCs w:val="15"/>
                <w:color w:val="auto"/>
              </w:rPr>
              <w:t>20,143</w:t>
            </w:r>
          </w:p>
        </w:tc>
        <w:tc>
          <w:tcPr>
            <w:tcW w:w="1160" w:type="dxa"/>
            <w:vAlign w:val="bottom"/>
          </w:tcPr>
          <w:p>
            <w:pPr>
              <w:jc w:val="right"/>
              <w:ind w:right="246"/>
              <w:spacing w:after="0" w:line="168" w:lineRule="exact"/>
              <w:rPr>
                <w:sz w:val="20"/>
                <w:szCs w:val="20"/>
                <w:color w:val="auto"/>
              </w:rPr>
            </w:pPr>
            <w:r>
              <w:rPr>
                <w:rFonts w:ascii="Courier New" w:cs="Courier New" w:eastAsia="Courier New" w:hAnsi="Courier New"/>
                <w:sz w:val="15"/>
                <w:szCs w:val="15"/>
                <w:color w:val="auto"/>
              </w:rPr>
              <w:t>21,110</w:t>
            </w:r>
          </w:p>
        </w:tc>
        <w:tc>
          <w:tcPr>
            <w:tcW w:w="1160" w:type="dxa"/>
            <w:vAlign w:val="bottom"/>
          </w:tcPr>
          <w:p>
            <w:pPr>
              <w:jc w:val="right"/>
              <w:ind w:right="246"/>
              <w:spacing w:after="0" w:line="168" w:lineRule="exact"/>
              <w:rPr>
                <w:sz w:val="20"/>
                <w:szCs w:val="20"/>
                <w:color w:val="auto"/>
              </w:rPr>
            </w:pPr>
            <w:r>
              <w:rPr>
                <w:rFonts w:ascii="Courier New" w:cs="Courier New" w:eastAsia="Courier New" w:hAnsi="Courier New"/>
                <w:sz w:val="15"/>
                <w:szCs w:val="15"/>
                <w:color w:val="auto"/>
              </w:rPr>
              <w:t>22,067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22,551</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20,241</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21,872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23,161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23,709</w:t>
            </w:r>
          </w:p>
        </w:tc>
      </w:tr>
    </w:tbl>
    <w:p>
      <w:pPr>
        <w:spacing w:after="0" w:line="3" w:lineRule="exact"/>
        <w:rPr>
          <w:sz w:val="20"/>
          <w:szCs w:val="20"/>
          <w:color w:val="auto"/>
        </w:rPr>
      </w:pPr>
    </w:p>
    <w:p>
      <w:pPr>
        <w:ind w:left="9" w:right="459"/>
        <w:spacing w:after="0" w:line="258" w:lineRule="auto"/>
        <w:rPr>
          <w:sz w:val="20"/>
          <w:szCs w:val="20"/>
          <w:color w:val="auto"/>
        </w:rPr>
      </w:pPr>
      <w:r>
        <w:rPr>
          <w:rFonts w:ascii="Courier New" w:cs="Courier New" w:eastAsia="Courier New" w:hAnsi="Courier New"/>
          <w:sz w:val="14"/>
          <w:szCs w:val="14"/>
          <w:color w:val="auto"/>
        </w:rPr>
        <w:t>============================================================================================================== FINANCIAL STATISTICS</w:t>
      </w:r>
    </w:p>
    <w:tbl>
      <w:tblPr>
        <w:tblLayout w:type="fixed"/>
        <w:tblInd w:w="9" w:type="dxa"/>
        <w:tblCellMar>
          <w:top w:w="0" w:type="dxa"/>
          <w:left w:w="0" w:type="dxa"/>
          <w:bottom w:w="0" w:type="dxa"/>
          <w:right w:w="0" w:type="dxa"/>
        </w:tblCellMar>
      </w:tblPr>
      <w:tr>
        <w:trPr>
          <w:trHeight w:val="168"/>
        </w:trPr>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per common share</w:t>
            </w:r>
          </w:p>
        </w:tc>
        <w:tc>
          <w:tcPr>
            <w:tcW w:w="880" w:type="dxa"/>
            <w:vAlign w:val="bottom"/>
          </w:tcPr>
          <w:p>
            <w:pPr>
              <w:spacing w:after="0"/>
              <w:rPr>
                <w:sz w:val="14"/>
                <w:szCs w:val="14"/>
                <w:color w:val="auto"/>
              </w:rPr>
            </w:pPr>
          </w:p>
        </w:tc>
        <w:tc>
          <w:tcPr>
            <w:tcW w:w="660" w:type="dxa"/>
            <w:vAlign w:val="bottom"/>
          </w:tcPr>
          <w:p>
            <w:pPr>
              <w:jc w:val="right"/>
              <w:ind w:right="6"/>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line="168" w:lineRule="exact"/>
              <w:rPr>
                <w:sz w:val="20"/>
                <w:szCs w:val="20"/>
                <w:color w:val="auto"/>
              </w:rPr>
            </w:pPr>
            <w:r>
              <w:rPr>
                <w:rFonts w:ascii="Courier New" w:cs="Courier New" w:eastAsia="Courier New" w:hAnsi="Courier New"/>
                <w:sz w:val="15"/>
                <w:szCs w:val="15"/>
                <w:color w:val="auto"/>
              </w:rPr>
              <w:t>0.35</w:t>
            </w:r>
          </w:p>
        </w:tc>
        <w:tc>
          <w:tcPr>
            <w:tcW w:w="300" w:type="dxa"/>
            <w:vAlign w:val="bottom"/>
          </w:tcPr>
          <w:p>
            <w:pPr>
              <w:jc w:val="right"/>
              <w:ind w:right="6"/>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line="168" w:lineRule="exact"/>
              <w:rPr>
                <w:sz w:val="20"/>
                <w:szCs w:val="20"/>
                <w:color w:val="auto"/>
              </w:rPr>
            </w:pPr>
            <w:r>
              <w:rPr>
                <w:rFonts w:ascii="Courier New" w:cs="Courier New" w:eastAsia="Courier New" w:hAnsi="Courier New"/>
                <w:sz w:val="15"/>
                <w:szCs w:val="15"/>
                <w:color w:val="auto"/>
              </w:rPr>
              <w:t>0.40</w:t>
            </w:r>
          </w:p>
        </w:tc>
        <w:tc>
          <w:tcPr>
            <w:tcW w:w="320" w:type="dxa"/>
            <w:vAlign w:val="bottom"/>
          </w:tcPr>
          <w:p>
            <w:pPr>
              <w:jc w:val="right"/>
              <w:ind w:right="26"/>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line="168" w:lineRule="exact"/>
              <w:rPr>
                <w:sz w:val="20"/>
                <w:szCs w:val="20"/>
                <w:color w:val="auto"/>
              </w:rPr>
            </w:pPr>
            <w:r>
              <w:rPr>
                <w:rFonts w:ascii="Courier New" w:cs="Courier New" w:eastAsia="Courier New" w:hAnsi="Courier New"/>
                <w:sz w:val="15"/>
                <w:szCs w:val="15"/>
                <w:color w:val="auto"/>
              </w:rPr>
              <w:t>0.48</w:t>
            </w:r>
          </w:p>
        </w:tc>
        <w:tc>
          <w:tcPr>
            <w:tcW w:w="300" w:type="dxa"/>
            <w:vAlign w:val="bottom"/>
          </w:tcPr>
          <w:p>
            <w:pPr>
              <w:jc w:val="right"/>
              <w:ind w:right="6"/>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line="168" w:lineRule="exact"/>
              <w:rPr>
                <w:sz w:val="20"/>
                <w:szCs w:val="20"/>
                <w:color w:val="auto"/>
              </w:rPr>
            </w:pPr>
            <w:r>
              <w:rPr>
                <w:rFonts w:ascii="Courier New" w:cs="Courier New" w:eastAsia="Courier New" w:hAnsi="Courier New"/>
                <w:sz w:val="15"/>
                <w:szCs w:val="15"/>
                <w:color w:val="auto"/>
              </w:rPr>
              <w:t>0.56</w:t>
            </w:r>
          </w:p>
        </w:tc>
        <w:tc>
          <w:tcPr>
            <w:tcW w:w="300" w:type="dxa"/>
            <w:vAlign w:val="bottom"/>
          </w:tcPr>
          <w:p>
            <w:pPr>
              <w:jc w:val="right"/>
              <w:ind w:right="6"/>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r>
      <w:tr>
        <w:trPr>
          <w:trHeight w:val="171"/>
        </w:trPr>
        <w:tc>
          <w:tcPr>
            <w:tcW w:w="3760" w:type="dxa"/>
            <w:vAlign w:val="bottom"/>
            <w:gridSpan w:val="3"/>
          </w:tcPr>
          <w:p>
            <w:pPr>
              <w:spacing w:after="0"/>
              <w:rPr>
                <w:sz w:val="20"/>
                <w:szCs w:val="20"/>
                <w:color w:val="auto"/>
              </w:rPr>
            </w:pPr>
            <w:r>
              <w:rPr>
                <w:rFonts w:ascii="Courier New" w:cs="Courier New" w:eastAsia="Courier New" w:hAnsi="Courier New"/>
                <w:sz w:val="15"/>
                <w:szCs w:val="15"/>
                <w:color w:val="auto"/>
              </w:rPr>
              <w:t>Stockholders' equity per common share</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9.64</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10.96</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12.36</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119,579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137,223</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165,788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184,279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224,199</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1.89</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w:t>
            </w:r>
          </w:p>
        </w:tc>
        <w:tc>
          <w:tcPr>
            <w:tcW w:w="3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33,664</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38,402</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33,720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28,903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36,811</w:t>
            </w:r>
          </w:p>
        </w:tc>
      </w:tr>
      <w:tr>
        <w:trPr>
          <w:trHeight w:val="171"/>
        </w:trPr>
        <w:tc>
          <w:tcPr>
            <w:tcW w:w="3760" w:type="dxa"/>
            <w:vAlign w:val="bottom"/>
            <w:gridSpan w:val="3"/>
          </w:tcPr>
          <w:p>
            <w:pPr>
              <w:spacing w:after="0"/>
              <w:rPr>
                <w:sz w:val="20"/>
                <w:szCs w:val="20"/>
                <w:color w:val="auto"/>
              </w:rPr>
            </w:pPr>
            <w:r>
              <w:rPr>
                <w:rFonts w:ascii="Courier New" w:cs="Courier New" w:eastAsia="Courier New" w:hAnsi="Courier New"/>
                <w:sz w:val="15"/>
                <w:szCs w:val="15"/>
                <w:color w:val="auto"/>
              </w:rPr>
              <w:t>Redeemable cumulative preferred stock</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6,400</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163,915</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197,278</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236,838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276,951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316,309</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379,770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464,251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501,363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563,384</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641,985</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Property, plant and equipment --</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22,570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26,584</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27,307</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35,181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40,734</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10,751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13,272</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11,715</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19,451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18,717</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13,651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16,118</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19,593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20,698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23,524</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Accounts receivable --</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net</w:t>
            </w:r>
          </w:p>
        </w:tc>
        <w:tc>
          <w:tcPr>
            <w:tcW w:w="8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183,716</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234,464</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260,549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297,596</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360,180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year's presentation.</w:t>
      </w:r>
    </w:p>
    <w:p>
      <w:pPr>
        <w:spacing w:after="0" w:line="17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780" w:right="311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fiscal 1998, the Financial Accounting Standards Board issued SFAS No. 133, "Accounting for Derivative Instruments and Hedging Activities" ("SFAS No. 133") (as amended by SFAS Nos. 137 and 138). SFAS No. 133 is required to be adopted for all fiscal quarters and fiscal years beginning after June 15, 2000, and relates to accounting for derivative instruments, including certain derivative instruments embedded in other contracts, and hedging activities. It requires that an entity recognize all derivatives as either assets or liabilities and measure those instruments at fair value. The adoption on SFAS No. 133 is not anticipated to have a material effect on its results of operations or its financial position.</w:t>
      </w:r>
    </w:p>
    <w:p>
      <w:pPr>
        <w:spacing w:after="0" w:line="178"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No. 101 ("SAB 101"), "Revenue Recognition in Financial Statements." SAB 101, as amended, is to be adopted for fiscal years beginning after December 15, 1999, which for the Company would be fiscal year 2001. SAB 101 addresses various topics in revenue recognition. The Company is currently analyzing SAB 101; however, based on management's current understanding and interpretation, SAB 101 is not anticipated to have a material effect on its results of operations or its financial position.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2000, the Financial Accounting Standards Board issued Interpretation No. 44 ("FIN 44"), "Accounting for Certain Transactions Involving Stock Compensation -- An Interpretation of Accounting Principles Board Opinion ("APB") No. 25". FIN 44 clarifies the application of APB No. 25 and is effective July 1, 2000. The Company believes that its current accounting policies are in conformity with this interpretation.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and the notes thereto contained in Item 8, "Financial Statements and Financial Statement Schedule." All information in the discussion and references to the years are based on the Company's fiscal year that ends on October 31.</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an unsecured revolving credit agreement with a syndicate of U.S. banks that provides a $150 million line of credit expiring July 1, 2002. At the Company's option, the credit facility provides interest at the prime rate or IBOR+.35%. As of October 31, 2000, the total amount outstanding was approximately $106 million, which was comprised of loans in the amount of $35 million and standby letters of credit of $71 million. This agreement requires the Company to meet certain financial ratios, places some limitations on outside borrowing and prohibits declaring or paying cash dividends exceeding 50% of the Company's net income for any fiscal year. In addition, the Company has a loan agreement with a major U.S. bank with a balance of $2.6 million at October 31, 2000. This loan bears interest at a fixed rate of 6.78% with annual payments of principal, in varying amounts, and interest due each February 15 through 2003. The Company's effective interest rate for all long-term debt bank borrowings for the year ended October 31, 2000 was 7.4%.</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activities generated cash flows in 1998, 1999 and 2000 of $32.1 million, $35.3 million and $18.9 million, respectively. The decrease in 2000 resulted primarily from an increase in accounts receivable, reflecting the higher volume in sales and slower payments by some large customers. Cash paid for acquisitions during the fiscal years ended October 31, 1998, 1999 and 2000, including payments pursuant to contractual arrangements involved in prior acquisitions, were approximately $10.0 million, $11.0 million and $14.2 million, respectively. Capital expenditures during fiscal years 1998, 1999 and 2000 were $11.7 million, $19.5 million and $18.7 million, respectively. Cash dividends paid to stockholders of common and redeemable preferred stock and amounts used to repurchase common stock were approximately $10.7 million in 1998, $18.5 million in 1999, and $22.9 million in 2000. Cash used in financing activities during 1998 and 1999 was $11.3 million and $3.6 million, respectively. In 2000, $12.3 million was provided by financing activities. The increase in 2000 was primarily due to greater net borrowings and an increase in the bank overdraft (outstanding checks). At October 31, 1999, working</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was $184.3 million as compared to $224.2 million at October 31,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INFLATION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low rates of inflation experienced in recent years have had no material impact on the financial statements of the Company. The Company attempts to recover increased costs by increasing sales prices to the extent permitted by contracts and competition.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cash flows or its results of operations.</w:t>
      </w:r>
    </w:p>
    <w:p>
      <w:pPr>
        <w:spacing w:after="0" w:line="178"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 is currently involved in three proceedings relating to environmental matters: one involving alleged potential soil and groundwater contamination at a Company facility in Florida; one involving alleged potential soil contamination at a former Company facility in Arizona;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its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 and are fully discussed in Note 12 to the Consolidated Financial Statements. Acquisitions made during the three fiscal years ended October 31, 2000, contributed approximately $60 million to fiscal 2000 revenues.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2000 TO 1999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reported record revenues and earnings for 2000. Revenues and other income (hereinafter called "revenues") were $1.8 billion in 2000, up $178 million or 11%, from $1.6 billion reported in 1999. The increase in revenues in 2000 over 1999 was attributable to new business and price increases as well as acquisitions made during the prior years. Revenues generated from acquisitions during the prior year contributed $17.1 million of the 2000 increase while the current year acquisitions added $17.4 million.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percentage of revenues, operating expenses and cost of goods sold was 87.1% for 2000, compared to 86.7% in 1999. Consequently, as a percentage of revenues, the Company's gross profit (revenues minus operating expenses and cost of goods sold) of 12.9% in 2000 was slightly lower than the gross profit of 13.3% in 1999. The decrease in gross profit as a percentage of revenues was mostly due to higher labor and related costs, particularly workers' compensation insurance and continued competitive pressure to maintain or lower prices. In addition, the Company's hourly workers were paid two additional workdays in 2000 compared to 1999. On fixed price monthly contracts, such increases are not recovered.</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expenses were $158 million in 2000, an increase of 7.2% from $147 million in 1999. However, as a percentage of revenues, selling, general and administrative expenses decreased from 9.0% for 1999 to 8.7% for 2000, primarily due to certain costs that do not increase at the same rate as sales. The absolute increase in selling, general and administrative expenses was primarily due to salaries and expenses associated with acquisitions including the amortization of goodwill, and costs associated with the implementation of a new accounting system. The cost increases were somewhat offset by decreased profit sharing expense.</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Interest expense was $3.3 million in 2000 compared to $2.0 million for 1999, an increase of $1.3 million. This increase was primarily due to higher weighted average borrowings and interest rates in 2000.</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income before income taxes (pre-tax income) for 2000 was $72.7 million compared to</w:t>
      </w:r>
    </w:p>
    <w:p>
      <w:pPr>
        <w:sectPr>
          <w:pgSz w:w="11900" w:h="16838" w:orient="portrait"/>
          <w:cols w:equalWidth="0" w:num="1">
            <w:col w:w="10219"/>
          </w:cols>
          <w:pgMar w:left="240" w:top="287" w:right="1440" w:bottom="1440" w:gutter="0" w:footer="0" w:header="0"/>
        </w:sectPr>
      </w:pP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19"/>
          </w:cols>
          <w:pgMar w:left="240" w:top="287"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$67.2 million, an increase of 8% over 1999. Pre-tax income did not increase at the same rate as revenues due to the higher operating expenses.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estimated effective income tax rate for 2000 was 39%, compared to 41% in 1999. The lower tax rate was due for the most part to a significant increase in the federal work opportunity tax credits.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Net income for 2000 was $44.3 million, an increase of 12%, compared to net income of $39.7 million in 1999. Diluted net income per common share also rose 12% to $1.85 for 2000 compared to $1.65 for the same period in 1999. On September 22, 1999 the Company announced a stock repurchase program for up to one million outstanding shares. As of October 31, 2000, 603,000 shares had been reacquired. Earnings per share calculations also include the effect of a preferred stock dividend deduction of $512,000 in both 2000 and 1999.</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is organized into nine separate operating divisions as defined under Statement of Financial Accounting Standards ("SFAS") No. 131, "Disclosures about Segments of an Enterprise and Related Information". However, only the ABM Janitorial, Ampco System Parking, ABM Engineering, Amtech Lighting, and Amtech Elevator Divisions are reportable using the criteria of SFAS No. 131. The results of operations from these five reportable operating divisions for 2000 as compared to 1999 are more fully described below:</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ABM Janitorial Services Division reported revenues for 2000 of $1.1 billion, an increase of $120 million, or 13%, from 1999. This is the Company's largest Division and accounted for 58% of the Company's consolidated revenues in 2000. ABM Janitorial Services revenues increased as a result of new business, particularly in the Mid-Atlantic, Northwest and Southwest regions. Revenues generated from acquisitions during the prior year contributed $11.8 million of the 2000 increase while the current year acquisitions added $10.8 million. ABM Janitorial Services' operating profits increased 9% in 2000 to $53.8 million when compared to 1999. The lower percentage in profits can be attributed to low profit margins and high startup costs on some large contracts in this Division's Southeast region as well as the expense of extra workdays in fiscal 2000, as discussed previously.</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Ampco System Parking increased revenues by 6% in 2000 from 1999 to $172.4 million, and its operating profits also increased 6% to $9.0 million during 2000 compared to 1999. The increase in revenues was mostly due to growth in California and Texas, along with small acquisitions in Florida, Texas and Washington.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ABM Engineering Services Division increased revenues by 2% in 2000 from 1999 to $156.3 million, while its operating profits decreased 2% to $8.2 million for 2000 compared to 1999. The revenue increase was due primarily to additional business obtained in New York City and Southern California. The decrease in operating profits is due to lower profit margins and increased administrative costs.</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Amtech Lighting Services reported a 24% revenue increase to $118.4 million in 2000 from 1999 due to increased business in all its markets, except Northern California, and an acquisition in the Southeast. In addition, a significant new contract was obtained in New York City that began November 1, 1999. Operating profits increased by 35% to $10.1 million during 2000 compared to the prior year. Profit margins improved due to a reduction in labor and material costs.</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Revenues for Amtech Elevator Services were $114.4 million, up by 18% for 2000 over 1999, largely due to an increased customer base. The Amtech Elevator Division reported a 3% increase to $6.8 million in operating profits in 2000 compared to 1999. The smaller increase in operating profits can be attributed primarily to increased labor, material and insurance costs as well as computer-related expenses.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were $1.6 billion in 1999, up $128 million or 9%, from $1.5 billion reported in 1998. The increase in revenues in 1999 over 1998 was attributable to new business and price increases as well as acquisitions made during the prior years. Acquisitions during 1999 accounted for approximately $11 million, or approximately 9% of the total revenue increase of $128 million for 1999.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percentage of revenues, operating expenses and cost of goods sold were 86.7% for 1999, compared to 86.5% in 1998. Consequently, the Company's gross profit as a percentage of revenues of 13.3% in 1999 was slightly lower than the gross profit of 13.5% in 1998. The gross profit percentage declined mostly due to higher labor and related costs, particularly workers' compensation insurance, and</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1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competitive pressure to maintain or lower prices.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expenses increased 3.2% for 1999 compared to 1998. However, as a percentage of revenues, selling, general and administrative expenses decreased from 9.5% for 1998, to 9.0% for 1999, primarily due to certain costs (such as health insurance and legal fees) that do not increase at the same rate as sales. The dollar increase in selling, general and administrative expenses is primarily due to salaries and expenses associated with acquisitions including the amortization of goodwill.</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Interest expense was $2.0 million in 1999 compared to $3.5 million for 1998, a decrease of $1.5 million. This decrease was primarily due to lower weighted average borrowings.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income before income taxes (pre-tax income) for 1999 was $67.2 million compared to $57.5 million, an increase of 17% over 1998. The growth in pre-tax income outpaced the revenue growth for 1999 primarily due to lower selling, general and administrative expenses as a percentage of 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estimated effective income tax rate for 1999 and 1998 was 41.0%.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income for 1999 was $39.7 million, an increase of 17%, compared to net income of $33.9 million in 1998. Diluted net income per common share rose 15% to $1.65 for 1999 compared to $1.44 for the same period in 1998. The percentage increase in diluted net income per share was less than the increase in net income due to the 3% increase in number of diluted shares outstanding that primarily resulted from stock purchased by employees under the Company's Employee Stock Purchase Plan as well as stock options exercised. On September 22, 1999 the Company announced a stock repurchase program for up to one million outstanding shares. As of October 31, 1999, 220,000 shares had been reacquired. Earnings per share calculations also include the effect of a preferred stock dividend deduction of $512,000 in both 1999 and 1998.</w:t>
      </w:r>
    </w:p>
    <w:p>
      <w:pPr>
        <w:spacing w:after="0" w:line="179"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results of operations from the Company's five reportable operating divisions for 1999 as compared to 1998 are more fully described below:</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Revenues of the ABM Janitorial Services Division increased by 9% during 1999 to $933.7 million over 1998, as a result of new business, particularly in the Gulf Central, Mid-Atlantic and Southwest regions. Revenues generated from acquisitions during 1998 contributed about $8.7 million of the 1999 increase while the 1999 acquisitions added $9.1 million. Operating profits increased 11% in 1999 to $49.5 million when compared to 1998. This profit increase was due primarily to the increase in revenues, reduced legal fees and slightly lower labor and labor related costs.</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Ampco System Parking's revenues increased by 5% to $162.4 million, while its operating profits increased 22% to $8.5 million during 1999 compared to 1998. The increase in revenues was mostly due to growth in its California region. The operating profit increase was due for the most part to the conversion from leased lots to management contracts, which have higher margins, as well as improved profits related to off-airport parking operations.</w:t>
      </w:r>
    </w:p>
    <w:p>
      <w:pPr>
        <w:spacing w:after="0" w:line="16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ABM Engineering Services Division increased revenues by 13% to $153.9 million and operating profits by 4% to $8.4 million for 1999 compared to 1998. The large revenue increase was due primarily to new business in the Midwest, Arizona, and Southern California regions. The smaller percentage increase in operating profits is due to lower margins on contracts particularly in the New York and Philadelphia regions and pressure from competition to reduce fees.</w:t>
      </w:r>
    </w:p>
    <w:p>
      <w:pPr>
        <w:spacing w:after="0" w:line="16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Amtech Lighting Services reported a 9% revenue increase to $95.8 million due to increased business in the Atlanta, Chicago, New Orleans, New York, and Oakland markets. Operating profits increased by 8% to $7.5 million during 1999 compared to the prior year primarily due to the increased sales.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for Amtech Elevator Services were $96.6 million, up by 8% for 1999 over 1998, largely due to an increased customer base in the maintenance and repair sector. The Amtech Elevator Division reported a 3% increase in operating profits in 1999 to $6.7 million compared to 1998. The smaller increase in operating profits can be attributed primarily to the inability of the Division to pass on increased labor and insurance costs.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7"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 and other facility services in the Company's major markets, (2) loss or bankruptcy of one or more of the Company's major customers, which could adversely affect the Company's ability to collect its accounts receivable or recover its deferred costs, (3) 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program, (6)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 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inability to employ entry level personnel due to labor shortages, (11) resignation, termination, death or disability of one or more of the Company's key executives, which could adversely affect customer retention and day-to-day management of the Company, and (12) other material factors that are disclosed from time to time in the Company's public filings with the United States Securities and Exchange Commission, such as reports on Forms 8-K, 10-K and 10-Q.</w:t>
      </w:r>
    </w:p>
    <w:p>
      <w:pPr>
        <w:spacing w:after="0" w:line="200" w:lineRule="exact"/>
        <w:rPr>
          <w:sz w:val="20"/>
          <w:szCs w:val="20"/>
          <w:color w:val="auto"/>
        </w:rPr>
      </w:pPr>
    </w:p>
    <w:p>
      <w:pPr>
        <w:spacing w:after="0" w:line="31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outstanding debt and related interest expense, market risk in interest rate exposure in the United States is currently not material.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3" w:name="page14"/>
    <w:bookmarkEnd w:id="13"/>
    <w:p>
      <w:pPr>
        <w:ind w:left="269"/>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FINANCIAL STATEMENT SCHEDULE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ABM Industries Incorporated and subsidiaries as of October 31, 1999 and 2000, and the related consolidated statements of income, stockholders' equity and comprehensive income, and cash flows for each of the years in the three-year period ended October 31, 2000. In connection with our audits of the consolidated financial statements, we also have audited the related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78"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1999 and 2000, and the results of their operations and their cash flows for each of the years in the three-year period ended October 31, 2000, in conformity with accounting principles generally accepted in the United States of America. Also in our opinion, the related financial statement schedule II,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KPMG LLP</w:t>
      </w:r>
    </w:p>
    <w:p>
      <w:pPr>
        <w:spacing w:after="0" w:line="1"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San Francisco, California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18, 2000</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209"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OCTOBER 31</w:t>
            </w:r>
          </w:p>
        </w:tc>
        <w:tc>
          <w:tcPr>
            <w:tcW w:w="20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174"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Cash and</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2,139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Accounts</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receivable (less allowances of $7,490 and $8,825)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297,596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360,180</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Inventories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25,513</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Deferred</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17,531</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31,595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5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367,589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436,819</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Investments and</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long-term receivables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13,920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Property, plant</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w w:val="99"/>
              </w:rPr>
              <w:t>and equipment --</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40,734</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Intangible assets (less accumulated amortization of $49,297</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and $60,543)</w:t>
            </w:r>
          </w:p>
        </w:tc>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105,583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110,097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Deferred income</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taxes</w:t>
            </w:r>
          </w:p>
        </w:tc>
        <w:tc>
          <w:tcPr>
            <w:tcW w:w="25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30,388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32,537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10,353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7,878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5509"/>
        <w:spacing w:after="0"/>
        <w:tabs>
          <w:tab w:leader="none" w:pos="6549" w:val="left"/>
        </w:tabs>
        <w:rPr>
          <w:sz w:val="20"/>
          <w:szCs w:val="20"/>
          <w:color w:val="auto"/>
        </w:rPr>
      </w:pPr>
      <w:r>
        <w:rPr>
          <w:rFonts w:ascii="Courier New" w:cs="Courier New" w:eastAsia="Courier New" w:hAnsi="Courier New"/>
          <w:sz w:val="15"/>
          <w:szCs w:val="15"/>
          <w:color w:val="auto"/>
        </w:rPr>
        <w:t>$563,384</w:t>
      </w:r>
      <w:r>
        <w:rPr>
          <w:sz w:val="20"/>
          <w:szCs w:val="20"/>
          <w:color w:val="auto"/>
        </w:rPr>
        <w:tab/>
      </w:r>
      <w:r>
        <w:rPr>
          <w:rFonts w:ascii="Courier New" w:cs="Courier New" w:eastAsia="Courier New" w:hAnsi="Courier New"/>
          <w:sz w:val="14"/>
          <w:szCs w:val="14"/>
          <w:color w:val="auto"/>
        </w:rPr>
        <w:t>$641,985</w:t>
      </w:r>
    </w:p>
    <w:p>
      <w:pPr>
        <w:spacing w:after="0" w:line="3"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portion of long-term debt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Bank overdraft</w:t>
            </w: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4,967</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15,952</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Trade accounts payable</w:t>
            </w: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45,596</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45,312</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Income taxes payable</w:t>
            </w: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7,318</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8,083</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4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w:t>
            </w: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45,170</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54,901</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 other than income</w:t>
            </w: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16,505</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18,195</w:t>
            </w:r>
          </w:p>
        </w:tc>
      </w:tr>
      <w:tr>
        <w:trPr>
          <w:trHeight w:val="171"/>
        </w:trPr>
        <w:tc>
          <w:tcPr>
            <w:tcW w:w="4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Insurance claims</w:t>
            </w: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35,139</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43,361</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27,717</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25,951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current liabilities</w:t>
            </w:r>
          </w:p>
        </w:tc>
        <w:tc>
          <w:tcPr>
            <w:tcW w:w="2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183,310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212,620</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2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36,811</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Retirement</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plans</w:t>
            </w:r>
          </w:p>
        </w:tc>
        <w:tc>
          <w:tcPr>
            <w:tcW w:w="2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22,386</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Insurance claims</w:t>
            </w:r>
          </w:p>
        </w:tc>
        <w:tc>
          <w:tcPr>
            <w:tcW w:w="2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47,459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280,033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319,276</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SERIES B 8% SENIOR REDEEMABLE CUMULATIVE PREFERRED STOCK,</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6,400 shares authorized, issued and outstanding, stated at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redemption value, $1,000 per share</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6,400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6,400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500,000 shares authorized;</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none issued</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$.01 par value; 100,000,000 shares authorized;</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22,407,000 and 22,999,000 shares issued and outstanding at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October 31, 1999 and 2000, respectively</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93,336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102,902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(653)</w:t>
            </w:r>
          </w:p>
        </w:tc>
      </w:tr>
      <w:tr>
        <w:trPr>
          <w:trHeight w:val="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184,026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213,830</w:t>
            </w:r>
          </w:p>
        </w:tc>
      </w:tr>
    </w:tbl>
    <w:p>
      <w:pPr>
        <w:spacing w:after="0" w:line="174" w:lineRule="exact"/>
        <w:rPr>
          <w:sz w:val="20"/>
          <w:szCs w:val="20"/>
          <w:color w:val="auto"/>
        </w:rPr>
      </w:pPr>
    </w:p>
    <w:p>
      <w:pPr>
        <w:ind w:left="9" w:right="2779"/>
        <w:spacing w:after="0"/>
        <w:rPr>
          <w:sz w:val="20"/>
          <w:szCs w:val="20"/>
          <w:color w:val="auto"/>
        </w:rPr>
      </w:pPr>
      <w:r>
        <w:rPr>
          <w:rFonts w:ascii="Courier New" w:cs="Courier New" w:eastAsia="Courier New" w:hAnsi="Courier New"/>
          <w:sz w:val="15"/>
          <w:szCs w:val="15"/>
          <w:color w:val="auto"/>
        </w:rPr>
        <w:t>- ---------------------------------------------------------------------------------- Total stockholders' equity 276,951 316,309 - ---------------------------------------------------------------------------------- $563,384 $641,985</w:t>
      </w:r>
    </w:p>
    <w:p>
      <w:pPr>
        <w:spacing w:after="0" w:line="173"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287" w:right="1440" w:bottom="1440" w:gutter="0" w:footer="0" w:header="0"/>
        </w:sectPr>
      </w:pPr>
    </w:p>
    <w:bookmarkStart w:id="15" w:name="page16"/>
    <w:bookmarkEnd w:id="15"/>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00" w:type="dxa"/>
            <w:vAlign w:val="bottom"/>
          </w:tcPr>
          <w:p>
            <w:pPr>
              <w:ind w:left="1680"/>
              <w:spacing w:after="0"/>
              <w:rPr>
                <w:sz w:val="20"/>
                <w:szCs w:val="20"/>
                <w:color w:val="auto"/>
              </w:rPr>
            </w:pPr>
            <w:r>
              <w:rPr>
                <w:rFonts w:ascii="Courier New" w:cs="Courier New" w:eastAsia="Courier New" w:hAnsi="Courier New"/>
                <w:sz w:val="15"/>
                <w:szCs w:val="15"/>
                <w:color w:val="auto"/>
              </w:rPr>
              <w:t>YEARS ENDED OCTOBER 31</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$1,501,827</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$1,629,716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$1,807,557</w:t>
            </w:r>
          </w:p>
        </w:tc>
      </w:tr>
    </w:tbl>
    <w:p>
      <w:pPr>
        <w:spacing w:after="0" w:line="1"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 and cost of goods sold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1,298,423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1,413,541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1,573,998</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Selling,</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general and administrative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142,431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146,984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157,546</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3860" w:type="dxa"/>
            <w:vAlign w:val="bottom"/>
          </w:tcPr>
          <w:p>
            <w:pPr>
              <w:spacing w:after="0"/>
              <w:rPr>
                <w:sz w:val="14"/>
                <w:szCs w:val="14"/>
                <w:color w:val="auto"/>
              </w:rPr>
            </w:pP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3,320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5589"/>
        <w:spacing w:after="0"/>
        <w:tabs>
          <w:tab w:leader="none" w:pos="6729" w:val="left"/>
          <w:tab w:leader="none" w:pos="7869" w:val="left"/>
        </w:tabs>
        <w:rPr>
          <w:sz w:val="20"/>
          <w:szCs w:val="20"/>
          <w:color w:val="auto"/>
        </w:rPr>
      </w:pPr>
      <w:r>
        <w:rPr>
          <w:rFonts w:ascii="Courier New" w:cs="Courier New" w:eastAsia="Courier New" w:hAnsi="Courier New"/>
          <w:sz w:val="15"/>
          <w:szCs w:val="15"/>
          <w:color w:val="auto"/>
        </w:rPr>
        <w:t>1,444,319</w:t>
      </w:r>
      <w:r>
        <w:rPr>
          <w:sz w:val="20"/>
          <w:szCs w:val="20"/>
          <w:color w:val="auto"/>
        </w:rPr>
        <w:tab/>
      </w:r>
      <w:r>
        <w:rPr>
          <w:rFonts w:ascii="Courier New" w:cs="Courier New" w:eastAsia="Courier New" w:hAnsi="Courier New"/>
          <w:sz w:val="15"/>
          <w:szCs w:val="15"/>
          <w:color w:val="auto"/>
        </w:rPr>
        <w:t>1,562,484</w:t>
      </w:r>
      <w:r>
        <w:rPr>
          <w:sz w:val="20"/>
          <w:szCs w:val="20"/>
          <w:color w:val="auto"/>
        </w:rPr>
        <w:tab/>
      </w:r>
      <w:r>
        <w:rPr>
          <w:rFonts w:ascii="Courier New" w:cs="Courier New" w:eastAsia="Courier New" w:hAnsi="Courier New"/>
          <w:sz w:val="14"/>
          <w:szCs w:val="14"/>
          <w:color w:val="auto"/>
        </w:rPr>
        <w:t>1,734,864</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7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BEFORE INCOME TAXES</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57,508</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67,232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72,693</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taxes</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23,578</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27,565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28,350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7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33,930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39,667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44,343</w:t>
            </w:r>
          </w:p>
        </w:tc>
      </w:tr>
    </w:tbl>
    <w:p>
      <w:pPr>
        <w:spacing w:after="0" w:line="1"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1.77</w:t>
            </w:r>
          </w:p>
        </w:tc>
        <w:tc>
          <w:tcPr>
            <w:tcW w:w="4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1"/>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w:t>
            </w:r>
          </w:p>
        </w:tc>
        <w:tc>
          <w:tcPr>
            <w:tcW w:w="4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bl>
    <w:p>
      <w:pPr>
        <w:spacing w:after="0" w:line="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AND COMMON EQUIVALENT SHARES</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21,110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22,067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22,551</w:t>
            </w:r>
          </w:p>
        </w:tc>
      </w:tr>
      <w:tr>
        <w:trPr>
          <w:trHeight w:val="1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23,161</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23,709</w:t>
            </w:r>
          </w:p>
        </w:tc>
      </w:tr>
    </w:tbl>
    <w:p>
      <w:pPr>
        <w:spacing w:after="0" w:line="1"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STATEMENTS OF STOCKHOLDERS' EQUITY AND COMPREHENSIVE INCOME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3640" w:type="dxa"/>
            <w:vAlign w:val="bottom"/>
          </w:tcPr>
          <w:p>
            <w:pPr>
              <w:jc w:val="right"/>
              <w:ind w:right="261"/>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ADDITIONAL</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8"/>
              </w:rPr>
              <w:t>YEARS ENDED OCTOBER 31, 1998,</w:t>
            </w:r>
          </w:p>
        </w:tc>
        <w:tc>
          <w:tcPr>
            <w:tcW w:w="3640" w:type="dxa"/>
            <w:vAlign w:val="bottom"/>
          </w:tcPr>
          <w:p>
            <w:pPr>
              <w:jc w:val="right"/>
              <w:ind w:right="81"/>
              <w:spacing w:after="0"/>
              <w:rPr>
                <w:sz w:val="20"/>
                <w:szCs w:val="20"/>
                <w:color w:val="auto"/>
              </w:rPr>
            </w:pPr>
            <w:r>
              <w:rPr>
                <w:rFonts w:ascii="Courier New" w:cs="Courier New" w:eastAsia="Courier New" w:hAnsi="Courier New"/>
                <w:sz w:val="15"/>
                <w:szCs w:val="15"/>
                <w:color w:val="auto"/>
                <w:w w:val="97"/>
              </w:rPr>
              <w:t>1999 AND 2000---------------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PAID-IN</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RETAINED</w:t>
            </w:r>
          </w:p>
        </w:tc>
        <w:tc>
          <w:tcPr>
            <w:tcW w:w="620" w:type="dxa"/>
            <w:vAlign w:val="bottom"/>
          </w:tcPr>
          <w:p>
            <w:pPr>
              <w:spacing w:after="0"/>
              <w:rPr>
                <w:sz w:val="14"/>
                <w:szCs w:val="14"/>
                <w:color w:val="auto"/>
              </w:rPr>
            </w:pPr>
          </w:p>
        </w:tc>
      </w:t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3640" w:type="dxa"/>
            <w:vAlign w:val="bottom"/>
          </w:tcPr>
          <w:p>
            <w:pPr>
              <w:jc w:val="right"/>
              <w:ind w:right="81"/>
              <w:spacing w:after="0"/>
              <w:rPr>
                <w:sz w:val="20"/>
                <w:szCs w:val="20"/>
                <w:color w:val="auto"/>
              </w:rPr>
            </w:pPr>
            <w:r>
              <w:rPr>
                <w:rFonts w:ascii="Courier New" w:cs="Courier New" w:eastAsia="Courier New" w:hAnsi="Courier New"/>
                <w:sz w:val="15"/>
                <w:szCs w:val="15"/>
                <w:color w:val="auto"/>
              </w:rPr>
              <w:t>SHARES   AMOUNT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CAPITAL</w:t>
            </w: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INCOME</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EARNINGS</w:t>
            </w:r>
          </w:p>
        </w:tc>
        <w:tc>
          <w:tcPr>
            <w:tcW w:w="620" w:type="dxa"/>
            <w:vAlign w:val="bottom"/>
          </w:tcPr>
          <w:p>
            <w:pPr>
              <w:ind w:left="160"/>
              <w:spacing w:after="0"/>
              <w:rPr>
                <w:sz w:val="20"/>
                <w:szCs w:val="20"/>
                <w:color w:val="auto"/>
              </w:rPr>
            </w:pPr>
            <w:r>
              <w:rPr>
                <w:rFonts w:ascii="Courier New" w:cs="Courier New" w:eastAsia="Courier New" w:hAnsi="Courier New"/>
                <w:sz w:val="15"/>
                <w:szCs w:val="15"/>
                <w:color w:val="auto"/>
                <w:w w:val="97"/>
              </w:rPr>
              <w:t>TOTAL</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BALANCE OCTOBER 31, 1997</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20,464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$ 63,416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$134,192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$197,278</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33,930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33,930</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w:t>
            </w: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1"/>
        </w:trPr>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33,769</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(10,196)</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718</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718</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Stock issued under employees' stock purchase and option</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plans and for acquisition</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15,770</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15,781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21,601</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216</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79,904</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157,414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236,838</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39,667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39,667</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w:t>
            </w: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r>
      <w:tr>
        <w:trPr>
          <w:trHeight w:val="171"/>
        </w:trPr>
        <w:tc>
          <w:tcPr>
            <w:tcW w:w="5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39,728</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(12,543)</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387</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Stock repurchased</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(5,446)</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(5,448)</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Stock issued under employees' stock purchase and option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plans and for acquisition</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1,026</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18,491</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22,407</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224</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93,336</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184,026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276,951</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44,343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44,343</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w:t>
            </w:r>
          </w:p>
        </w:tc>
        <w:tc>
          <w:tcPr>
            <w:tcW w:w="1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5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44,325</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(14,027)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(14,027)</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480</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480</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Stock repurchased</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(383)</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(8,386)</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(8,390)</w:t>
            </w:r>
          </w:p>
        </w:tc>
      </w:tr>
      <w:tr>
        <w:trPr>
          <w:trHeight w:val="171"/>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Stock issued under employees' stock purchase and option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plans and for acquisition</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975</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17,472</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17,482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22,999</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$102,902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$(653)</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$213,830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$316,309</w:t>
            </w:r>
          </w:p>
        </w:tc>
      </w:tr>
    </w:tbl>
    <w:p>
      <w:pPr>
        <w:sectPr>
          <w:pgSz w:w="11900" w:h="16870" w:orient="portrait"/>
          <w:cols w:equalWidth="0" w:num="1">
            <w:col w:w="11529"/>
          </w:cols>
          <w:pgMar w:left="231" w:top="287" w:right="139"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right="4900"/>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360"/>
          </w:cols>
          <w:pgMar w:left="240" w:top="141" w:right="299"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tbl>
      <w:tblPr>
        <w:tblLayout w:type="fixed"/>
        <w:tblInd w:w="1689" w:type="dxa"/>
        <w:tblCellMar>
          <w:top w:w="0" w:type="dxa"/>
          <w:left w:w="0" w:type="dxa"/>
          <w:bottom w:w="0" w:type="dxa"/>
          <w:right w:w="0" w:type="dxa"/>
        </w:tblCellMar>
      </w:tblPr>
      <w:tr>
        <w:trPr>
          <w:trHeight w:val="170"/>
        </w:trPr>
        <w:tc>
          <w:tcPr>
            <w:tcW w:w="302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7"/>
              </w:rPr>
              <w:t>YEARS ENDED OCTOBER 31</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204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020" w:type="dxa"/>
            <w:vAlign w:val="bottom"/>
          </w:tcPr>
          <w:p>
            <w:pPr>
              <w:jc w:val="center"/>
              <w:ind w:right="986"/>
              <w:spacing w:after="0"/>
              <w:rPr>
                <w:sz w:val="20"/>
                <w:szCs w:val="20"/>
                <w:color w:val="auto"/>
              </w:rPr>
            </w:pPr>
            <w:r>
              <w:rPr>
                <w:rFonts w:ascii="Courier New" w:cs="Courier New" w:eastAsia="Courier New" w:hAnsi="Courier New"/>
                <w:sz w:val="15"/>
                <w:szCs w:val="15"/>
                <w:color w:val="auto"/>
                <w:w w:val="98"/>
              </w:rPr>
              <w:t>(in thousands)</w:t>
            </w:r>
          </w:p>
        </w:tc>
        <w:tc>
          <w:tcPr>
            <w:tcW w:w="18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received from customers</w:t>
            </w:r>
          </w:p>
        </w:tc>
        <w:tc>
          <w:tcPr>
            <w:tcW w:w="2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$ 1,463,918</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$ 1,589,775</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$ 1,739,297</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operating cash receipts</w:t>
            </w:r>
          </w:p>
        </w:tc>
        <w:tc>
          <w:tcPr>
            <w:tcW w:w="2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1,331</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1,491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2,347</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received</w:t>
            </w:r>
          </w:p>
        </w:tc>
        <w:tc>
          <w:tcPr>
            <w:tcW w:w="2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682</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870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paid to suppliers and employees</w:t>
            </w:r>
          </w:p>
        </w:tc>
        <w:tc>
          <w:tcPr>
            <w:tcW w:w="2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(1,406,600)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(1,522,495)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(1,686,988)</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2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(3,209)</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2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(23,936)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(32,311)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(33,102)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32,061</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35,305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18,925</w:t>
            </w:r>
          </w:p>
        </w:tc>
      </w:tr>
    </w:tbl>
    <w:p>
      <w:pPr>
        <w:spacing w:after="0" w:line="3"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Additions to property,</w:t>
            </w:r>
          </w:p>
        </w:tc>
        <w:tc>
          <w:tcPr>
            <w:tcW w:w="3600" w:type="dxa"/>
            <w:vAlign w:val="bottom"/>
          </w:tcPr>
          <w:p>
            <w:pPr>
              <w:ind w:left="60"/>
              <w:spacing w:after="0"/>
              <w:rPr>
                <w:sz w:val="20"/>
                <w:szCs w:val="20"/>
                <w:color w:val="auto"/>
              </w:rPr>
            </w:pPr>
            <w:r>
              <w:rPr>
                <w:rFonts w:ascii="Courier New" w:cs="Courier New" w:eastAsia="Courier New" w:hAnsi="Courier New"/>
                <w:sz w:val="15"/>
                <w:szCs w:val="15"/>
                <w:color w:val="auto"/>
              </w:rPr>
              <w:t>plant and equipment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(11,715)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(18,717)</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sale of assets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497</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922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1,164</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Decrease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(increase) in</w:t>
            </w:r>
          </w:p>
        </w:tc>
        <w:tc>
          <w:tcPr>
            <w:tcW w:w="3600" w:type="dxa"/>
            <w:vAlign w:val="bottom"/>
          </w:tcPr>
          <w:p>
            <w:pPr>
              <w:ind w:left="60"/>
              <w:spacing w:after="0"/>
              <w:rPr>
                <w:sz w:val="20"/>
                <w:szCs w:val="20"/>
                <w:color w:val="auto"/>
              </w:rPr>
            </w:pPr>
            <w:r>
              <w:rPr>
                <w:rFonts w:ascii="Courier New" w:cs="Courier New" w:eastAsia="Courier New" w:hAnsi="Courier New"/>
                <w:sz w:val="15"/>
                <w:szCs w:val="15"/>
                <w:color w:val="auto"/>
              </w:rPr>
              <w:t>investments and long-term receivables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(1,885)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w:t>
            </w:r>
          </w:p>
        </w:tc>
      </w:tr>
      <w:tr>
        <w:trPr>
          <w:trHeight w:val="171"/>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Intangible assets acquired</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(10,980)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(14,191)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(20,733)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(31,374)</w:t>
            </w:r>
          </w:p>
        </w:tc>
      </w:tr>
    </w:tbl>
    <w:p>
      <w:pPr>
        <w:spacing w:after="0" w:line="3" w:lineRule="exact"/>
        <w:rPr>
          <w:sz w:val="20"/>
          <w:szCs w:val="20"/>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Common stock issued, including tax benefit</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15,151</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17,178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16,381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Common stock repurchased</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(8,390)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(10,708)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(14,539)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(Decrease) increase in bank overdraft</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(10,500)</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2,492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10,985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93,204</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57,064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Repayments of long-term borrowings</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(98,414)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(61,847)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(118,127)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(11,267)</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12,310</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40" w:type="dxa"/>
            <w:vAlign w:val="bottom"/>
            <w:gridSpan w:val="5"/>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7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w:t>
            </w:r>
          </w:p>
        </w:tc>
        <w:tc>
          <w:tcPr>
            <w:tcW w:w="4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295</w:t>
            </w:r>
          </w:p>
        </w:tc>
        <w:tc>
          <w:tcPr>
            <w:tcW w:w="44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w:t>
            </w:r>
          </w:p>
        </w:tc>
      </w:tr>
      <w:tr>
        <w:trPr>
          <w:trHeight w:val="171"/>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7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1,783</w:t>
            </w:r>
          </w:p>
        </w:tc>
        <w:tc>
          <w:tcPr>
            <w:tcW w:w="4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1,844</w:t>
            </w:r>
          </w:p>
        </w:tc>
        <w:tc>
          <w:tcPr>
            <w:tcW w:w="4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2,139</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END OF YEAR</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1,844</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2,139</w:t>
            </w:r>
          </w:p>
        </w:tc>
        <w:tc>
          <w:tcPr>
            <w:tcW w:w="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bl>
    <w:p>
      <w:pPr>
        <w:spacing w:after="0" w:line="3" w:lineRule="exact"/>
        <w:rPr>
          <w:sz w:val="20"/>
          <w:szCs w:val="20"/>
          <w:color w:val="auto"/>
        </w:rPr>
      </w:pPr>
    </w:p>
    <w:p>
      <w:pPr>
        <w:ind w:left="169" w:hanging="169"/>
        <w:spacing w:after="0"/>
        <w:tabs>
          <w:tab w:leader="none" w:pos="16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right="5619" w:hanging="178"/>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RECONCILIATION OF NET INCOME TO NET CASH PROVIDED BY OPERATING ACTIVITIES:</w:t>
      </w:r>
    </w:p>
    <w:p>
      <w:pPr>
        <w:spacing w:after="0" w:line="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33,930</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39,667</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44,343</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10,698</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10,815</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12,265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8,895</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9,883</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11,259</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Provision for bad debts</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2,821</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2,257</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2,971</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Gain on sale of assets</w:t>
            </w:r>
          </w:p>
        </w:tc>
        <w:tc>
          <w:tcPr>
            <w:tcW w:w="6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deferred income taxes</w:t>
            </w:r>
          </w:p>
        </w:tc>
        <w:tc>
          <w:tcPr>
            <w:tcW w:w="6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(4,521)</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(6,537)</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(5,517)</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accounts receivable</w:t>
            </w:r>
          </w:p>
        </w:tc>
        <w:tc>
          <w:tcPr>
            <w:tcW w:w="6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(28,907)</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(39,304)</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(65,555)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inventories</w:t>
            </w:r>
          </w:p>
        </w:tc>
        <w:tc>
          <w:tcPr>
            <w:tcW w:w="6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(1,768)</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(2,217)</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prepaid expenses and other current assets</w:t>
            </w:r>
          </w:p>
        </w:tc>
        <w:tc>
          <w:tcPr>
            <w:tcW w:w="6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(2,440)</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(1,950)</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Decrease (increase) in other assets</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454</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(3,295)</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income taxes payable</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4,163</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1,791</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retirement plans accrual</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2,561</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3,320</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3,092</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(Decrease) increase in insurance claims liability</w:t>
            </w:r>
          </w:p>
        </w:tc>
        <w:tc>
          <w:tcPr>
            <w:tcW w:w="6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(778)</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4,500</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Increase in trade accounts payable and other accrued</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liabilities</w:t>
            </w:r>
          </w:p>
        </w:tc>
        <w:tc>
          <w:tcPr>
            <w:tcW w:w="6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7,155</w:t>
            </w:r>
          </w:p>
        </w:tc>
        <w:tc>
          <w:tcPr>
            <w:tcW w:w="32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14,649</w:t>
            </w:r>
          </w:p>
        </w:tc>
        <w:tc>
          <w:tcPr>
            <w:tcW w:w="3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9,354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789"/>
        <w:spacing w:after="0"/>
        <w:tabs>
          <w:tab w:leader="none" w:pos="5929" w:val="left"/>
          <w:tab w:leader="none" w:pos="7169" w:val="left"/>
          <w:tab w:leader="none" w:pos="8329" w:val="left"/>
        </w:tabs>
        <w:rPr>
          <w:sz w:val="20"/>
          <w:szCs w:val="20"/>
          <w:color w:val="auto"/>
        </w:rPr>
      </w:pPr>
      <w:r>
        <w:rPr>
          <w:rFonts w:ascii="Courier New" w:cs="Courier New" w:eastAsia="Courier New" w:hAnsi="Courier New"/>
          <w:sz w:val="15"/>
          <w:szCs w:val="15"/>
          <w:color w:val="auto"/>
        </w:rPr>
        <w:t>Total adjustments to net income</w:t>
      </w:r>
      <w:r>
        <w:rPr>
          <w:sz w:val="20"/>
          <w:szCs w:val="20"/>
          <w:color w:val="auto"/>
        </w:rPr>
        <w:tab/>
      </w:r>
      <w:r>
        <w:rPr>
          <w:rFonts w:ascii="Courier New" w:cs="Courier New" w:eastAsia="Courier New" w:hAnsi="Courier New"/>
          <w:sz w:val="15"/>
          <w:szCs w:val="15"/>
          <w:color w:val="auto"/>
        </w:rPr>
        <w:t>(1,869)</w:t>
      </w:r>
      <w:r>
        <w:rPr>
          <w:sz w:val="20"/>
          <w:szCs w:val="20"/>
          <w:color w:val="auto"/>
        </w:rPr>
        <w:tab/>
      </w:r>
      <w:r>
        <w:rPr>
          <w:rFonts w:ascii="Courier New" w:cs="Courier New" w:eastAsia="Courier New" w:hAnsi="Courier New"/>
          <w:sz w:val="15"/>
          <w:szCs w:val="15"/>
          <w:color w:val="auto"/>
        </w:rPr>
        <w:t>(4,362)</w:t>
      </w:r>
      <w:r>
        <w:rPr>
          <w:sz w:val="20"/>
          <w:szCs w:val="20"/>
          <w:color w:val="auto"/>
        </w:rPr>
        <w:tab/>
      </w:r>
      <w:r>
        <w:rPr>
          <w:rFonts w:ascii="Courier New" w:cs="Courier New" w:eastAsia="Courier New" w:hAnsi="Courier New"/>
          <w:sz w:val="14"/>
          <w:szCs w:val="14"/>
          <w:color w:val="auto"/>
        </w:rPr>
        <w:t>(25,418)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489" w:val="left"/>
          <w:tab w:leader="none" w:pos="5929" w:val="left"/>
          <w:tab w:leader="none" w:pos="6729" w:val="left"/>
          <w:tab w:leader="none" w:pos="7169" w:val="left"/>
          <w:tab w:leader="none" w:pos="7969" w:val="left"/>
          <w:tab w:leader="none" w:pos="8409" w:val="left"/>
        </w:tabs>
        <w:rPr>
          <w:sz w:val="20"/>
          <w:szCs w:val="20"/>
          <w:color w:val="auto"/>
        </w:rPr>
      </w:pPr>
      <w:r>
        <w:rPr>
          <w:rFonts w:ascii="Courier New" w:cs="Courier New" w:eastAsia="Courier New" w:hAnsi="Courier New"/>
          <w:sz w:val="15"/>
          <w:szCs w:val="15"/>
          <w:color w:val="auto"/>
        </w:rPr>
        <w:t>NET CASH PROVIDED BY OPERATING ACTIVITIES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32,061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35,305</w:t>
        <w:tab/>
        <w:t>$</w:t>
      </w:r>
      <w:r>
        <w:rPr>
          <w:sz w:val="20"/>
          <w:szCs w:val="20"/>
          <w:color w:val="auto"/>
        </w:rPr>
        <w:tab/>
      </w:r>
      <w:r>
        <w:rPr>
          <w:rFonts w:ascii="Courier New" w:cs="Courier New" w:eastAsia="Courier New" w:hAnsi="Courier New"/>
          <w:sz w:val="15"/>
          <w:szCs w:val="15"/>
          <w:color w:val="auto"/>
        </w:rPr>
        <w:t>18,925</w:t>
      </w:r>
    </w:p>
    <w:p>
      <w:pPr>
        <w:spacing w:after="0" w:line="3" w:lineRule="exact"/>
        <w:rPr>
          <w:sz w:val="20"/>
          <w:szCs w:val="20"/>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DATA:</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Non-cash investing activities:</w:t>
      </w:r>
    </w:p>
    <w:p>
      <w:pPr>
        <w:spacing w:after="0" w:line="1" w:lineRule="exact"/>
        <w:rPr>
          <w:sz w:val="20"/>
          <w:szCs w:val="20"/>
          <w:color w:val="auto"/>
        </w:rPr>
      </w:pPr>
    </w:p>
    <w:p>
      <w:pPr>
        <w:ind w:left="169"/>
        <w:spacing w:after="0"/>
        <w:tabs>
          <w:tab w:leader="none" w:pos="5489" w:val="left"/>
          <w:tab w:leader="none" w:pos="6009" w:val="left"/>
          <w:tab w:leader="none" w:pos="6729" w:val="left"/>
          <w:tab w:leader="none" w:pos="7249" w:val="left"/>
          <w:tab w:leader="none" w:pos="7969" w:val="left"/>
          <w:tab w:leader="none" w:pos="8509" w:val="left"/>
        </w:tabs>
        <w:rPr>
          <w:sz w:val="20"/>
          <w:szCs w:val="20"/>
          <w:color w:val="auto"/>
        </w:rPr>
      </w:pPr>
      <w:r>
        <w:rPr>
          <w:rFonts w:ascii="Courier New" w:cs="Courier New" w:eastAsia="Courier New" w:hAnsi="Courier New"/>
          <w:sz w:val="15"/>
          <w:szCs w:val="15"/>
          <w:color w:val="auto"/>
        </w:rPr>
        <w:t>Common stock issued for net assets of business acquired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1,710</w:t>
        <w:tab/>
        <w:t>$</w:t>
      </w:r>
      <w:r>
        <w:rPr>
          <w:sz w:val="20"/>
          <w:szCs w:val="20"/>
          <w:color w:val="auto"/>
        </w:rPr>
        <w:tab/>
      </w:r>
      <w:r>
        <w:rPr>
          <w:rFonts w:ascii="Courier New" w:cs="Courier New" w:eastAsia="Courier New" w:hAnsi="Courier New"/>
          <w:sz w:val="14"/>
          <w:szCs w:val="14"/>
          <w:color w:val="auto"/>
        </w:rPr>
        <w:t>1,581</w:t>
      </w:r>
    </w:p>
    <w:p>
      <w:pPr>
        <w:spacing w:after="0" w:line="3" w:lineRule="exact"/>
        <w:rPr>
          <w:sz w:val="20"/>
          <w:szCs w:val="20"/>
          <w:color w:val="auto"/>
        </w:rPr>
      </w:pPr>
    </w:p>
    <w:p>
      <w:pPr>
        <w:ind w:left="169" w:hanging="169"/>
        <w:spacing w:after="0"/>
        <w:tabs>
          <w:tab w:leader="none" w:pos="16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28"/>
          </w:cols>
          <w:pgMar w:left="231" w:top="287"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accounts of ABM Industries Incorporated and its subsidiaries ("the Company"). All material intercompany transactions and balances have been eliminated.</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ACCOUNTS RECEIVABLE: The Company's accounts receivable are principally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INVENTORIES: Inventories are valued at amounts approximating the lower of cost (first-in, first-out basis) or market.</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2"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implementing an enterprise-wide information system. External direct costs of materials and services and payroll-related costs of employees working solely on the development of the system are capitalized. In addition, in 1999 and 2000 related interest costs of approximately $135,000 and $182,000, respectively, were capitalized. Capitalized costs of the project will be amortized over a period of five years beginning when the system is placed in service. Training costs are expensed as incurred.</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INTANGIBLE ASSETS: Intangible assets consist of goodwill in the amount of $168,110,000 and other intangible assets in the amount of $2,530,000, net of accumulated amortization of $60,543,000. Goodwill, which represents the excess of cost over fair value of tangible assets of businesses acquired, is amortized on a straight-line basis over periods not exceeding 40 years. It is the Company's policy to carry goodwill applicable to acquisitions prior to 1971 of $1,450,000 at cost until such time as there may be evidence of diminution in value.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The Company annually reviews its long-lived assets, including goodwill. Impairment is evaluated on the basis of whether the asset is fully recoverable from projected, undiscounted net cash flows of the related business unit, in accordance with Statement of Financial Accounting Standards No. 121. Impairment is recognized in operating results when a permanent diminution in value is believed to have occurred. The Company measures impairment as the excess of any unamortized goodwill over the estimated future discounted cash flows over the remaining life of the asset.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77"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REVENUE RECOGNITION: Revenues are recorded at the time services are performed or when title transfers for products shipped.</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NET INCOME PER COMMON SHARE: The company has reported its earnings in accordance with State-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19"/>
          </w:cols>
          <w:pgMar w:left="240" w:top="287" w:right="1440" w:bottom="1440" w:gutter="0" w:footer="0" w:header="0"/>
          <w:type w:val="continuous"/>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ment of Financial Accounting Standards No. 128, "Earnings per Share". Basic net income per common share, after the reduction for preferred stock dividends, is based on the weighted average number of shares outstanding during the period. Diluted net income per common share, after the reduction for preferred stock dividends, is based on the weighted average number of shares outstanding during the period, including common stock equivalents. The calculation of these amounts is as follows:</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569"/>
        <w:spacing w:after="0"/>
        <w:tabs>
          <w:tab w:leader="none" w:pos="3789" w:val="left"/>
          <w:tab w:leader="none" w:pos="502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$33,930,000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$39,667,000</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$44,343,000</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182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1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(512,000)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(512,000)</w:t>
            </w:r>
          </w:p>
        </w:tc>
      </w:tr>
    </w:tbl>
    <w:p>
      <w:pPr>
        <w:spacing w:after="0" w:line="1"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$33,418,000   $39,155,000   $43,831,000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outstanding -- basic</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21,110,000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22,067,000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22,551,000</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Stock options</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1,852,000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1,544,000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1,035,000</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123,000</w:t>
            </w:r>
          </w:p>
        </w:tc>
      </w:tr>
    </w:tbl>
    <w:p>
      <w:pPr>
        <w:spacing w:after="0" w:line="1"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 diluted   23,161,00023,748,000</w:t>
      </w:r>
      <w:r>
        <w:rPr>
          <w:rFonts w:ascii="Courier New" w:cs="Courier New" w:eastAsia="Courier New" w:hAnsi="Courier New"/>
          <w:sz w:val="14"/>
          <w:szCs w:val="14"/>
          <w:color w:val="auto"/>
        </w:rPr>
        <w:t>23,709,000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the purposes of computing diluted net income per common share, weighted average common share equivalents do not include stock options with an exercise price that exceeds the average fair market value of the Company's common stock for the period. On October 31, 2000, options to purchase approximately 1,078,000 shares of common stock at a weighted average exercise price of $31.71 were outstanding, but were excluded from the computation because the options' exercise price was greater than the average market price of the common shares. At October 31, 1999, 1,268,000 shares of common stock at a weighted average exercise price of $31.09 were outstanding, but were excluded from the computation because the options' exercise price was greater than the average market price of the common shares.</w:t>
      </w:r>
    </w:p>
    <w:p>
      <w:pPr>
        <w:spacing w:after="0" w:line="179"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CASH AND CASH EQUIVALENTS: The Company considers all highly liquid instruments with original maturities of three months or less to be cash and cash equivalents.</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STOCK-BASED COMPENSATION: The Company accounts for its stock-based awards using the intrinsic value method in accordance with Accounting Principles Board Opinion No. 25, "Accounting for Stock Issued to Employees".</w:t>
      </w:r>
    </w:p>
    <w:p>
      <w:pPr>
        <w:spacing w:after="0" w:line="17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COMPREHENSIVE INCOME: Comprehensive income consists of net income and other related gains and losses affecting shareholder's equity that, under generally accepted accounting principles, are excluded from net income. For the Company, such comprehensive income items consist of unrealized foreign currency translation gains and losses, the tax effect of such was insignificant.</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 INSURANCE</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Under this program, the estimated liability for claims incurred but unpaid at October 31, 1999 and 2000 was $83,665,000 and $90,820,000, respectively. In connection with certain self-insurance agreements, the Company has standby letters of credit at October 31, 2000 supporting the estimated unpaid liability in the amounts of $69,381,000.</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 INVENTORIES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inventories at October 31, consisted of the following:</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Janitorial supplies and equipment held for</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sale</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$ 4,176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$ 3,950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Parts and materials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16,321</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5,242</w:t>
            </w:r>
          </w:p>
        </w:tc>
      </w:tr>
    </w:tbl>
    <w:p>
      <w:pPr>
        <w:spacing w:after="0" w:line="1"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$23,296</w:t>
      </w:r>
      <w:r>
        <w:rPr>
          <w:rFonts w:ascii="Courier New" w:cs="Courier New" w:eastAsia="Courier New" w:hAnsi="Courier New"/>
          <w:sz w:val="14"/>
          <w:szCs w:val="14"/>
          <w:color w:val="auto"/>
        </w:rPr>
        <w:t>$25,513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PROPERTY, PLANT AND EQUIPMENT -- NET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Property, plant and equipment at October 31, consisted of the following:</w:t>
      </w:r>
    </w:p>
    <w:p>
      <w:pPr>
        <w:sectPr>
          <w:pgSz w:w="11900" w:h="16838" w:orient="portrait"/>
          <w:cols w:equalWidth="0" w:num="1">
            <w:col w:w="10228"/>
          </w:cols>
          <w:pgMar w:left="231" w:top="287" w:right="1440" w:bottom="0" w:gutter="0" w:footer="0" w:header="0"/>
        </w:sectPr>
      </w:pPr>
    </w:p>
    <w:bookmarkStart w:id="20" w:name="page21"/>
    <w:bookmarkEnd w:id="20"/>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7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3,726</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7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13,104</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13,127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Machinery and other equipment</w:t>
            </w:r>
          </w:p>
        </w:tc>
        <w:tc>
          <w:tcPr>
            <w:tcW w:w="7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61,390</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73,056</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7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14,425</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15,092</w:t>
            </w:r>
          </w:p>
        </w:tc>
      </w:tr>
    </w:tbl>
    <w:p>
      <w:pPr>
        <w:spacing w:after="0" w:line="1" w:lineRule="exact"/>
        <w:rPr>
          <w:sz w:val="20"/>
          <w:szCs w:val="20"/>
          <w:color w:val="auto"/>
        </w:rPr>
      </w:pPr>
    </w:p>
    <w:p>
      <w:pPr>
        <w:ind w:left="169" w:hanging="169"/>
        <w:spacing w:after="0"/>
        <w:tabs>
          <w:tab w:leader="none" w:pos="16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93,445</w:t>
      </w:r>
      <w:r>
        <w:rPr>
          <w:rFonts w:ascii="Courier New" w:cs="Courier New" w:eastAsia="Courier New" w:hAnsi="Courier New"/>
          <w:sz w:val="14"/>
          <w:szCs w:val="14"/>
          <w:color w:val="auto"/>
        </w:rPr>
        <w:t>106,487</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w:t>
            </w: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(58,264)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(65,753)</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809"/>
        <w:spacing w:after="0"/>
        <w:tabs>
          <w:tab w:leader="none" w:pos="4869" w:val="left"/>
        </w:tabs>
        <w:rPr>
          <w:sz w:val="20"/>
          <w:szCs w:val="20"/>
          <w:color w:val="auto"/>
        </w:rPr>
      </w:pPr>
      <w:r>
        <w:rPr>
          <w:rFonts w:ascii="Courier New" w:cs="Courier New" w:eastAsia="Courier New" w:hAnsi="Courier New"/>
          <w:sz w:val="15"/>
          <w:szCs w:val="15"/>
          <w:color w:val="auto"/>
        </w:rPr>
        <w:t>$ 35,181</w:t>
      </w:r>
      <w:r>
        <w:rPr>
          <w:sz w:val="20"/>
          <w:szCs w:val="20"/>
          <w:color w:val="auto"/>
        </w:rPr>
        <w:tab/>
      </w:r>
      <w:r>
        <w:rPr>
          <w:rFonts w:ascii="Courier New" w:cs="Courier New" w:eastAsia="Courier New" w:hAnsi="Courier New"/>
          <w:sz w:val="14"/>
          <w:szCs w:val="14"/>
          <w:color w:val="auto"/>
        </w:rPr>
        <w:t>$ 40,734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 LONG-TERM DEBT AND CREDIT AGREEMENT</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The Company has a $150 million syndicated line of credit expiring July 1, 2002. The unsecured revolving credit facility provides, at the Company's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309" w:right="1440" w:bottom="1440" w:gutter="0" w:footer="0" w:header="0"/>
        </w:sectPr>
      </w:pPr>
    </w:p>
    <w:bookmarkStart w:id="21" w:name="page22"/>
    <w:bookmarkEnd w:id="21"/>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interest at the prime rate or IBOR+.35%. The facility calls for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commitment fee payable quarterly, in arrears, of .12% based on the average,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daily, unused portion. For purposes of this calculation, irrevocable standby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letters of credit issued in conjunction with the Company's self-insurance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program plus cash borrowings are considered to be outstanding amounts. As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31, 2000, the total outstanding amount under this facility was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$106,000,000, comprised of $35,000,000 in loans and $71,000,000 in standby</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letters of credit. The interest rates at October 31, 2000, on loans outstanding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under this agreement ranged from 7.1% to 9.5%. The Company is required, under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agreement to maintain financial ratios and places certain limitations 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dividend payments. The Company is prohibited from paying cash dividends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exceeding 50% of its net income for any fiscal year.</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Company has a loan agreement with a major U.S. bank with a balance of $2,622,000, at October 31, 2000. This loan bears interest at a fixed rate of 6.78% with annual payments of principal, in varying amounts, and interest due each February 15 through 2003.</w:t>
      </w:r>
    </w:p>
    <w:p>
      <w:pPr>
        <w:spacing w:after="0" w:line="176"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long-term debt of $37,676,000 matures in the years ending October 31 as follows: $865,000 in 2001, $35,869,000 in 2002, and $942,000 in 2003.</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Long-term debt at October 31, is summarized as follows: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Revolving credit facility</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with interest at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2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7.1 - 9.5%</w:t>
            </w:r>
          </w:p>
        </w:tc>
        <w:tc>
          <w:tcPr>
            <w:tcW w:w="16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Note payable to bank with</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interest at 6.78%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2,622</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bl>
    <w:p>
      <w:pPr>
        <w:spacing w:after="0" w:line="1"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29,80137,676</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r>
    </w:tbl>
    <w:p>
      <w:pPr>
        <w:spacing w:after="0" w:line="1"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$28,903</w:t>
      </w:r>
      <w:r>
        <w:rPr>
          <w:rFonts w:ascii="Courier New" w:cs="Courier New" w:eastAsia="Courier New" w:hAnsi="Courier New"/>
          <w:sz w:val="14"/>
          <w:szCs w:val="14"/>
          <w:color w:val="auto"/>
        </w:rPr>
        <w:t>$36,811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69" w:hanging="269"/>
        <w:spacing w:after="0"/>
        <w:tabs>
          <w:tab w:leader="none" w:pos="26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RETIREMENT AGREEMENTS</w:t>
      </w:r>
    </w:p>
    <w:p>
      <w:pPr>
        <w:spacing w:after="0" w:line="3" w:lineRule="exact"/>
        <w:rPr>
          <w:rFonts w:ascii="Courier New" w:cs="Courier New" w:eastAsia="Courier New" w:hAnsi="Courier New"/>
          <w:sz w:val="15"/>
          <w:szCs w:val="15"/>
          <w:color w:val="auto"/>
        </w:rPr>
      </w:pPr>
    </w:p>
    <w:p>
      <w:pPr>
        <w:ind w:left="9" w:right="3119" w:firstLine="4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unfunded retirement agreements for approximately 47 current and former directors and senior executives, many of which are fully vested. The agreements provide for annual benefits for ten years commencing at the later of the respective retirement dates of those executives or age 65. The benefits are accrued over the period these directors and senior executives are expected to be employed by the Company. During 1998, 1999 and 2000, amounts accrued under these agreements were $513,000, $674,000 and $684,000, respectively. Payments were made in 1998, 1999 and 2000 in the amounts of $207,000, $231,000 and $171,000, respectively.</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 401(k) AND PROFIT SHARING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 profit sharing and 401(k) plan covering certain qualified employees,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pacing w:after="0" w:line="177" w:lineRule="exact"/>
        <w:rPr>
          <w:sz w:val="20"/>
          <w:szCs w:val="20"/>
          <w:color w:val="auto"/>
        </w:rPr>
      </w:pPr>
    </w:p>
    <w:p>
      <w:pPr>
        <w:jc w:val="both"/>
        <w:ind w:left="9" w:right="3399" w:firstLine="444"/>
        <w:spacing w:after="0"/>
        <w:rPr>
          <w:sz w:val="20"/>
          <w:szCs w:val="20"/>
          <w:color w:val="auto"/>
        </w:rPr>
      </w:pPr>
      <w:r>
        <w:rPr>
          <w:rFonts w:ascii="Courier New" w:cs="Courier New" w:eastAsia="Courier New" w:hAnsi="Courier New"/>
          <w:sz w:val="15"/>
          <w:szCs w:val="15"/>
          <w:color w:val="auto"/>
        </w:rPr>
        <w:t>The Company provided for profit sharing contributions of $1,534,000 and $1,643,000 for 1998 and 1999, respectively. No contribution was provided for fiscal year 2000. The Company's matching 401(k) contributions required by the 401(k) plan for 1998, 1999 and 2000 were approximately $1,066,000, $1,210,000 and $1,191,000, respectively.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 SERVICE AWARD BENEFIT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1989, the Company adopted an unfunded service award benefit plan, with a retroactive vesting period of five years. This plan is a "severance pay plan" as defined by the Employee Retirement Income Security Act (ERISA) and covers certain qualified employees. The plan provides participants, upon termination, with a guaranteed seven days pay for each year of employment subsequent to November 1, 1989. The Company, at its discretion, may also award additional days each year.</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Net cost of the plan is comprised of:</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Service cost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396</w:t>
            </w:r>
          </w:p>
        </w:tc>
        <w:tc>
          <w:tcPr>
            <w:tcW w:w="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w:t>
            </w: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Interest</w:t>
            </w:r>
          </w:p>
        </w:tc>
        <w:tc>
          <w:tcPr>
            <w:tcW w:w="13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w:t>
            </w:r>
          </w:p>
        </w:tc>
        <w:tc>
          <w:tcPr>
            <w:tcW w:w="3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w:t>
            </w:r>
          </w:p>
        </w:tc>
        <w:tc>
          <w:tcPr>
            <w:tcW w:w="3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Net cost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651</w:t>
            </w:r>
          </w:p>
        </w:tc>
        <w:tc>
          <w:tcPr>
            <w:tcW w:w="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Actuarial present value of:</w:t>
      </w:r>
    </w:p>
    <w:p>
      <w:pPr>
        <w:sectPr>
          <w:pgSz w:w="11900" w:h="16870" w:orient="portrait"/>
          <w:cols w:equalWidth="0" w:num="1">
            <w:col w:w="10228"/>
          </w:cols>
          <w:pgMar w:left="231" w:top="287" w:right="1440" w:bottom="0" w:gutter="0" w:footer="0" w:header="0"/>
        </w:sectPr>
      </w:pPr>
    </w:p>
    <w:bookmarkStart w:id="22" w:name="page23"/>
    <w:bookmarkEnd w:id="22"/>
    <w:tbl>
      <w:tblPr>
        <w:tblLayout w:type="fixed"/>
        <w:tblInd w:w="16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Vested benefit obligation</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$3,724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$3,895</w:t>
            </w:r>
          </w:p>
        </w:tc>
      </w:tr>
      <w:tr>
        <w:trPr>
          <w:trHeight w:val="171"/>
        </w:trPr>
        <w:tc>
          <w:tcPr>
            <w:tcW w:w="290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$4,067</w:t>
            </w:r>
          </w:p>
        </w:tc>
      </w:tr>
      <w:tr>
        <w:trPr>
          <w:trHeight w:val="171"/>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$4,072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$4,746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139" w:right="1440" w:bottom="1440" w:gutter="0" w:footer="0" w:header="0"/>
        </w:sectPr>
      </w:pPr>
    </w:p>
    <w:bookmarkStart w:id="23" w:name="page24"/>
    <w:bookmarkEnd w:id="23"/>
    <w:p>
      <w:pPr>
        <w:spacing w:after="0" w:line="4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Assumptions used in accounting for the plan as of October 31 were:</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569"/>
        <w:spacing w:after="0"/>
        <w:tabs>
          <w:tab w:leader="none" w:pos="3269" w:val="left"/>
          <w:tab w:leader="none" w:pos="396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discount</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rate</w:t>
            </w:r>
          </w:p>
        </w:tc>
        <w:tc>
          <w:tcPr>
            <w:tcW w:w="92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Rate of increase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level</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 PENSION PLAN UNDER COLLECTIVE BARGAINING</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Certain qualified employees of the Company are covered under union-sponsored collectively bargained multi-employer defined benefit plans. Contributions for these plans were approximately $20,763,000, $25,516,000 and $26,913,000 in 1998, 1999 and 2000, respectively. These plans are not administered by the Company and contributions are determined in accordance with provisions of negotiated labor contracts.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 LEASE COMMITMENTS AND RENTAL EXPENSE</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The Company is obligated under noncancelable operating leases for various facilities and equipment.</w:t>
      </w:r>
    </w:p>
    <w:p>
      <w:pPr>
        <w:spacing w:after="0" w:line="175" w:lineRule="exact"/>
        <w:rPr>
          <w:sz w:val="20"/>
          <w:szCs w:val="20"/>
          <w:color w:val="auto"/>
        </w:rPr>
      </w:pPr>
    </w:p>
    <w:p>
      <w:pPr>
        <w:ind w:left="9" w:right="4279" w:firstLine="444"/>
        <w:spacing w:after="0" w:line="238" w:lineRule="auto"/>
        <w:rPr>
          <w:sz w:val="20"/>
          <w:szCs w:val="20"/>
          <w:color w:val="auto"/>
        </w:rPr>
      </w:pPr>
      <w:r>
        <w:rPr>
          <w:rFonts w:ascii="Courier New" w:cs="Courier New" w:eastAsia="Courier New" w:hAnsi="Courier New"/>
          <w:sz w:val="15"/>
          <w:szCs w:val="15"/>
          <w:color w:val="auto"/>
        </w:rPr>
        <w:t>As of October 31, 2000, future minimum lease commitments under noncancelable operating leases are as follows:</w:t>
      </w:r>
    </w:p>
    <w:p>
      <w:pPr>
        <w:spacing w:after="0" w:line="200" w:lineRule="exact"/>
        <w:rPr>
          <w:sz w:val="20"/>
          <w:szCs w:val="20"/>
          <w:color w:val="auto"/>
        </w:rPr>
      </w:pPr>
    </w:p>
    <w:p>
      <w:pPr>
        <w:spacing w:after="0" w:line="314"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Years ending (in thousands of dollars)</w:t>
      </w:r>
    </w:p>
    <w:p>
      <w:pPr>
        <w:ind w:left="16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$ 42,786</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34,673</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26,844</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17,524</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13,886</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68,174</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minimum lease commitments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$203,887</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Rental expense for the years ended October 31, is summarized as follows: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Minimum rentals</w:t>
            </w: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under</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noncancelable</w:t>
            </w: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leases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$61,648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$52,231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$ 53,387</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Contingent</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rentals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26,071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41,441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42,641</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Short-term</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rental agreements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11,379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4,682</w:t>
            </w:r>
          </w:p>
        </w:tc>
      </w:tr>
    </w:tbl>
    <w:p>
      <w:pPr>
        <w:spacing w:after="0" w:line="1" w:lineRule="exact"/>
        <w:rPr>
          <w:sz w:val="20"/>
          <w:szCs w:val="20"/>
          <w:color w:val="auto"/>
        </w:rPr>
      </w:pPr>
    </w:p>
    <w:p>
      <w:pPr>
        <w:ind w:left="169" w:hanging="169"/>
        <w:spacing w:after="0"/>
        <w:tabs>
          <w:tab w:leader="none" w:pos="1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$99,098$96,430</w:t>
      </w:r>
      <w:r>
        <w:rPr>
          <w:rFonts w:ascii="Courier New" w:cs="Courier New" w:eastAsia="Courier New" w:hAnsi="Courier New"/>
          <w:sz w:val="14"/>
          <w:szCs w:val="14"/>
          <w:color w:val="auto"/>
        </w:rPr>
        <w:t>$100,710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Contingent rentals are applicable to leases of parking lots and garages and are based on percentages of the gross receipts attributable to the related facilities.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 COMMITMENTS AND CONTINGENCIES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and certain of its subsidiaries have been named defendants in certain litigation arising in the ordinary course of business. In the opinion of management, based on advice of legal counsel, such matters should have no material effect on the Company's financial position, results of operations or cash flows.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 REDEEMABLE CUMULATIVE PREFERRED STOCK</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2002. The total redemption value of the shares outstanding at October 31, 1999 and 2000 in an amount of $6,400,000 is classified on the Company's balance sheet as redeemable cumulative preferred stock. In the event of any liquidation, dissolution or winding up of the affairs of the Company, holders of the Series B Preferred Stock shall be paid the redemption price plus all accrued dividends to the date of liquidation, dissolution or winding up of affairs before any payment</w:t>
      </w:r>
    </w:p>
    <w:p>
      <w:pPr>
        <w:sectPr>
          <w:pgSz w:w="11900" w:h="16881" w:orient="portrait"/>
          <w:cols w:equalWidth="0" w:num="1">
            <w:col w:w="10228"/>
          </w:cols>
          <w:pgMar w:left="231" w:top="287"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to other stockholders.</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On September 1, 1993, the Company issued 6,400 shares of its Series B Preferred Stock in conjunction with the acquisition of System Parking. The acquisition agreement provided that one-half, or 3,200 shares, of the Series B Preferred Stock be placed in escrow and will be released upon certain earnout requirements. As of October 31, 2000, none of these shares have been released.</w:t>
      </w:r>
    </w:p>
    <w:p>
      <w:pPr>
        <w:spacing w:after="0" w:line="162"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Dividends of $128,000 are due and payable each quarter and are deducted from net income in determining net income per common share.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CAPITAL STOCK</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In March 1999, the stockholders approved an amendment to the Company's Certificate of Incorporation to increase the number of shares of common</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13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stock, par value $.01 per share, authorized for issue from 28,000,000 to 100,000,000.</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is also authorized to issue 500,000 shares of preferred stock, of which 50,000 shares have been designated as Series A Junior Participating Preferred Stock of $.01 par value. None of these preferred shares have been issued.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 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 value at that time of twice the Right's exercise price. 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 Theodore Rosenberg Trust and The Sydney J. Rosenberg Trust,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192"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As discussed in Note 1, the Company continues to account for its stock-based awards using the intrinsic value method in accordance with Accounting Principles Board Opinion No. 25, "Accounting for Stock Issued to Employees", and its related interpretations. Accordingly, no compensation expense has been recognized in the financial statements for employee stock awards.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Statement of Financial Accounting Standards (SFAS) No. 123, "Accounting for Stock-Based Compensation", requires the disclosure of pro forma net earnings and earnings per share had the Company adopted the fair value method as of the beginning of fiscal 1996. Under SFAS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 expected life 11.4 years, 11.9 years, and 9.1 years from the date of grant in fiscal 1998, 1999, and 2000, respectively; expected stock price volatility of 25.3%, 26.2% and 27.7%, respectively; expected dividend yields of 1.5%, 1.9% and 3.1%, and risk free interest rates of 6.0%, 5.0%, and 6.7% in fiscal 1998, 1999, and 2000, respectively.</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calculations are based on a single option valuation approach and forfeitures are recognized as they occur. If the computed fair values of the fiscal awards had been amortized to expense over the vesting period of the awards, pro forma net earnings would have been $27,496,000 ($1.17 per diluted share) for fiscal 1998, $35,409,000 ($1.47 per diluted share) for fiscal 1999, and $39,477,000 ($1.64 per diluted share) for fiscal 2000. The impact of outstanding stock options granted prior to fiscal 1996 has been excluded from the pro forma calculation; accordingly, the fiscal 1998, 1999, and 2000 pro forma adjustments are not indicative of future period pro forma adjustments, when the calculation will apply to all future applicable stock grants.</w:t>
      </w:r>
    </w:p>
    <w:p>
      <w:pPr>
        <w:spacing w:after="0" w:line="16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Under the "Price-Vested" Performance Stock Option Plan options were granted with a ten-year term. If, during the first four years, the stock price achieved and maintained a set price for ten out of thirty consecutive trading days, the options associated with the price would vest. The prices established were $25, $30, $35 and $40, with 25% of the options vesting at each price point. If, at the end of four years, any of the stock price performance targets</w:t>
      </w:r>
    </w:p>
    <w:p>
      <w:pPr>
        <w:sectPr>
          <w:pgSz w:w="11900" w:h="16838" w:orient="portrait"/>
          <w:cols w:equalWidth="0" w:num="1">
            <w:col w:w="10219"/>
          </w:cols>
          <w:pgMar w:left="240" w:top="287" w:right="1440" w:bottom="1440" w:gutter="0" w:footer="0" w:header="0"/>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19"/>
          </w:cols>
          <w:pgMar w:left="240" w:top="287" w:right="1440" w:bottom="1440" w:gutter="0" w:footer="0" w:header="0"/>
          <w:type w:val="continuous"/>
        </w:sectPr>
      </w:pPr>
    </w:p>
    <w:bookmarkStart w:id="26" w:name="page27"/>
    <w:bookmarkEnd w:id="26"/>
    <w:p>
      <w:pPr>
        <w:spacing w:after="0" w:line="5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were not achieved, then the remaining options would vest at the end of eight years from the date the options were granted. SFAS 123 requires that the projected value of the options be determined on the grant date and recognized over the period in which the options are earned (the vesting period). For these options, the projected value of the options was determined and that value was to be recognized over the eight-year vesting period unless vesting occurred at an earlier date. In fiscal 1998 ABM stock achieved and maintained for the requisite ten-day period, the first three price targets. As a result, 75% of the fiscal 1997 options vested, and the projected value of that 75% was recognized in 1998 pro forma net income. Of the remaining 25% of the fiscal 1997 options, one-eighth was recognized in each of the last four years, and the remaining amount will be recognized over the next four years. During fiscal 1998 and 2000, the first two price targets were met for the fiscal 1998 and 2000 grants, respectively. One-eighth of the remaining 50% of the respective grants has been recognized for each applicable fiscal year.</w:t>
      </w:r>
    </w:p>
    <w:p>
      <w:pPr>
        <w:spacing w:after="0" w:line="17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"Time-Vested" Incentive Stock Option Plan, as amended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1987, the Company adopted a stock option plan under which 1,200,000 shares were reserved for grant until December 31, 1996. In March 1994, this plan was amended to reserve an additional 1,000,000 shares. In March 1996, the plan was amended again to reserve another 2,000,000 shares. Options which terminate without being exercised may be reissued. At October 31, 2000, 804,000 shares remained available for grant.</w:t>
      </w:r>
    </w:p>
    <w:p>
      <w:pPr>
        <w:spacing w:after="0" w:line="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89" w:right="46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Weighted Average</w:t>
      </w:r>
    </w:p>
    <w:tbl>
      <w:tblPr>
        <w:tblLayout w:type="fixed"/>
        <w:tblInd w:w="9"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1160" w:type="dxa"/>
            <w:vAlign w:val="bottom"/>
          </w:tcPr>
          <w:p>
            <w:pPr>
              <w:jc w:val="right"/>
              <w:ind w:right="146"/>
              <w:spacing w:after="0" w:line="168" w:lineRule="exact"/>
              <w:rPr>
                <w:sz w:val="20"/>
                <w:szCs w:val="20"/>
                <w:color w:val="auto"/>
              </w:rPr>
            </w:pPr>
            <w:r>
              <w:rPr>
                <w:rFonts w:ascii="Courier New" w:cs="Courier New" w:eastAsia="Courier New" w:hAnsi="Courier New"/>
                <w:sz w:val="15"/>
                <w:szCs w:val="15"/>
                <w:color w:val="auto"/>
              </w:rPr>
              <w:t>Number of</w:t>
            </w:r>
          </w:p>
        </w:tc>
        <w:tc>
          <w:tcPr>
            <w:tcW w:w="1020" w:type="dxa"/>
            <w:vAlign w:val="bottom"/>
          </w:tcPr>
          <w:p>
            <w:pPr>
              <w:jc w:val="right"/>
              <w:ind w:right="106"/>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71"/>
        </w:trPr>
        <w:tc>
          <w:tcPr>
            <w:tcW w:w="358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1997</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$10.20)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266,000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$32.28</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(486,000)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$ 7.35</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$15.16</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2,012,000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$8.34)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$30.86</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(296,000)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$10.28</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$18.30</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1,807,000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$18.37</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$6.18)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$21.22</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$24.53</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1,852,000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$19.23</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tabs>
          <w:tab w:leader="none" w:pos="5209"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Exercisable</w:t>
      </w:r>
    </w:p>
    <w:p>
      <w:pPr>
        <w:spacing w:after="0" w:line="1" w:lineRule="exact"/>
        <w:rPr>
          <w:sz w:val="20"/>
          <w:szCs w:val="20"/>
          <w:color w:val="auto"/>
        </w:rPr>
      </w:pPr>
    </w:p>
    <w:p>
      <w:pPr>
        <w:ind w:left="9"/>
        <w:spacing w:after="0"/>
        <w:tabs>
          <w:tab w:leader="none" w:pos="50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2489"/>
        <w:spacing w:after="0"/>
        <w:tabs>
          <w:tab w:leader="none" w:pos="3889" w:val="left"/>
          <w:tab w:leader="none" w:pos="592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1" w:lineRule="exact"/>
        <w:rPr>
          <w:sz w:val="20"/>
          <w:szCs w:val="20"/>
          <w:color w:val="auto"/>
        </w:rPr>
      </w:pPr>
    </w:p>
    <w:p>
      <w:pPr>
        <w:ind w:left="1689"/>
        <w:spacing w:after="0"/>
        <w:tabs>
          <w:tab w:leader="none" w:pos="2469" w:val="left"/>
          <w:tab w:leader="none" w:pos="3889" w:val="left"/>
          <w:tab w:leader="none" w:pos="4949" w:val="left"/>
          <w:tab w:leader="none" w:pos="592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9"/>
        <w:spacing w:after="0"/>
        <w:tabs>
          <w:tab w:leader="none" w:pos="2029" w:val="left"/>
          <w:tab w:leader="none" w:pos="2469" w:val="left"/>
          <w:tab w:leader="none" w:pos="3889" w:val="left"/>
          <w:tab w:leader="none" w:pos="5129" w:val="left"/>
          <w:tab w:leader="none" w:pos="5929"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Exercise</w:t>
      </w:r>
    </w:p>
    <w:p>
      <w:pPr>
        <w:spacing w:after="0" w:line="1" w:lineRule="exact"/>
        <w:rPr>
          <w:sz w:val="20"/>
          <w:szCs w:val="20"/>
          <w:color w:val="auto"/>
        </w:rPr>
      </w:pPr>
    </w:p>
    <w:p>
      <w:pPr>
        <w:ind w:left="9"/>
        <w:spacing w:after="0"/>
        <w:tabs>
          <w:tab w:leader="none" w:pos="1569" w:val="left"/>
          <w:tab w:leader="none" w:pos="2469" w:val="left"/>
          <w:tab w:leader="none" w:pos="4069" w:val="left"/>
          <w:tab w:leader="none" w:pos="4869" w:val="left"/>
          <w:tab w:leader="none" w:pos="6109"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8.49</w:t>
            </w:r>
          </w:p>
        </w:tc>
        <w:tc>
          <w:tcPr>
            <w:tcW w:w="7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- 13.32</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488,000</w:t>
            </w: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$ 9.10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488,000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17.44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26.94</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1,017,000</w:t>
            </w: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713,000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19.15</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29.41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36.59</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347,000</w:t>
            </w: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32.37</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"Price-Vested" Performance Stock Option Plan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December 1996, the Company adopted a stock option plan under which 1,500,000 shares have been reserved. The options expire 10 years after the date of grant and any options which terminate without being exercised may be reissued. Each option will have a pre-defined vesting price which provides for accelerated vesting if the fair market value of the Company's common stock is equal to or greater than the pre-defined vesting price for 10 trading days in any period of 30 consecutive trading days. Vested options will become exercisable only after the first anniversary of its grant date. Any option that has not vested prior to the fourth anniversary of its grant date will vest on the eighth anniversary of its grant date. At October 31, 2000, 194,000 shares remained available for grant.</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89" w:right="463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Weighted Average</w:t>
      </w:r>
    </w:p>
    <w:p>
      <w:pPr>
        <w:sectPr>
          <w:pgSz w:w="11900" w:h="16891" w:orient="portrait"/>
          <w:cols w:equalWidth="0" w:num="1">
            <w:col w:w="10228"/>
          </w:cols>
          <w:pgMar w:left="231" w:top="287" w:right="1440" w:bottom="0" w:gutter="0" w:footer="0" w:header="0"/>
        </w:sectPr>
      </w:pPr>
    </w:p>
    <w:bookmarkStart w:id="27" w:name="page28"/>
    <w:bookmarkEnd w:id="27"/>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358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1997</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1,080,000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$14.95)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$36.59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1,150,000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$22.37</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$7.01)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$20.75</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$22.98</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1,146,000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$22.33</w:t>
            </w:r>
          </w:p>
        </w:tc>
      </w:tr>
      <w:tr>
        <w:trPr>
          <w:trHeight w:val="171"/>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669"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Exercisable</w:t>
      </w:r>
    </w:p>
    <w:p>
      <w:pPr>
        <w:spacing w:after="0" w:line="1" w:lineRule="exact"/>
        <w:rPr>
          <w:sz w:val="20"/>
          <w:szCs w:val="20"/>
          <w:color w:val="auto"/>
        </w:rPr>
      </w:pPr>
    </w:p>
    <w:p>
      <w:pPr>
        <w:ind w:left="9"/>
        <w:spacing w:after="0"/>
        <w:tabs>
          <w:tab w:leader="none" w:pos="50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2489"/>
        <w:spacing w:after="0"/>
        <w:tabs>
          <w:tab w:leader="none" w:pos="3889" w:val="left"/>
          <w:tab w:leader="none" w:pos="592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1" w:lineRule="exact"/>
        <w:rPr>
          <w:sz w:val="20"/>
          <w:szCs w:val="20"/>
          <w:color w:val="auto"/>
        </w:rPr>
      </w:pPr>
    </w:p>
    <w:p>
      <w:pPr>
        <w:ind w:left="1689"/>
        <w:spacing w:after="0"/>
        <w:tabs>
          <w:tab w:leader="none" w:pos="2469" w:val="left"/>
          <w:tab w:leader="none" w:pos="3889" w:val="left"/>
          <w:tab w:leader="none" w:pos="5029" w:val="left"/>
          <w:tab w:leader="none" w:pos="592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9"/>
        <w:spacing w:after="0"/>
        <w:tabs>
          <w:tab w:leader="none" w:pos="2029" w:val="left"/>
          <w:tab w:leader="none" w:pos="2469" w:val="left"/>
          <w:tab w:leader="none" w:pos="3889" w:val="left"/>
          <w:tab w:leader="none" w:pos="5389" w:val="left"/>
          <w:tab w:leader="none" w:pos="5929"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Exercise</w:t>
      </w:r>
    </w:p>
    <w:p>
      <w:pPr>
        <w:spacing w:after="0" w:line="1" w:lineRule="exact"/>
        <w:rPr>
          <w:sz w:val="20"/>
          <w:szCs w:val="20"/>
          <w:color w:val="auto"/>
        </w:rPr>
      </w:pPr>
    </w:p>
    <w:p>
      <w:pPr>
        <w:ind w:left="9"/>
        <w:spacing w:after="0"/>
        <w:tabs>
          <w:tab w:leader="none" w:pos="1569" w:val="left"/>
          <w:tab w:leader="none" w:pos="2469" w:val="left"/>
          <w:tab w:leader="none" w:pos="4069" w:val="left"/>
          <w:tab w:leader="none" w:pos="4949" w:val="left"/>
          <w:tab w:leader="none" w:pos="6109"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$20.00 - 25.59.. 1,006,000</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$20.34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$20.28</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$36.59</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140,000</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$36.59</w:t>
            </w:r>
          </w:p>
        </w:tc>
      </w:tr>
    </w:tbl>
    <w:p>
      <w:pPr>
        <w:spacing w:after="0" w:line="3" w:lineRule="exact"/>
        <w:rPr>
          <w:sz w:val="20"/>
          <w:szCs w:val="20"/>
          <w:color w:val="auto"/>
        </w:rPr>
      </w:pPr>
    </w:p>
    <w:p>
      <w:pPr>
        <w:ind w:left="169" w:hanging="169"/>
        <w:spacing w:after="0"/>
        <w:tabs>
          <w:tab w:leader="none" w:pos="16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139" w:right="1440" w:bottom="1440" w:gutter="0" w:footer="0" w:header="0"/>
        </w:sectPr>
      </w:pPr>
    </w:p>
    <w:bookmarkStart w:id="28" w:name="page29"/>
    <w:bookmarkEnd w:id="28"/>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"Age-Vested" Career Stock Option Plan, as amended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1984, the Company adopted a stock option plan whereby 680,000 shares were reserved for grant. In March 1996, another 1,000,000 shares were reserved for grant under the plan.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 At October 31, 2000, 443,000 shares remained available for grant.</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89" w:right="46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Weighted Average</w:t>
      </w:r>
    </w:p>
    <w:p>
      <w:pPr>
        <w:ind w:left="3729"/>
        <w:spacing w:after="0"/>
        <w:tabs>
          <w:tab w:leader="none" w:pos="4869"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1" w:lineRule="exact"/>
        <w:rPr>
          <w:sz w:val="20"/>
          <w:szCs w:val="20"/>
          <w:color w:val="auto"/>
        </w:rPr>
      </w:pPr>
    </w:p>
    <w:p>
      <w:pPr>
        <w:ind w:left="3909"/>
        <w:spacing w:after="0"/>
        <w:tabs>
          <w:tab w:leader="none" w:pos="5029"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October 31, 1997</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623,000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$ 7.53</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(Weighted average fair value of</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680" w:type="dxa"/>
            <w:vAlign w:val="bottom"/>
            <w:gridSpan w:val="2"/>
          </w:tcPr>
          <w:p>
            <w:pPr>
              <w:jc w:val="right"/>
              <w:ind w:right="2826"/>
              <w:spacing w:after="0"/>
              <w:rPr>
                <w:sz w:val="20"/>
                <w:szCs w:val="20"/>
                <w:color w:val="auto"/>
              </w:rPr>
            </w:pPr>
            <w:r>
              <w:rPr>
                <w:rFonts w:ascii="Courier New" w:cs="Courier New" w:eastAsia="Courier New" w:hAnsi="Courier New"/>
                <w:sz w:val="15"/>
                <w:szCs w:val="15"/>
                <w:color w:val="auto"/>
              </w:rPr>
              <w:t>$13.79)</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573,000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$30.01</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Terminated</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$18.82</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October 31, 1998</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1,184,000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(Weighted average fair value of</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$14.59)</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$31.88</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$ 6.22</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Terminated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$ 9.31</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October 31, 1999</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1,187,000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(Weighted average fair value of</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$7.54)</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$20.75</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$ 5.92</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Terminated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$20.96</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9" w:hanging="169"/>
        <w:spacing w:after="0"/>
        <w:tabs>
          <w:tab w:leader="none" w:pos="1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7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w:t>
      </w:r>
      <w:r>
        <w:rPr>
          <w:rFonts w:ascii="Courier New" w:cs="Courier New" w:eastAsia="Courier New" w:hAnsi="Courier New"/>
          <w:sz w:val="14"/>
          <w:szCs w:val="14"/>
          <w:color w:val="auto"/>
        </w:rPr>
        <w:t>Exercisable</w:t>
      </w:r>
    </w:p>
    <w:p>
      <w:pPr>
        <w:spacing w:after="0" w:line="1" w:lineRule="exact"/>
        <w:rPr>
          <w:sz w:val="20"/>
          <w:szCs w:val="20"/>
          <w:color w:val="auto"/>
        </w:rPr>
      </w:pPr>
    </w:p>
    <w:p>
      <w:pPr>
        <w:ind w:left="9"/>
        <w:spacing w:after="0"/>
        <w:tabs>
          <w:tab w:leader="none" w:pos="51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2669"/>
        <w:spacing w:after="0"/>
        <w:tabs>
          <w:tab w:leader="none" w:pos="3969" w:val="left"/>
          <w:tab w:leader="none" w:pos="600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1" w:lineRule="exact"/>
        <w:rPr>
          <w:sz w:val="20"/>
          <w:szCs w:val="20"/>
          <w:color w:val="auto"/>
        </w:rPr>
      </w:pPr>
    </w:p>
    <w:p>
      <w:pPr>
        <w:ind w:left="1689"/>
        <w:spacing w:after="0"/>
        <w:tabs>
          <w:tab w:leader="none" w:pos="2549" w:val="left"/>
          <w:tab w:leader="none" w:pos="3969" w:val="left"/>
          <w:tab w:leader="none" w:pos="5029" w:val="left"/>
          <w:tab w:leader="none" w:pos="600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529"/>
        <w:spacing w:after="0"/>
        <w:tabs>
          <w:tab w:leader="none" w:pos="2029" w:val="left"/>
          <w:tab w:leader="none" w:pos="2549" w:val="left"/>
          <w:tab w:leader="none" w:pos="3969" w:val="left"/>
          <w:tab w:leader="none" w:pos="5389" w:val="left"/>
          <w:tab w:leader="none" w:pos="6009"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Exercise</w:t>
      </w:r>
    </w:p>
    <w:p>
      <w:pPr>
        <w:spacing w:after="0" w:line="1" w:lineRule="exact"/>
        <w:rPr>
          <w:sz w:val="20"/>
          <w:szCs w:val="20"/>
          <w:color w:val="auto"/>
        </w:rPr>
      </w:pPr>
    </w:p>
    <w:p>
      <w:pPr>
        <w:ind w:left="709"/>
        <w:spacing w:after="0"/>
        <w:tabs>
          <w:tab w:leader="none" w:pos="1569" w:val="left"/>
          <w:tab w:leader="none" w:pos="2549" w:val="left"/>
          <w:tab w:leader="none" w:pos="4149" w:val="left"/>
          <w:tab w:leader="none" w:pos="4949" w:val="left"/>
          <w:tab w:leader="none" w:pos="6189"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5.72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8.72</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272,000</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6.74</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$11.25</w:t>
            </w:r>
          </w:p>
        </w:tc>
        <w:tc>
          <w:tcPr>
            <w:tcW w:w="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- 13.28</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155,000</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11.33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11.25</w:t>
            </w:r>
          </w:p>
        </w:tc>
      </w:tr>
      <w:tr>
        <w:trPr>
          <w:trHeight w:val="171"/>
        </w:trPr>
        <w:tc>
          <w:tcPr>
            <w:tcW w:w="120" w:type="dxa"/>
            <w:vAlign w:val="bottom"/>
          </w:tcPr>
          <w:p>
            <w:pPr>
              <w:spacing w:after="0"/>
              <w:rPr>
                <w:sz w:val="14"/>
                <w:szCs w:val="14"/>
                <w:color w:val="auto"/>
              </w:rPr>
            </w:pPr>
          </w:p>
        </w:tc>
        <w:tc>
          <w:tcPr>
            <w:tcW w:w="13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$19.44</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79,000</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20.65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20.75</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$29.41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37.59</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595,000</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30.33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29.41</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Employee Stock Purchase Plan, as amended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1985, the Company adopted an employee stock purchase plan under which sale of 5 million shares of its common stock has been authorized. In March 1996, the sale of an additional 1,200,000 shares were authorized, and again in March of 1999, 1,200,000 additional shares were authorized under this plan. The purchase price of the shares under the plan is the lesser of 85% of the fair market value at the commencement of each plan year or 85% of the fair market value on the date of purchase. Employees may designate up to 10% of their compensation for the purchase of stock. During 1998, 1999, and 2000, 562,000, 602,000, and 635,000 shares of stock were issued under the plan for an aggregate purchase price of $10,873,000, $13,632,000 and $12,588,000, respectively. The weighted average fair value per share of purchases in 1998, 1999, and 2000 was $5.11, $7.32, and $7.27, respectively, and were issued at a weighted average price of $19.34, $23.25 and $19.84, respectively. At October 31, 2000, 257,000 shares remained unissued under the plan.</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 INCOME TAXES</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The provision for income taxes is made up of the following components for each of the years ended October 31:</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Current Federal</w:t>
            </w:r>
          </w:p>
        </w:tc>
        <w:tc>
          <w:tcPr>
            <w:tcW w:w="17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$22,415</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$29,807</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$29,793</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7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5,647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4,286</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4,051</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Foreign</w:t>
            </w:r>
          </w:p>
        </w:tc>
        <w:tc>
          <w:tcPr>
            <w:tcW w:w="17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(4,149)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(5,071)</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bl>
    <w:p>
      <w:pPr>
        <w:sectPr>
          <w:pgSz w:w="11900" w:h="16870" w:orient="portrait"/>
          <w:cols w:equalWidth="0" w:num="1">
            <w:col w:w="10228"/>
          </w:cols>
          <w:pgMar w:left="231" w:top="287"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$23,578</w:t>
            </w:r>
          </w:p>
        </w:tc>
        <w:tc>
          <w:tcPr>
            <w:tcW w:w="1020" w:type="dxa"/>
            <w:vAlign w:val="bottom"/>
            <w:gridSpan w:val="2"/>
          </w:tcPr>
          <w:p>
            <w:pPr>
              <w:jc w:val="right"/>
              <w:ind w:right="70"/>
              <w:spacing w:after="0"/>
              <w:rPr>
                <w:sz w:val="20"/>
                <w:szCs w:val="20"/>
                <w:color w:val="auto"/>
              </w:rPr>
            </w:pPr>
            <w:r>
              <w:rPr>
                <w:rFonts w:ascii="Courier New" w:cs="Courier New" w:eastAsia="Courier New" w:hAnsi="Courier New"/>
                <w:sz w:val="15"/>
                <w:szCs w:val="15"/>
                <w:color w:val="auto"/>
              </w:rPr>
              <w:t>$27,565</w:t>
            </w:r>
          </w:p>
        </w:tc>
        <w:tc>
          <w:tcPr>
            <w:tcW w:w="2260" w:type="dxa"/>
            <w:vAlign w:val="bottom"/>
            <w:gridSpan w:val="2"/>
          </w:tcPr>
          <w:p>
            <w:pPr>
              <w:jc w:val="right"/>
              <w:ind w:right="1351"/>
              <w:spacing w:after="0"/>
              <w:rPr>
                <w:sz w:val="20"/>
                <w:szCs w:val="20"/>
                <w:color w:val="auto"/>
              </w:rPr>
            </w:pPr>
            <w:r>
              <w:rPr>
                <w:rFonts w:ascii="Courier New" w:cs="Courier New" w:eastAsia="Courier New" w:hAnsi="Courier New"/>
                <w:sz w:val="15"/>
                <w:szCs w:val="15"/>
                <w:color w:val="auto"/>
              </w:rPr>
              <w:t>$28,350</w:t>
            </w:r>
          </w:p>
        </w:tc>
      </w:tr>
      <w:tr>
        <w:trPr>
          <w:trHeight w:val="171"/>
        </w:trPr>
        <w:tc>
          <w:tcPr>
            <w:tcW w:w="7000" w:type="dxa"/>
            <w:vAlign w:val="bottom"/>
            <w:gridSpan w:val="8"/>
          </w:tcPr>
          <w:p>
            <w:pPr>
              <w:jc w:val="right"/>
              <w:ind w:right="1351"/>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70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Income tax expense attributable to income from operations differs from the</w:t>
            </w:r>
          </w:p>
        </w:tc>
      </w:tr>
      <w:tr>
        <w:trPr>
          <w:trHeight w:val="171"/>
        </w:trPr>
        <w:tc>
          <w:tcPr>
            <w:tcW w:w="4260" w:type="dxa"/>
            <w:vAlign w:val="bottom"/>
            <w:gridSpan w:val="5"/>
          </w:tcPr>
          <w:p>
            <w:pPr>
              <w:spacing w:after="0"/>
              <w:rPr>
                <w:sz w:val="20"/>
                <w:szCs w:val="20"/>
                <w:color w:val="auto"/>
              </w:rPr>
            </w:pPr>
            <w:r>
              <w:rPr>
                <w:rFonts w:ascii="Courier New" w:cs="Courier New" w:eastAsia="Courier New" w:hAnsi="Courier New"/>
                <w:sz w:val="15"/>
                <w:szCs w:val="15"/>
                <w:color w:val="auto"/>
              </w:rPr>
              <w:t>amounts computed by applying the U.S. statutory</w:t>
            </w:r>
          </w:p>
        </w:tc>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rPr>
              <w:t>rates to pretax income from</w:t>
            </w:r>
          </w:p>
        </w:tc>
      </w:tr>
      <w:tr>
        <w:trPr>
          <w:trHeight w:val="171"/>
        </w:trPr>
        <w:tc>
          <w:tcPr>
            <w:tcW w:w="4260" w:type="dxa"/>
            <w:vAlign w:val="bottom"/>
            <w:gridSpan w:val="5"/>
          </w:tcPr>
          <w:p>
            <w:pPr>
              <w:spacing w:after="0"/>
              <w:rPr>
                <w:sz w:val="20"/>
                <w:szCs w:val="20"/>
                <w:color w:val="auto"/>
              </w:rPr>
            </w:pPr>
            <w:r>
              <w:rPr>
                <w:rFonts w:ascii="Courier New" w:cs="Courier New" w:eastAsia="Courier New" w:hAnsi="Courier New"/>
                <w:sz w:val="15"/>
                <w:szCs w:val="15"/>
                <w:color w:val="auto"/>
              </w:rPr>
              <w:t>operations as a result of the following for the</w:t>
            </w:r>
          </w:p>
        </w:tc>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rPr>
              <w:t>years ended October 31:</w:t>
            </w:r>
          </w:p>
        </w:tc>
      </w:tr>
      <w:tr>
        <w:trPr>
          <w:trHeight w:val="683"/>
        </w:trPr>
        <w:tc>
          <w:tcPr>
            <w:tcW w:w="7000" w:type="dxa"/>
            <w:vAlign w:val="bottom"/>
            <w:gridSpan w:val="8"/>
          </w:tcPr>
          <w:p>
            <w:pPr>
              <w:jc w:val="right"/>
              <w:ind w:right="1351"/>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680" w:type="dxa"/>
            <w:vAlign w:val="bottom"/>
          </w:tcPr>
          <w:p>
            <w:pPr>
              <w:spacing w:after="0"/>
              <w:rPr>
                <w:sz w:val="14"/>
                <w:szCs w:val="14"/>
                <w:color w:val="auto"/>
              </w:rPr>
            </w:pPr>
          </w:p>
        </w:tc>
      </w:tr>
      <w:tr>
        <w:trPr>
          <w:trHeight w:val="171"/>
        </w:trPr>
        <w:tc>
          <w:tcPr>
            <w:tcW w:w="7000" w:type="dxa"/>
            <w:vAlign w:val="bottom"/>
            <w:gridSpan w:val="8"/>
          </w:tcPr>
          <w:p>
            <w:pPr>
              <w:jc w:val="right"/>
              <w:ind w:right="1351"/>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Statutory rate</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w:t>
            </w:r>
          </w:p>
        </w:tc>
        <w:tc>
          <w:tcPr>
            <w:tcW w:w="480" w:type="dxa"/>
            <w:vAlign w:val="bottom"/>
          </w:tcPr>
          <w:p>
            <w:pPr>
              <w:jc w:val="right"/>
              <w:ind w:right="3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w:t>
            </w:r>
          </w:p>
        </w:tc>
        <w:tc>
          <w:tcPr>
            <w:tcW w:w="1680" w:type="dxa"/>
            <w:vAlign w:val="bottom"/>
          </w:tcPr>
          <w:p>
            <w:pPr>
              <w:jc w:val="right"/>
              <w:ind w:right="1531"/>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State and local taxes on</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2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net of federal tax</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benefit</w:t>
            </w:r>
          </w:p>
        </w:tc>
        <w:tc>
          <w:tcPr>
            <w:tcW w:w="164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w:t>
            </w:r>
          </w:p>
        </w:tc>
        <w:tc>
          <w:tcPr>
            <w:tcW w:w="5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w:t>
            </w:r>
          </w:p>
        </w:tc>
        <w:tc>
          <w:tcPr>
            <w:tcW w:w="480" w:type="dxa"/>
            <w:vAlign w:val="bottom"/>
          </w:tcPr>
          <w:p>
            <w:pPr>
              <w:jc w:val="right"/>
              <w:ind w:right="3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w:t>
            </w:r>
          </w:p>
        </w:tc>
        <w:tc>
          <w:tcPr>
            <w:tcW w:w="1680" w:type="dxa"/>
            <w:vAlign w:val="bottom"/>
          </w:tcPr>
          <w:p>
            <w:pPr>
              <w:jc w:val="right"/>
              <w:ind w:right="1531"/>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Tax credits</w:t>
            </w:r>
          </w:p>
        </w:tc>
        <w:tc>
          <w:tcPr>
            <w:tcW w:w="1640" w:type="dxa"/>
            <w:vAlign w:val="bottom"/>
          </w:tcPr>
          <w:p>
            <w:pPr>
              <w:spacing w:after="0"/>
              <w:rPr>
                <w:sz w:val="14"/>
                <w:szCs w:val="14"/>
                <w:color w:val="auto"/>
              </w:rPr>
            </w:pPr>
          </w:p>
        </w:tc>
        <w:tc>
          <w:tcPr>
            <w:tcW w:w="11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(2.7)%</w:t>
            </w:r>
          </w:p>
        </w:tc>
        <w:tc>
          <w:tcPr>
            <w:tcW w:w="1020" w:type="dxa"/>
            <w:vAlign w:val="bottom"/>
            <w:gridSpan w:val="2"/>
          </w:tcPr>
          <w:p>
            <w:pPr>
              <w:jc w:val="right"/>
              <w:ind w:right="330"/>
              <w:spacing w:after="0"/>
              <w:rPr>
                <w:sz w:val="20"/>
                <w:szCs w:val="20"/>
                <w:color w:val="auto"/>
              </w:rPr>
            </w:pPr>
            <w:r>
              <w:rPr>
                <w:rFonts w:ascii="Courier New" w:cs="Courier New" w:eastAsia="Courier New" w:hAnsi="Courier New"/>
                <w:sz w:val="15"/>
                <w:szCs w:val="15"/>
                <w:color w:val="auto"/>
              </w:rPr>
              <w:t>(2.6)%</w:t>
            </w:r>
          </w:p>
        </w:tc>
        <w:tc>
          <w:tcPr>
            <w:tcW w:w="2260" w:type="dxa"/>
            <w:vAlign w:val="bottom"/>
            <w:gridSpan w:val="2"/>
          </w:tcPr>
          <w:p>
            <w:pPr>
              <w:jc w:val="right"/>
              <w:ind w:right="1531"/>
              <w:spacing w:after="0"/>
              <w:rPr>
                <w:sz w:val="20"/>
                <w:szCs w:val="20"/>
                <w:color w:val="auto"/>
              </w:rPr>
            </w:pPr>
            <w:r>
              <w:rPr>
                <w:rFonts w:ascii="Courier New" w:cs="Courier New" w:eastAsia="Courier New" w:hAnsi="Courier New"/>
                <w:sz w:val="15"/>
                <w:szCs w:val="15"/>
                <w:color w:val="auto"/>
              </w:rPr>
              <w:t>(3.6)%</w:t>
            </w:r>
          </w:p>
        </w:tc>
      </w:tr>
      <w:tr>
        <w:trPr>
          <w:trHeight w:val="171"/>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Nondeductible expenses and</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other --</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5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ind w:right="3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1680" w:type="dxa"/>
            <w:vAlign w:val="bottom"/>
          </w:tcPr>
          <w:p>
            <w:pPr>
              <w:jc w:val="right"/>
              <w:ind w:right="1531"/>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7000" w:type="dxa"/>
            <w:vAlign w:val="bottom"/>
            <w:gridSpan w:val="8"/>
          </w:tcPr>
          <w:p>
            <w:pPr>
              <w:jc w:val="right"/>
              <w:ind w:right="1351"/>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w:t>
            </w:r>
          </w:p>
        </w:tc>
        <w:tc>
          <w:tcPr>
            <w:tcW w:w="5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41.0</w:t>
            </w:r>
          </w:p>
        </w:tc>
        <w:tc>
          <w:tcPr>
            <w:tcW w:w="480" w:type="dxa"/>
            <w:vAlign w:val="bottom"/>
          </w:tcPr>
          <w:p>
            <w:pPr>
              <w:jc w:val="right"/>
              <w:ind w:right="33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w:t>
            </w:r>
          </w:p>
        </w:tc>
        <w:tc>
          <w:tcPr>
            <w:tcW w:w="1680" w:type="dxa"/>
            <w:vAlign w:val="bottom"/>
          </w:tcPr>
          <w:p>
            <w:pPr>
              <w:jc w:val="right"/>
              <w:ind w:right="1531"/>
              <w:spacing w:after="0"/>
              <w:rPr>
                <w:sz w:val="20"/>
                <w:szCs w:val="20"/>
                <w:color w:val="auto"/>
              </w:rPr>
            </w:pPr>
            <w:r>
              <w:rPr>
                <w:rFonts w:ascii="Courier New" w:cs="Courier New" w:eastAsia="Courier New" w:hAnsi="Courier New"/>
                <w:sz w:val="14"/>
                <w:szCs w:val="14"/>
                <w:color w:val="auto"/>
                <w:w w:val="70"/>
              </w:rPr>
              <w:t>%</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139" w:right="1440" w:bottom="1440" w:gutter="0" w:footer="0" w:header="0"/>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deferred tax liabilities at October 31, are presented below:</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Self-insurance claims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$33,214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Bad debt allowance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Deferred and other compensation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8,540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Intangible amortization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4,099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State taxes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1,543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Vacation reserves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3,523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gross deferred tax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48,602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54,807</w:t>
            </w:r>
          </w:p>
        </w:tc>
      </w:tr>
    </w:tbl>
    <w:p>
      <w:pPr>
        <w:spacing w:after="0" w:line="1" w:lineRule="exact"/>
        <w:rPr>
          <w:sz w:val="20"/>
          <w:szCs w:val="20"/>
          <w:color w:val="auto"/>
        </w:rPr>
      </w:pPr>
    </w:p>
    <w:p>
      <w:pPr>
        <w:ind w:left="169" w:hanging="169"/>
        <w:spacing w:after="0"/>
        <w:tabs>
          <w:tab w:leader="none" w:pos="16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Deferred software development cost</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(2,038)</w:t>
            </w:r>
          </w:p>
        </w:tc>
      </w:tr>
      <w:tr>
        <w:trPr>
          <w:trHeight w:val="0"/>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Union pension contributions</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(2,701)</w:t>
            </w:r>
          </w:p>
        </w:tc>
      </w:tr>
    </w:tbl>
    <w:p>
      <w:pPr>
        <w:spacing w:after="0" w:line="174" w:lineRule="exact"/>
        <w:rPr>
          <w:sz w:val="20"/>
          <w:szCs w:val="20"/>
          <w:color w:val="auto"/>
        </w:rPr>
      </w:pPr>
    </w:p>
    <w:p>
      <w:pPr>
        <w:ind w:left="9" w:right="4459"/>
        <w:spacing w:after="0" w:line="239" w:lineRule="auto"/>
        <w:rPr>
          <w:sz w:val="20"/>
          <w:szCs w:val="20"/>
          <w:color w:val="auto"/>
        </w:rPr>
      </w:pPr>
      <w:r>
        <w:rPr>
          <w:rFonts w:ascii="Courier New" w:cs="Courier New" w:eastAsia="Courier New" w:hAnsi="Courier New"/>
          <w:sz w:val="15"/>
          <w:szCs w:val="15"/>
          <w:color w:val="auto"/>
        </w:rPr>
        <w:t>- --------------------------------------------------------------- Total gross deferred tax liabilities (4,051) (4,739) - --------------------------------------------------------------- Net deferred tax assets $44,551 $50,068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Management has determined that it is more likely than not that the total net deferred tax asset will be realized.</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At October 31, 2000, ABM has a capital loss carryover of $1,057,085, which can be carried forward to offset capital gains, if any, to reduce future federal income taxes through October 31, 2002.</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 ACQUISITIONS AND DIVESTITURES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Cash paid for acquisitions, including any contingent amounts based on subsequent earnings, were approximately $14 million in 2000. In addition, common shares, with a fair market value of approximately $1.6 million at the date of issuance, were issued in 2000 under the contingent payment provisions of a prior year acquisition. As these acquisitions were not significant, pro forma information is not included in these financial statements. Acquisitions and dispositions made during the fiscal year 2000 are discussed below:</w:t>
      </w:r>
    </w:p>
    <w:p>
      <w:pPr>
        <w:spacing w:after="0" w:line="182"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November 1, 1999, the Company acquired the operations and selected assets of NPS Corporation, a janitorial services company, with customers located in Anchorage, Fairbanks and Juneau, Alaska. The terms included a cash down payment made at closing plus annual contingent payments based on operating profits to be made over five years. This acquisition contributed approximately $4.6 million in revenues in fiscal year 2000.</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Effective</w:t>
            </w:r>
          </w:p>
        </w:tc>
        <w:tc>
          <w:tcPr>
            <w:tcW w:w="34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December 1, 1999, the Company acquired</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the operations and</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selected</w:t>
            </w:r>
          </w:p>
        </w:tc>
        <w:tc>
          <w:tcPr>
            <w:tcW w:w="2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assets of Centre City Parking</w:t>
            </w:r>
          </w:p>
        </w:tc>
        <w:tc>
          <w:tcPr>
            <w:tcW w:w="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with</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customers</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located in Miami, Florida.</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terms included a cash</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down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payment</w:t>
            </w:r>
          </w:p>
        </w:tc>
        <w:tc>
          <w:tcPr>
            <w:tcW w:w="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made</w:t>
            </w:r>
          </w:p>
        </w:tc>
        <w:tc>
          <w:tcPr>
            <w:tcW w:w="3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closing plus annual contingent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payments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based</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on operating profits to</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c>
          <w:tcPr>
            <w:tcW w:w="34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made over five years. This acquisition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contributed approximately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revenues in</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fiscal year 2000.</w:t>
            </w:r>
          </w:p>
        </w:tc>
      </w:tr>
    </w:tbl>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January 1, 2000, the Company acquired the operations and selected assets of United Building Services, a janitorial services company, with customers located in Long Beach, California. The terms included a cash down payment made at closing plus a final payment based on operating profits to be made after one year. This acquisition contributed approximately $1.2 million in revenues in fiscal year 2000.</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January 1, 2000, the Company acquired the operations and selected assets of Dixie Lighting &amp; Electrical, Inc., with customers located in the greater Southeastern United States from Louisiana to Florida. The terms included a cash down payment made at closing plus annual contingent payments based on operating profits to be made over five years. This acquisition contributed approximately $2.7 million in revenues in fiscal year 2000.</w:t>
      </w:r>
    </w:p>
    <w:p>
      <w:pPr>
        <w:spacing w:after="0" w:line="175" w:lineRule="exact"/>
        <w:rPr>
          <w:sz w:val="20"/>
          <w:szCs w:val="20"/>
          <w:color w:val="auto"/>
        </w:rPr>
      </w:pPr>
    </w:p>
    <w:p>
      <w:pPr>
        <w:ind w:left="9" w:right="3399" w:firstLine="444"/>
        <w:spacing w:after="0" w:line="260" w:lineRule="auto"/>
        <w:rPr>
          <w:sz w:val="20"/>
          <w:szCs w:val="20"/>
          <w:color w:val="auto"/>
        </w:rPr>
      </w:pPr>
      <w:r>
        <w:rPr>
          <w:rFonts w:ascii="Courier New" w:cs="Courier New" w:eastAsia="Courier New" w:hAnsi="Courier New"/>
          <w:sz w:val="14"/>
          <w:szCs w:val="14"/>
          <w:color w:val="auto"/>
        </w:rPr>
        <w:t>Effective March 1, 2000, the Company acquired all issued and outstanding stock of Allied Maintenance Services, Inc., a provider of janitorial, landscaping, parking, parking lot re-sealing and paint-stripping, engineering and related services, with customers located in Hawaii. The terms included a cash down payment made at closing plus annual contingent payments based on operating profits to be made over five years. This acquisition contributed approximately $5.0 million in revenues in fiscal year 2000.</w:t>
      </w:r>
    </w:p>
    <w:p>
      <w:pPr>
        <w:spacing w:after="0" w:line="16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Effective July 1, 2000, the Company acquired the operations and selected assets of Silver Cloud &amp; Associates, a parking company with customers located in the Seattle, Washington area. The terms</w:t>
      </w:r>
    </w:p>
    <w:p>
      <w:pPr>
        <w:sectPr>
          <w:pgSz w:w="11900" w:h="16838" w:orient="portrait"/>
          <w:cols w:equalWidth="0" w:num="1">
            <w:col w:w="10228"/>
          </w:cols>
          <w:pgMar w:left="231" w:top="287" w:right="1440" w:bottom="0" w:gutter="0" w:footer="0" w:header="0"/>
        </w:sectPr>
      </w:pPr>
    </w:p>
    <w:bookmarkStart w:id="31" w:name="page32"/>
    <w:bookmarkEnd w:id="31"/>
    <w:p>
      <w:pPr>
        <w:ind w:left="226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9019"/>
          </w:cols>
          <w:pgMar w:left="1440" w:top="312"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included a cash down payment made at closing plus annual contingent payments based on operating profits to be made over five years. This acquisition contributed approximately $1.0 million in revenues in fiscal year 2000.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DISCLOSURES ABOUT FAIR VALUE OF FINANCIAL INSTRUMENTS</w:t>
      </w:r>
    </w:p>
    <w:p>
      <w:pPr>
        <w:spacing w:after="0" w:line="174"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The carrying amounts reported in the balance sheet for cash and cash equivalents approximate fair value due to the short-maturity of these instruments.</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the fair value of the assets would not differ significantly from the carrying value.</w:t>
      </w:r>
    </w:p>
    <w:p>
      <w:pPr>
        <w:spacing w:after="0" w:line="162"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5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believes that it is not practical to estimate a fair market value different from the redeemable cumulative preferred stock's carrying value of $6.4 million, as this security was issued in conjunction with an acquisition and has numerous features unique to this security as described in Note 9. However, the Company believes the carrying value would not differ significantly from the fair value.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SEGMENT INFORMATION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Statements of Financial Accounting Standards (SFAS) No. 131, "Disclosures about Segments of an Enterprise and Related Information" segment information is presented under the management approach. The management approach designates the internal organization that is used by management for making operating decisions and assessing performance as the source of the Company's reportable segments. SFAS 131 also requires disclosures about products and services, geographic areas and major customers. The Company is organized into nine separate operating segments as defined under SFAS 131. However the ABM Janitorial, Amtech Elevator, ABM Engineering, Amtech Lighting and Ampco System Parking operating segments are reportable using the quantitative threshold criteria under SFAS 131. Included in other segments are the ABM Service Network, American Commercial Security, CommAir Mechanical Services and Easterday Janitorial Supply Company segments. In addition, the corporate expenses are not allocated. All of these segments are distinct business units. They are managed separately because of their unique services, technology and marketing requirements. Nearly 100% of the operations and related revenues are within the United States and no single customer accounts for more than 10% of sales.</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3" w:name="page34"/>
    <w:bookmarkEnd w:id="33"/>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SEGMENT INFORMATION</w:t>
      </w:r>
    </w:p>
    <w:p>
      <w:pPr>
        <w:spacing w:after="0" w:line="345" w:lineRule="exact"/>
        <w:rPr>
          <w:sz w:val="20"/>
          <w:szCs w:val="20"/>
          <w:color w:val="auto"/>
        </w:rPr>
      </w:pPr>
    </w:p>
    <w:p>
      <w:pPr>
        <w:ind w:left="169" w:hanging="169"/>
        <w:spacing w:after="0"/>
        <w:tabs>
          <w:tab w:leader="none" w:pos="16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6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Ampco</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of dollars)</w:t>
            </w:r>
          </w:p>
        </w:tc>
        <w:tc>
          <w:tcPr>
            <w:tcW w:w="54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ABM</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System</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ABM</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Amtech</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Amtech</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6"/>
              </w:rPr>
              <w:t>FOR THE YEAR ENDED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OCTOBER 31,</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Janitorial</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Parking</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Engineering</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Lighting</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Elevator</w:t>
            </w: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Segments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Corporate</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52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and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other income</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859,066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$154,050</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$136,439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87,901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89,263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$174,579</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529</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Intersegment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revenues</w:t>
            </w:r>
          </w:p>
        </w:tc>
        <w:tc>
          <w:tcPr>
            <w:tcW w:w="7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w:t>
            </w:r>
          </w:p>
        </w:tc>
        <w:tc>
          <w:tcPr>
            <w:tcW w:w="34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w:t>
            </w:r>
          </w:p>
        </w:tc>
        <w:tc>
          <w:tcPr>
            <w:tcW w:w="26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12,981</w:t>
            </w:r>
          </w:p>
        </w:tc>
        <w:tc>
          <w:tcPr>
            <w:tcW w:w="4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52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780" w:type="dxa"/>
            <w:vAlign w:val="bottom"/>
            <w:gridSpan w:val="3"/>
          </w:tcPr>
          <w:p>
            <w:pPr>
              <w:spacing w:after="0"/>
              <w:rPr>
                <w:sz w:val="20"/>
                <w:szCs w:val="20"/>
                <w:color w:val="auto"/>
              </w:rPr>
            </w:pPr>
            <w:r>
              <w:rPr>
                <w:rFonts w:ascii="Courier New" w:cs="Courier New" w:eastAsia="Courier New" w:hAnsi="Courier New"/>
                <w:sz w:val="15"/>
                <w:szCs w:val="15"/>
                <w:color w:val="auto"/>
              </w:rPr>
              <w:t>Total Revenues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859,390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$154,050</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$136,806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88,189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89,263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$187,560</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529</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44,615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6,984</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8,044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6,926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6,453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8,073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$(20,122)</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(3,438)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44,596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6,984</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8,044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6,926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6,454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8,064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$(23,560)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212,714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$ 77,690</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$ 34,606</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$ 54,134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$ 29,903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$ 47,335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$ 44,981</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6989" w:val="left"/>
          <w:tab w:leader="none" w:pos="7709" w:val="left"/>
          <w:tab w:leader="none" w:pos="8149" w:val="left"/>
          <w:tab w:leader="none" w:pos="8669" w:val="left"/>
          <w:tab w:leader="none" w:pos="8949" w:val="left"/>
          <w:tab w:leader="none" w:pos="9649" w:val="left"/>
          <w:tab w:leader="none" w:pos="9929" w:val="left"/>
        </w:tabs>
        <w:rPr>
          <w:sz w:val="20"/>
          <w:szCs w:val="20"/>
          <w:color w:val="auto"/>
        </w:rPr>
      </w:pPr>
      <w:r>
        <w:rPr>
          <w:rFonts w:ascii="Courier New" w:cs="Courier New" w:eastAsia="Courier New" w:hAnsi="Courier New"/>
          <w:sz w:val="15"/>
          <w:szCs w:val="15"/>
          <w:color w:val="auto"/>
        </w:rPr>
        <w:t>Depreciation expense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4,281</w:t>
        <w:tab/>
        <w:t>$</w:t>
        <w:tab/>
        <w:t>2,125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w:t>
        <w:tab/>
        <w:t>1,617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391</w:t>
        <w:tab/>
        <w:t>$</w:t>
        <w:tab/>
        <w:t>1,029</w:t>
        <w:tab/>
        <w:t>$</w:t>
      </w:r>
      <w:r>
        <w:rPr>
          <w:sz w:val="20"/>
          <w:szCs w:val="20"/>
          <w:color w:val="auto"/>
        </w:rPr>
        <w:tab/>
      </w:r>
      <w:r>
        <w:rPr>
          <w:rFonts w:ascii="Courier New" w:cs="Courier New" w:eastAsia="Courier New" w:hAnsi="Courier New"/>
          <w:sz w:val="14"/>
          <w:szCs w:val="14"/>
          <w:color w:val="auto"/>
        </w:rPr>
        <w:t>1,109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7169" w:val="left"/>
          <w:tab w:leader="none" w:pos="7709" w:val="left"/>
          <w:tab w:leader="none" w:pos="8149" w:val="left"/>
          <w:tab w:leader="none" w:pos="8669" w:val="left"/>
          <w:tab w:leader="none" w:pos="9129" w:val="left"/>
          <w:tab w:leader="none" w:pos="9649" w:val="left"/>
          <w:tab w:leader="none" w:pos="10269" w:val="left"/>
        </w:tabs>
        <w:rPr>
          <w:sz w:val="20"/>
          <w:szCs w:val="20"/>
          <w:color w:val="auto"/>
        </w:rPr>
      </w:pPr>
      <w:r>
        <w:rPr>
          <w:rFonts w:ascii="Courier New" w:cs="Courier New" w:eastAsia="Courier New" w:hAnsi="Courier New"/>
          <w:sz w:val="15"/>
          <w:szCs w:val="15"/>
          <w:color w:val="auto"/>
        </w:rPr>
        <w:t>Amortization expense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5,135</w:t>
        <w:tab/>
        <w:t>$</w:t>
        <w:tab/>
        <w:t>2,468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417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192</w:t>
        <w:tab/>
        <w:t>$</w:t>
      </w:r>
      <w:r>
        <w:rPr>
          <w:sz w:val="20"/>
          <w:szCs w:val="20"/>
          <w:color w:val="auto"/>
        </w:rPr>
        <w:tab/>
      </w:r>
      <w:r>
        <w:rPr>
          <w:rFonts w:ascii="Courier New" w:cs="Courier New" w:eastAsia="Courier New" w:hAnsi="Courier New"/>
          <w:sz w:val="15"/>
          <w:szCs w:val="15"/>
          <w:color w:val="auto"/>
        </w:rPr>
        <w:t>315</w:t>
        <w:tab/>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109" w:val="left"/>
          <w:tab w:leader="none" w:pos="6729" w:val="left"/>
          <w:tab w:leader="none" w:pos="6989" w:val="left"/>
          <w:tab w:leader="none" w:pos="7709" w:val="left"/>
          <w:tab w:leader="none" w:pos="8149" w:val="left"/>
          <w:tab w:leader="none" w:pos="8669" w:val="left"/>
          <w:tab w:leader="none" w:pos="9129" w:val="left"/>
          <w:tab w:leader="none" w:pos="9649" w:val="left"/>
          <w:tab w:leader="none" w:pos="9929"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5,577</w:t>
        <w:tab/>
        <w:t>$</w:t>
        <w:tab/>
        <w:t>1,485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w:t>
        <w:tab/>
        <w:t>1,330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115</w:t>
        <w:tab/>
        <w:t>$</w:t>
      </w:r>
      <w:r>
        <w:rPr>
          <w:sz w:val="20"/>
          <w:szCs w:val="20"/>
          <w:color w:val="auto"/>
        </w:rPr>
        <w:tab/>
      </w:r>
      <w:r>
        <w:rPr>
          <w:rFonts w:ascii="Courier New" w:cs="Courier New" w:eastAsia="Courier New" w:hAnsi="Courier New"/>
          <w:sz w:val="15"/>
          <w:szCs w:val="15"/>
          <w:color w:val="auto"/>
        </w:rPr>
        <w:t>786</w:t>
        <w:tab/>
        <w:t>$</w:t>
      </w:r>
      <w:r>
        <w:rPr>
          <w:sz w:val="20"/>
          <w:szCs w:val="20"/>
          <w:color w:val="auto"/>
        </w:rPr>
        <w:tab/>
      </w:r>
      <w:r>
        <w:rPr>
          <w:rFonts w:ascii="Courier New" w:cs="Courier New" w:eastAsia="Courier New" w:hAnsi="Courier New"/>
          <w:sz w:val="14"/>
          <w:szCs w:val="14"/>
          <w:color w:val="auto"/>
        </w:rPr>
        <w:t>2,325</w:t>
      </w:r>
    </w:p>
    <w:p>
      <w:pPr>
        <w:spacing w:after="0" w:line="3" w:lineRule="exact"/>
        <w:rPr>
          <w:sz w:val="20"/>
          <w:szCs w:val="20"/>
          <w:color w:val="auto"/>
        </w:rPr>
      </w:pPr>
    </w:p>
    <w:p>
      <w:pPr>
        <w:ind w:left="9" w:right="180"/>
        <w:spacing w:after="0" w:line="258" w:lineRule="auto"/>
        <w:rPr>
          <w:sz w:val="20"/>
          <w:szCs w:val="20"/>
          <w:color w:val="auto"/>
        </w:rPr>
      </w:pPr>
      <w:r>
        <w:rPr>
          <w:rFonts w:ascii="Courier New" w:cs="Courier New" w:eastAsia="Courier New" w:hAnsi="Courier New"/>
          <w:sz w:val="14"/>
          <w:szCs w:val="14"/>
          <w:color w:val="auto"/>
        </w:rPr>
        <w:t>====================================================================================================================== FOR THE YEAR ENDED OCTOBER 31, 1999</w:t>
      </w:r>
    </w:p>
    <w:tbl>
      <w:tblPr>
        <w:tblLayout w:type="fixed"/>
        <w:tblInd w:w="9" w:type="dxa"/>
        <w:tblCellMar>
          <w:top w:w="0" w:type="dxa"/>
          <w:left w:w="0" w:type="dxa"/>
          <w:bottom w:w="0" w:type="dxa"/>
          <w:right w:w="0" w:type="dxa"/>
        </w:tblCellMar>
      </w:tblP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52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and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other income</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933,293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$162,358</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$153,758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95,521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96,618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$187,306</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862</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Intersegment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revenues</w:t>
            </w:r>
          </w:p>
        </w:tc>
        <w:tc>
          <w:tcPr>
            <w:tcW w:w="7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w:t>
            </w:r>
          </w:p>
        </w:tc>
        <w:tc>
          <w:tcPr>
            <w:tcW w:w="34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270</w:t>
            </w:r>
          </w:p>
        </w:tc>
        <w:tc>
          <w:tcPr>
            <w:tcW w:w="26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12,567</w:t>
            </w:r>
          </w:p>
        </w:tc>
        <w:tc>
          <w:tcPr>
            <w:tcW w:w="4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52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Courier New" w:cs="Courier New" w:eastAsia="Courier New" w:hAnsi="Courier New"/>
                <w:sz w:val="15"/>
                <w:szCs w:val="15"/>
                <w:color w:val="auto"/>
              </w:rPr>
              <w:t>Total</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Revenues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933,667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$162,358</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$153,946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95,791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96,618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$199,873</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862</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49,496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8,539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8,352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7,461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6,651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7,336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$(18,644)</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49,483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8,539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8,352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7,461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6,651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7,326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$(20,580)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242,117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$ 84,360</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$ 34,864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$ 59,921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$ 32,411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$ 52,798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$ 56,913</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6989" w:val="left"/>
          <w:tab w:leader="none" w:pos="7709" w:val="left"/>
          <w:tab w:leader="none" w:pos="8149" w:val="left"/>
          <w:tab w:leader="none" w:pos="8669" w:val="left"/>
          <w:tab w:leader="none" w:pos="8949" w:val="left"/>
          <w:tab w:leader="none" w:pos="9649" w:val="left"/>
          <w:tab w:leader="none" w:pos="9929" w:val="left"/>
        </w:tabs>
        <w:rPr>
          <w:sz w:val="20"/>
          <w:szCs w:val="20"/>
          <w:color w:val="auto"/>
        </w:rPr>
      </w:pPr>
      <w:r>
        <w:rPr>
          <w:rFonts w:ascii="Courier New" w:cs="Courier New" w:eastAsia="Courier New" w:hAnsi="Courier New"/>
          <w:sz w:val="15"/>
          <w:szCs w:val="15"/>
          <w:color w:val="auto"/>
        </w:rPr>
        <w:t>Depreciation expense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4,575</w:t>
        <w:tab/>
        <w:t>$</w:t>
        <w:tab/>
        <w:t>1,998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w:t>
        <w:tab/>
        <w:t>1,454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381</w:t>
        <w:tab/>
        <w:t>$</w:t>
        <w:tab/>
        <w:t>1,032</w:t>
        <w:tab/>
        <w:t>$</w:t>
      </w:r>
      <w:r>
        <w:rPr>
          <w:sz w:val="20"/>
          <w:szCs w:val="20"/>
          <w:color w:val="auto"/>
        </w:rPr>
        <w:tab/>
      </w:r>
      <w:r>
        <w:rPr>
          <w:rFonts w:ascii="Courier New" w:cs="Courier New" w:eastAsia="Courier New" w:hAnsi="Courier New"/>
          <w:sz w:val="14"/>
          <w:szCs w:val="14"/>
          <w:color w:val="auto"/>
        </w:rPr>
        <w:t>1,274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7169" w:val="left"/>
          <w:tab w:leader="none" w:pos="7709" w:val="left"/>
          <w:tab w:leader="none" w:pos="8149" w:val="left"/>
          <w:tab w:leader="none" w:pos="8669" w:val="left"/>
          <w:tab w:leader="none" w:pos="9129" w:val="left"/>
          <w:tab w:leader="none" w:pos="9649" w:val="left"/>
          <w:tab w:leader="none" w:pos="10269" w:val="left"/>
        </w:tabs>
        <w:rPr>
          <w:sz w:val="20"/>
          <w:szCs w:val="20"/>
          <w:color w:val="auto"/>
        </w:rPr>
      </w:pPr>
      <w:r>
        <w:rPr>
          <w:rFonts w:ascii="Courier New" w:cs="Courier New" w:eastAsia="Courier New" w:hAnsi="Courier New"/>
          <w:sz w:val="15"/>
          <w:szCs w:val="15"/>
          <w:color w:val="auto"/>
        </w:rPr>
        <w:t>Amortization expense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5,866</w:t>
        <w:tab/>
        <w:t>$</w:t>
        <w:tab/>
        <w:t>2,568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192</w:t>
        <w:tab/>
        <w:t>$</w:t>
      </w:r>
      <w:r>
        <w:rPr>
          <w:sz w:val="20"/>
          <w:szCs w:val="20"/>
          <w:color w:val="auto"/>
        </w:rPr>
        <w:tab/>
      </w:r>
      <w:r>
        <w:rPr>
          <w:rFonts w:ascii="Courier New" w:cs="Courier New" w:eastAsia="Courier New" w:hAnsi="Courier New"/>
          <w:sz w:val="15"/>
          <w:szCs w:val="15"/>
          <w:color w:val="auto"/>
        </w:rPr>
        <w:t>358</w:t>
        <w:tab/>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6989" w:val="left"/>
          <w:tab w:leader="none" w:pos="7709" w:val="left"/>
          <w:tab w:leader="none" w:pos="8149" w:val="left"/>
          <w:tab w:leader="none" w:pos="8669" w:val="left"/>
          <w:tab w:leader="none" w:pos="8949" w:val="left"/>
          <w:tab w:leader="none" w:pos="9649" w:val="left"/>
          <w:tab w:leader="none" w:pos="9929"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6,632</w:t>
        <w:tab/>
        <w:t>$</w:t>
        <w:tab/>
        <w:t>1,763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168</w:t>
      </w:r>
      <w:r>
        <w:rPr>
          <w:sz w:val="20"/>
          <w:szCs w:val="20"/>
          <w:color w:val="auto"/>
        </w:rPr>
        <w:tab/>
      </w:r>
      <w:r>
        <w:rPr>
          <w:rFonts w:ascii="Courier New" w:cs="Courier New" w:eastAsia="Courier New" w:hAnsi="Courier New"/>
          <w:sz w:val="15"/>
          <w:szCs w:val="15"/>
          <w:color w:val="auto"/>
        </w:rPr>
        <w:t>$</w:t>
        <w:tab/>
        <w:t>1,506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354</w:t>
        <w:tab/>
        <w:t>$</w:t>
        <w:tab/>
        <w:t>1,468</w:t>
        <w:tab/>
        <w:t>$</w:t>
      </w:r>
      <w:r>
        <w:rPr>
          <w:sz w:val="20"/>
          <w:szCs w:val="20"/>
          <w:color w:val="auto"/>
        </w:rPr>
        <w:tab/>
      </w:r>
      <w:r>
        <w:rPr>
          <w:rFonts w:ascii="Courier New" w:cs="Courier New" w:eastAsia="Courier New" w:hAnsi="Courier New"/>
          <w:sz w:val="14"/>
          <w:szCs w:val="14"/>
          <w:color w:val="auto"/>
        </w:rPr>
        <w:t>7,560</w:t>
      </w:r>
    </w:p>
    <w:p>
      <w:pPr>
        <w:spacing w:after="0" w:line="3" w:lineRule="exact"/>
        <w:rPr>
          <w:sz w:val="20"/>
          <w:szCs w:val="20"/>
          <w:color w:val="auto"/>
        </w:rPr>
      </w:pPr>
    </w:p>
    <w:p>
      <w:pPr>
        <w:ind w:left="9" w:right="180"/>
        <w:spacing w:after="0" w:line="258" w:lineRule="auto"/>
        <w:rPr>
          <w:sz w:val="20"/>
          <w:szCs w:val="20"/>
          <w:color w:val="auto"/>
        </w:rPr>
      </w:pPr>
      <w:r>
        <w:rPr>
          <w:rFonts w:ascii="Courier New" w:cs="Courier New" w:eastAsia="Courier New" w:hAnsi="Courier New"/>
          <w:sz w:val="14"/>
          <w:szCs w:val="14"/>
          <w:color w:val="auto"/>
        </w:rPr>
        <w:t>====================================================================================================================== FOR THE YEAR ENDED OCTOBER 31, 2000</w:t>
      </w:r>
    </w:p>
    <w:tbl>
      <w:tblPr>
        <w:tblLayout w:type="fixed"/>
        <w:tblInd w:w="9" w:type="dxa"/>
        <w:tblCellMar>
          <w:top w:w="0" w:type="dxa"/>
          <w:left w:w="0" w:type="dxa"/>
          <w:bottom w:w="0" w:type="dxa"/>
          <w:right w:w="0" w:type="dxa"/>
        </w:tblCellMar>
      </w:tblP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5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and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other income</w:t>
            </w:r>
          </w:p>
        </w:tc>
        <w:tc>
          <w:tcPr>
            <w:tcW w:w="1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$1,052,865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$172,427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$156,314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$118,054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$114,409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$193,073</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415</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Intersegment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revenues</w:t>
            </w:r>
          </w:p>
        </w:tc>
        <w:tc>
          <w:tcPr>
            <w:tcW w:w="1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11,954</w:t>
            </w:r>
          </w:p>
        </w:tc>
        <w:tc>
          <w:tcPr>
            <w:tcW w:w="4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5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780" w:type="dxa"/>
            <w:vAlign w:val="bottom"/>
            <w:gridSpan w:val="3"/>
          </w:tcPr>
          <w:p>
            <w:pPr>
              <w:spacing w:after="0"/>
              <w:rPr>
                <w:sz w:val="20"/>
                <w:szCs w:val="20"/>
                <w:color w:val="auto"/>
              </w:rPr>
            </w:pPr>
            <w:r>
              <w:rPr>
                <w:rFonts w:ascii="Courier New" w:cs="Courier New" w:eastAsia="Courier New" w:hAnsi="Courier New"/>
                <w:sz w:val="15"/>
                <w:szCs w:val="15"/>
                <w:color w:val="auto"/>
              </w:rPr>
              <w:t>Total Revenues</w:t>
            </w:r>
          </w:p>
        </w:tc>
        <w:tc>
          <w:tcPr>
            <w:tcW w:w="1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$1,053,411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$172,427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$156,314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$118,356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$114,409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$205,027</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415</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53,814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9,047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8,164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$ 10,088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6,832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6,776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$(18,708)</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53,805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9,047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8,164</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$ 10,088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6,831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6,766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$(22,008)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274,704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$ 92,401</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$ 45,459</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$ 65,160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$ 37,356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$ 56,120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$ 70,785</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109" w:val="left"/>
          <w:tab w:leader="none" w:pos="6729" w:val="left"/>
          <w:tab w:leader="none" w:pos="6989" w:val="left"/>
          <w:tab w:leader="none" w:pos="7709" w:val="left"/>
          <w:tab w:leader="none" w:pos="8149" w:val="left"/>
          <w:tab w:leader="none" w:pos="8669" w:val="left"/>
          <w:tab w:leader="none" w:pos="9129" w:val="left"/>
          <w:tab w:leader="none" w:pos="9649" w:val="left"/>
          <w:tab w:leader="none" w:pos="9929" w:val="left"/>
        </w:tabs>
        <w:rPr>
          <w:sz w:val="20"/>
          <w:szCs w:val="20"/>
          <w:color w:val="auto"/>
        </w:rPr>
      </w:pPr>
      <w:r>
        <w:rPr>
          <w:rFonts w:ascii="Courier New" w:cs="Courier New" w:eastAsia="Courier New" w:hAnsi="Courier New"/>
          <w:sz w:val="15"/>
          <w:szCs w:val="15"/>
          <w:color w:val="auto"/>
        </w:rPr>
        <w:t>Depreciation expense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4,962</w:t>
        <w:tab/>
        <w:t>$</w:t>
        <w:tab/>
        <w:t>1,834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5"/>
          <w:szCs w:val="15"/>
          <w:color w:val="auto"/>
        </w:rPr>
        <w:t>$</w:t>
        <w:tab/>
        <w:t>1,260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316</w:t>
        <w:tab/>
        <w:t>$</w:t>
      </w:r>
      <w:r>
        <w:rPr>
          <w:sz w:val="20"/>
          <w:szCs w:val="20"/>
          <w:color w:val="auto"/>
        </w:rPr>
        <w:tab/>
      </w:r>
      <w:r>
        <w:rPr>
          <w:rFonts w:ascii="Courier New" w:cs="Courier New" w:eastAsia="Courier New" w:hAnsi="Courier New"/>
          <w:sz w:val="15"/>
          <w:szCs w:val="15"/>
          <w:color w:val="auto"/>
        </w:rPr>
        <w:t>959</w:t>
        <w:tab/>
        <w:t>$</w:t>
      </w:r>
      <w:r>
        <w:rPr>
          <w:sz w:val="20"/>
          <w:szCs w:val="20"/>
          <w:color w:val="auto"/>
        </w:rPr>
        <w:tab/>
      </w:r>
      <w:r>
        <w:rPr>
          <w:rFonts w:ascii="Courier New" w:cs="Courier New" w:eastAsia="Courier New" w:hAnsi="Courier New"/>
          <w:sz w:val="14"/>
          <w:szCs w:val="14"/>
          <w:color w:val="auto"/>
        </w:rPr>
        <w:t>2,854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7169" w:val="left"/>
          <w:tab w:leader="none" w:pos="7709" w:val="left"/>
          <w:tab w:leader="none" w:pos="8149" w:val="left"/>
          <w:tab w:leader="none" w:pos="8669" w:val="left"/>
          <w:tab w:leader="none" w:pos="9129" w:val="left"/>
          <w:tab w:leader="none" w:pos="9649" w:val="left"/>
          <w:tab w:leader="none" w:pos="10269" w:val="left"/>
        </w:tabs>
        <w:rPr>
          <w:sz w:val="20"/>
          <w:szCs w:val="20"/>
          <w:color w:val="auto"/>
        </w:rPr>
      </w:pPr>
      <w:r>
        <w:rPr>
          <w:rFonts w:ascii="Courier New" w:cs="Courier New" w:eastAsia="Courier New" w:hAnsi="Courier New"/>
          <w:sz w:val="15"/>
          <w:szCs w:val="15"/>
          <w:color w:val="auto"/>
        </w:rPr>
        <w:t>Amortization expense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6,817</w:t>
        <w:tab/>
        <w:t>$</w:t>
        <w:tab/>
        <w:t>2,742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735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192</w:t>
        <w:tab/>
        <w:t>$</w:t>
      </w:r>
      <w:r>
        <w:rPr>
          <w:sz w:val="20"/>
          <w:szCs w:val="20"/>
          <w:color w:val="auto"/>
        </w:rPr>
        <w:tab/>
      </w:r>
      <w:r>
        <w:rPr>
          <w:rFonts w:ascii="Courier New" w:cs="Courier New" w:eastAsia="Courier New" w:hAnsi="Courier New"/>
          <w:sz w:val="15"/>
          <w:szCs w:val="15"/>
          <w:color w:val="auto"/>
        </w:rPr>
        <w:t>407</w:t>
        <w:tab/>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3349" w:val="left"/>
          <w:tab w:leader="none" w:pos="3789" w:val="left"/>
          <w:tab w:leader="none" w:pos="4509" w:val="left"/>
          <w:tab w:leader="none" w:pos="4769" w:val="left"/>
          <w:tab w:leader="none" w:pos="5569" w:val="left"/>
          <w:tab w:leader="none" w:pos="6009" w:val="left"/>
          <w:tab w:leader="none" w:pos="6729" w:val="left"/>
          <w:tab w:leader="none" w:pos="6989" w:val="left"/>
          <w:tab w:leader="none" w:pos="7709" w:val="left"/>
          <w:tab w:leader="none" w:pos="8149" w:val="left"/>
          <w:tab w:leader="none" w:pos="8669" w:val="left"/>
          <w:tab w:leader="none" w:pos="9129" w:val="left"/>
          <w:tab w:leader="none" w:pos="9649" w:val="left"/>
          <w:tab w:leader="none" w:pos="9929"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4,568</w:t>
        <w:tab/>
        <w:t>$</w:t>
        <w:tab/>
        <w:t>1,521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524</w:t>
      </w:r>
      <w:r>
        <w:rPr>
          <w:sz w:val="20"/>
          <w:szCs w:val="20"/>
          <w:color w:val="auto"/>
        </w:rPr>
        <w:tab/>
      </w:r>
      <w:r>
        <w:rPr>
          <w:rFonts w:ascii="Courier New" w:cs="Courier New" w:eastAsia="Courier New" w:hAnsi="Courier New"/>
          <w:sz w:val="15"/>
          <w:szCs w:val="15"/>
          <w:color w:val="auto"/>
        </w:rPr>
        <w:t>$</w:t>
        <w:tab/>
        <w:t>1,469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390</w:t>
        <w:tab/>
        <w:t>$</w:t>
      </w:r>
      <w:r>
        <w:rPr>
          <w:sz w:val="20"/>
          <w:szCs w:val="20"/>
          <w:color w:val="auto"/>
        </w:rPr>
        <w:tab/>
      </w:r>
      <w:r>
        <w:rPr>
          <w:rFonts w:ascii="Courier New" w:cs="Courier New" w:eastAsia="Courier New" w:hAnsi="Courier New"/>
          <w:sz w:val="15"/>
          <w:szCs w:val="15"/>
          <w:color w:val="auto"/>
        </w:rPr>
        <w:t>692</w:t>
        <w:tab/>
        <w:t>$</w:t>
      </w:r>
      <w:r>
        <w:rPr>
          <w:sz w:val="20"/>
          <w:szCs w:val="20"/>
          <w:color w:val="auto"/>
        </w:rPr>
        <w:tab/>
      </w:r>
      <w:r>
        <w:rPr>
          <w:rFonts w:ascii="Courier New" w:cs="Courier New" w:eastAsia="Courier New" w:hAnsi="Courier New"/>
          <w:sz w:val="14"/>
          <w:szCs w:val="14"/>
          <w:color w:val="auto"/>
        </w:rPr>
        <w:t>9,553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5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(in thousands of dollars)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1998</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Eliminations</w:t>
            </w:r>
          </w:p>
        </w:tc>
        <w:tc>
          <w:tcPr>
            <w:tcW w:w="3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TOTALS</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1,501,827</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(13,960)</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(13,960)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1,501,827</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60,973</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57,508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501,363</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8,895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11,715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1999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ectPr>
          <w:pgSz w:w="11900" w:h="16870" w:orient="portrait"/>
          <w:cols w:equalWidth="0" w:num="1">
            <w:col w:w="10649"/>
          </w:cols>
          <w:pgMar w:left="231" w:top="287" w:right="101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1,629,716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1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(13,399)</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(13,399)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1,629,716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69,191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67,232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563,384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10,815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9,883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19,451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2000</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1,807,557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1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(12,802)</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(12,802)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1,807,557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76,013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(3,320)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72,693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641,985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12,265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11,259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18,717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139" w:right="1440" w:bottom="1440" w:gutter="0" w:footer="0" w:header="0"/>
        </w:sectPr>
      </w:pPr>
    </w:p>
    <w:bookmarkStart w:id="35" w:name="page36"/>
    <w:bookmarkEnd w:id="35"/>
    <w:p>
      <w:pPr>
        <w:ind w:left="269"/>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34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INFORMATION (UNAUDITED)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 share amounts)</w:t>
      </w:r>
    </w:p>
    <w:p>
      <w:pPr>
        <w:spacing w:after="0" w:line="342"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Quarter</w:t>
      </w:r>
    </w:p>
    <w:p>
      <w:pPr>
        <w:spacing w:after="0" w:line="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889"/>
        <w:spacing w:after="0"/>
        <w:tabs>
          <w:tab w:leader="none" w:pos="5829" w:val="left"/>
          <w:tab w:leader="none" w:pos="6809" w:val="left"/>
          <w:tab w:leader="none" w:pos="7789" w:val="left"/>
          <w:tab w:leader="none" w:pos="8949"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4"/>
          <w:szCs w:val="14"/>
          <w:color w:val="auto"/>
        </w:rPr>
        <w:t>YEAR</w:t>
      </w:r>
    </w:p>
    <w:p>
      <w:pPr>
        <w:spacing w:after="0" w:line="171" w:lineRule="exact"/>
        <w:rPr>
          <w:sz w:val="20"/>
          <w:szCs w:val="20"/>
          <w:color w:val="auto"/>
        </w:rPr>
      </w:pPr>
    </w:p>
    <w:p>
      <w:pPr>
        <w:ind w:left="169" w:hanging="169"/>
        <w:spacing w:after="0"/>
        <w:tabs>
          <w:tab w:leader="none" w:pos="16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$391,831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$398,291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$412,689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$426,905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$1,629,716</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50,155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50,228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56,584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59,208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216,175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6,969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11,129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39,667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2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$428,581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$439,988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$461,890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$477,098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$1,807,557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52,883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56,684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60,136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233,559</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7,527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9,880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12,445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14,491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44,343</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2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2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SCHEDULE II</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VALUATION ACCOUNTS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October 31, 1998, 1999 and 2000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5049" w:type="dxa"/>
        <w:tblCellMar>
          <w:top w:w="0" w:type="dxa"/>
          <w:left w:w="0" w:type="dxa"/>
          <w:bottom w:w="0" w:type="dxa"/>
          <w:right w:w="0" w:type="dxa"/>
        </w:tblCellMar>
      </w:tblPr>
      <w:tr>
        <w:trPr>
          <w:trHeight w:val="170"/>
        </w:trPr>
        <w:tc>
          <w:tcPr>
            <w:tcW w:w="9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Balance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Charges to</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Deductions</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Balance</w:t>
            </w:r>
          </w:p>
        </w:tc>
      </w:tr>
      <w:tr>
        <w:trPr>
          <w:trHeight w:val="171"/>
        </w:trPr>
        <w:tc>
          <w:tcPr>
            <w:tcW w:w="9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Beginning</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Costs and</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Net of</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Additions</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End of</w:t>
            </w:r>
          </w:p>
        </w:tc>
      </w:tr>
      <w:tr>
        <w:trPr>
          <w:trHeight w:val="171"/>
        </w:trPr>
        <w:tc>
          <w:tcPr>
            <w:tcW w:w="9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of Year</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Recoveries</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(Reductions)</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Year</w:t>
            </w:r>
          </w:p>
        </w:tc>
      </w:tr>
    </w:tbl>
    <w:p>
      <w:pPr>
        <w:spacing w:after="0" w:line="174" w:lineRule="exact"/>
        <w:rPr>
          <w:sz w:val="20"/>
          <w:szCs w:val="20"/>
          <w:color w:val="auto"/>
        </w:rPr>
      </w:pPr>
    </w:p>
    <w:p>
      <w:pPr>
        <w:ind w:left="169" w:hanging="169"/>
        <w:spacing w:after="0"/>
        <w:tabs>
          <w:tab w:leader="none" w:pos="16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78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Doubtful Accounts Years ended October 31:</w:t>
      </w:r>
    </w:p>
    <w:tbl>
      <w:tblPr>
        <w:tblLayout w:type="fixed"/>
        <w:tblInd w:w="9" w:type="dxa"/>
        <w:tblCellMar>
          <w:top w:w="0" w:type="dxa"/>
          <w:left w:w="0" w:type="dxa"/>
          <w:bottom w:w="0" w:type="dxa"/>
          <w:right w:w="0" w:type="dxa"/>
        </w:tblCellMar>
      </w:tblPr>
      <w:tr>
        <w:trPr>
          <w:trHeight w:val="168"/>
        </w:trPr>
        <w:tc>
          <w:tcPr>
            <w:tcW w:w="2740" w:type="dxa"/>
            <w:vAlign w:val="bottom"/>
          </w:tcPr>
          <w:p>
            <w:pPr>
              <w:jc w:val="right"/>
              <w:ind w:right="2326"/>
              <w:spacing w:after="0" w:line="168" w:lineRule="exact"/>
              <w:rPr>
                <w:sz w:val="20"/>
                <w:szCs w:val="20"/>
                <w:color w:val="auto"/>
              </w:rPr>
            </w:pPr>
            <w:r>
              <w:rPr>
                <w:rFonts w:ascii="Courier New" w:cs="Courier New" w:eastAsia="Courier New" w:hAnsi="Courier New"/>
                <w:sz w:val="15"/>
                <w:szCs w:val="15"/>
                <w:color w:val="auto"/>
                <w:w w:val="88"/>
              </w:rPr>
              <w:t>1998</w:t>
            </w:r>
          </w:p>
        </w:tc>
        <w:tc>
          <w:tcPr>
            <w:tcW w:w="3240" w:type="dxa"/>
            <w:vAlign w:val="bottom"/>
          </w:tcPr>
          <w:p>
            <w:pPr>
              <w:jc w:val="right"/>
              <w:ind w:right="226"/>
              <w:spacing w:after="0" w:line="168" w:lineRule="exact"/>
              <w:rPr>
                <w:sz w:val="20"/>
                <w:szCs w:val="20"/>
                <w:color w:val="auto"/>
              </w:rPr>
            </w:pPr>
            <w:r>
              <w:rPr>
                <w:rFonts w:ascii="Courier New" w:cs="Courier New" w:eastAsia="Courier New" w:hAnsi="Courier New"/>
                <w:sz w:val="15"/>
                <w:szCs w:val="15"/>
                <w:color w:val="auto"/>
              </w:rPr>
              <w:t>$5,923</w:t>
            </w:r>
          </w:p>
        </w:tc>
        <w:tc>
          <w:tcPr>
            <w:tcW w:w="1120" w:type="dxa"/>
            <w:vAlign w:val="bottom"/>
          </w:tcPr>
          <w:p>
            <w:pPr>
              <w:jc w:val="right"/>
              <w:ind w:right="206"/>
              <w:spacing w:after="0" w:line="168" w:lineRule="exact"/>
              <w:rPr>
                <w:sz w:val="20"/>
                <w:szCs w:val="20"/>
                <w:color w:val="auto"/>
              </w:rPr>
            </w:pPr>
            <w:r>
              <w:rPr>
                <w:rFonts w:ascii="Courier New" w:cs="Courier New" w:eastAsia="Courier New" w:hAnsi="Courier New"/>
                <w:sz w:val="15"/>
                <w:szCs w:val="15"/>
                <w:color w:val="auto"/>
              </w:rPr>
              <w:t>$2,821</w:t>
            </w:r>
          </w:p>
        </w:tc>
        <w:tc>
          <w:tcPr>
            <w:tcW w:w="1360" w:type="dxa"/>
            <w:vAlign w:val="bottom"/>
          </w:tcPr>
          <w:p>
            <w:pPr>
              <w:jc w:val="right"/>
              <w:ind w:right="326"/>
              <w:spacing w:after="0" w:line="168" w:lineRule="exact"/>
              <w:rPr>
                <w:sz w:val="20"/>
                <w:szCs w:val="20"/>
                <w:color w:val="auto"/>
              </w:rPr>
            </w:pPr>
            <w:r>
              <w:rPr>
                <w:rFonts w:ascii="Courier New" w:cs="Courier New" w:eastAsia="Courier New" w:hAnsi="Courier New"/>
                <w:sz w:val="15"/>
                <w:szCs w:val="15"/>
                <w:color w:val="auto"/>
              </w:rPr>
              <w:t>$(1,983)</w:t>
            </w:r>
          </w:p>
        </w:tc>
        <w:tc>
          <w:tcPr>
            <w:tcW w:w="940" w:type="dxa"/>
            <w:vAlign w:val="bottom"/>
          </w:tcPr>
          <w:p>
            <w:pPr>
              <w:jc w:val="right"/>
              <w:ind w:right="286"/>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$6,761</w:t>
            </w:r>
          </w:p>
        </w:tc>
      </w:tr>
      <w:tr>
        <w:trPr>
          <w:trHeight w:val="171"/>
        </w:trPr>
        <w:tc>
          <w:tcPr>
            <w:tcW w:w="2740" w:type="dxa"/>
            <w:vAlign w:val="bottom"/>
          </w:tcPr>
          <w:p>
            <w:pPr>
              <w:jc w:val="right"/>
              <w:ind w:right="2326"/>
              <w:spacing w:after="0"/>
              <w:rPr>
                <w:sz w:val="20"/>
                <w:szCs w:val="20"/>
                <w:color w:val="auto"/>
              </w:rPr>
            </w:pPr>
            <w:r>
              <w:rPr>
                <w:rFonts w:ascii="Courier New" w:cs="Courier New" w:eastAsia="Courier New" w:hAnsi="Courier New"/>
                <w:sz w:val="15"/>
                <w:szCs w:val="15"/>
                <w:color w:val="auto"/>
                <w:w w:val="88"/>
              </w:rPr>
              <w:t>1999</w:t>
            </w:r>
          </w:p>
        </w:tc>
        <w:tc>
          <w:tcPr>
            <w:tcW w:w="3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6,761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2,257</w:t>
            </w:r>
          </w:p>
        </w:tc>
        <w:tc>
          <w:tcPr>
            <w:tcW w:w="1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7,490</w:t>
            </w:r>
          </w:p>
        </w:tc>
      </w:tr>
      <w:tr>
        <w:trPr>
          <w:trHeight w:val="171"/>
        </w:trPr>
        <w:tc>
          <w:tcPr>
            <w:tcW w:w="2740" w:type="dxa"/>
            <w:vAlign w:val="bottom"/>
          </w:tcPr>
          <w:p>
            <w:pPr>
              <w:jc w:val="right"/>
              <w:ind w:right="2326"/>
              <w:spacing w:after="0"/>
              <w:rPr>
                <w:sz w:val="20"/>
                <w:szCs w:val="20"/>
                <w:color w:val="auto"/>
              </w:rPr>
            </w:pPr>
            <w:r>
              <w:rPr>
                <w:rFonts w:ascii="Courier New" w:cs="Courier New" w:eastAsia="Courier New" w:hAnsi="Courier New"/>
                <w:sz w:val="15"/>
                <w:szCs w:val="15"/>
                <w:color w:val="auto"/>
                <w:w w:val="88"/>
              </w:rPr>
              <w:t>2000</w:t>
            </w:r>
          </w:p>
        </w:tc>
        <w:tc>
          <w:tcPr>
            <w:tcW w:w="3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7,490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2,971</w:t>
            </w:r>
          </w:p>
        </w:tc>
        <w:tc>
          <w:tcPr>
            <w:tcW w:w="1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(1,636)</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8,825</w:t>
            </w:r>
          </w:p>
        </w:tc>
      </w:tr>
    </w:tbl>
    <w:p>
      <w:pPr>
        <w:spacing w:after="0" w:line="3" w:lineRule="exact"/>
        <w:rPr>
          <w:sz w:val="20"/>
          <w:szCs w:val="20"/>
          <w:color w:val="auto"/>
        </w:rPr>
      </w:pPr>
    </w:p>
    <w:p>
      <w:pPr>
        <w:ind w:left="169" w:hanging="169"/>
        <w:spacing w:after="0"/>
        <w:tabs>
          <w:tab w:leader="none" w:pos="16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28</w:t>
      </w:r>
    </w:p>
    <w:p>
      <w:pPr>
        <w:sectPr>
          <w:pgSz w:w="11900" w:h="16838" w:orient="portrait"/>
          <w:cols w:equalWidth="0" w:num="1">
            <w:col w:w="10569"/>
          </w:cols>
          <w:pgMar w:left="231" w:top="287" w:right="1099"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700" w:right="3919" w:hanging="709"/>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information required by this item regarding the Company's directors and executive officers is incorporated by reference to the information set forth under the captions "Election of Directors" and "Executive Compensation" contained in the Proxy Statement to be used by the Company in connection with its 2001 Annual Meeting of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"Executive Compensation" contained in the Proxy Statement to be used by the Company in connection with its 2001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"Principal Stockholders" contained in the Proxy Statement to be used by the Company in connection with its 2001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2001 Annual Meeting of Stockholders.</w:t>
      </w:r>
    </w:p>
    <w:p>
      <w:pPr>
        <w:spacing w:after="0" w:line="15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ind w:left="780" w:right="3479" w:hanging="798"/>
        <w:spacing w:after="0" w:line="238" w:lineRule="auto"/>
        <w:rPr>
          <w:sz w:val="20"/>
          <w:szCs w:val="20"/>
          <w:color w:val="auto"/>
        </w:rPr>
      </w:pPr>
      <w:r>
        <w:rPr>
          <w:rFonts w:ascii="Courier New" w:cs="Courier New" w:eastAsia="Courier New" w:hAnsi="Courier New"/>
          <w:sz w:val="15"/>
          <w:szCs w:val="15"/>
          <w:color w:val="auto"/>
        </w:rPr>
        <w:t>ITEM 14. EXHIBITS, CONSOLIDATED FINANCIAL STATEMENT SCHEDULES AND REPORTS ON FORM 8-K</w:t>
      </w:r>
    </w:p>
    <w:p>
      <w:pPr>
        <w:spacing w:after="0" w:line="172" w:lineRule="exact"/>
        <w:rPr>
          <w:sz w:val="20"/>
          <w:szCs w:val="20"/>
          <w:color w:val="auto"/>
        </w:rPr>
      </w:pPr>
    </w:p>
    <w:p>
      <w:pPr>
        <w:ind w:left="780" w:hanging="345"/>
        <w:spacing w:after="0"/>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Form 10-K:</w:t>
      </w:r>
    </w:p>
    <w:p>
      <w:pPr>
        <w:spacing w:after="0" w:line="174" w:lineRule="exact"/>
        <w:rPr>
          <w:rFonts w:ascii="Courier New" w:cs="Courier New" w:eastAsia="Courier New" w:hAnsi="Courier New"/>
          <w:sz w:val="15"/>
          <w:szCs w:val="15"/>
          <w:color w:val="auto"/>
        </w:rPr>
      </w:pPr>
    </w:p>
    <w:p>
      <w:pPr>
        <w:ind w:left="440" w:right="3399" w:firstLine="438"/>
        <w:spacing w:after="0" w:line="238" w:lineRule="auto"/>
        <w:tabs>
          <w:tab w:leader="none" w:pos="115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 of ABM Industries Incorporated and Subsidiaries (see Item 8):</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Balance Sheets -- October 31, 1999 and 2000</w:t>
      </w:r>
    </w:p>
    <w:p>
      <w:pPr>
        <w:spacing w:after="0" w:line="174" w:lineRule="exact"/>
        <w:rPr>
          <w:sz w:val="20"/>
          <w:szCs w:val="20"/>
          <w:color w:val="auto"/>
        </w:rPr>
      </w:pPr>
    </w:p>
    <w:p>
      <w:pPr>
        <w:ind w:left="880" w:right="3579" w:firstLine="444"/>
        <w:spacing w:after="0" w:line="238" w:lineRule="auto"/>
        <w:rPr>
          <w:sz w:val="20"/>
          <w:szCs w:val="20"/>
          <w:color w:val="auto"/>
        </w:rPr>
      </w:pPr>
      <w:r>
        <w:rPr>
          <w:rFonts w:ascii="Courier New" w:cs="Courier New" w:eastAsia="Courier New" w:hAnsi="Courier New"/>
          <w:sz w:val="15"/>
          <w:szCs w:val="15"/>
          <w:color w:val="auto"/>
        </w:rPr>
        <w:t>Consolidated Statements of Income -- Years ended October 31, 1998, 1999 and 2000</w:t>
      </w:r>
    </w:p>
    <w:p>
      <w:pPr>
        <w:spacing w:after="0" w:line="175" w:lineRule="exact"/>
        <w:rPr>
          <w:sz w:val="20"/>
          <w:szCs w:val="20"/>
          <w:color w:val="auto"/>
        </w:rPr>
      </w:pPr>
    </w:p>
    <w:p>
      <w:pPr>
        <w:ind w:left="880" w:right="3119" w:firstLine="444"/>
        <w:spacing w:after="0" w:line="238" w:lineRule="auto"/>
        <w:rPr>
          <w:sz w:val="20"/>
          <w:szCs w:val="20"/>
          <w:color w:val="auto"/>
        </w:rPr>
      </w:pPr>
      <w:r>
        <w:rPr>
          <w:rFonts w:ascii="Courier New" w:cs="Courier New" w:eastAsia="Courier New" w:hAnsi="Courier New"/>
          <w:sz w:val="15"/>
          <w:szCs w:val="15"/>
          <w:color w:val="auto"/>
        </w:rPr>
        <w:t>Consolidated Statements of Stockholders' Equity and Comprehensive Income -- Years ended October 31, 1998, 1999 and 2000</w:t>
      </w:r>
    </w:p>
    <w:p>
      <w:pPr>
        <w:spacing w:after="0" w:line="175" w:lineRule="exact"/>
        <w:rPr>
          <w:sz w:val="20"/>
          <w:szCs w:val="20"/>
          <w:color w:val="auto"/>
        </w:rPr>
      </w:pPr>
    </w:p>
    <w:p>
      <w:pPr>
        <w:ind w:left="880" w:right="3219" w:firstLine="444"/>
        <w:spacing w:after="0" w:line="238" w:lineRule="auto"/>
        <w:rPr>
          <w:sz w:val="20"/>
          <w:szCs w:val="20"/>
          <w:color w:val="auto"/>
        </w:rPr>
      </w:pPr>
      <w:r>
        <w:rPr>
          <w:rFonts w:ascii="Courier New" w:cs="Courier New" w:eastAsia="Courier New" w:hAnsi="Courier New"/>
          <w:sz w:val="15"/>
          <w:szCs w:val="15"/>
          <w:color w:val="auto"/>
        </w:rPr>
        <w:t>Consolidated Statements of Cash Flows -- Years ended October 31, 1998, 1999 and 2000</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440" w:right="3839" w:firstLine="438"/>
        <w:spacing w:after="0" w:line="238" w:lineRule="auto"/>
        <w:tabs>
          <w:tab w:leader="none" w:pos="11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of ABM Industries Incorporated and Subsidiaries (see Item 8):</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Schedule II -- Consolidated Valuation Accounts -- Years ended October 31, 1998, 1999 and 2000</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All other schedules are omitted because they are not applicable or because the required information is included in the consolidated financial statements or the notes thereto.</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Exhibits: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See Exhibit Index.</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Reports on Form 8-K: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reports on Form 8-K were filed during the fourth quarter of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ectPr>
          <w:pgSz w:w="11900" w:h="16838" w:orient="portrait"/>
          <w:cols w:equalWidth="0" w:num="1">
            <w:col w:w="10219"/>
          </w:cols>
          <w:pgMar w:left="240" w:top="287" w:right="1440" w:bottom="989"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19"/>
          </w:cols>
          <w:pgMar w:left="240" w:top="287" w:right="1440" w:bottom="989"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30</w:t>
      </w:r>
    </w:p>
    <w:p>
      <w:pPr>
        <w:spacing w:after="0" w:line="171"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900"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1000"/>
          </w:cols>
          <w:pgMar w:left="240" w:top="287" w:right="659"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 Henrik C. Slipsager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Henrik C. Slipsager</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President, Chief Executive Officer and Director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January 29, 2001</w:t>
      </w:r>
    </w:p>
    <w:p>
      <w:pPr>
        <w:spacing w:after="0" w:line="174" w:lineRule="exact"/>
        <w:rPr>
          <w:sz w:val="20"/>
          <w:szCs w:val="20"/>
          <w:color w:val="auto"/>
        </w:rPr>
      </w:pPr>
    </w:p>
    <w:p>
      <w:pPr>
        <w:sectPr>
          <w:pgSz w:w="11900" w:h="16838" w:orient="portrait"/>
          <w:cols w:equalWidth="0" w:num="2">
            <w:col w:w="340" w:space="720"/>
            <w:col w:w="9940"/>
          </w:cols>
          <w:pgMar w:left="240" w:top="287" w:right="659" w:bottom="1440" w:gutter="0" w:footer="0" w:header="0"/>
          <w:type w:val="continuous"/>
        </w:sectPr>
      </w:pPr>
    </w:p>
    <w:p>
      <w:pPr>
        <w:ind w:right="4080"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/s/ Henrik C. Slipsager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/s/ Martinn H. Mandles</w:t>
            </w:r>
          </w:p>
        </w:tc>
      </w:tr>
      <w:tr>
        <w:trPr>
          <w:trHeight w:val="171"/>
        </w:trPr>
        <w:tc>
          <w:tcPr>
            <w:tcW w:w="5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 ------------------------------------------------------------</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Henrik C. Slipsager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Martinn H. Mandles</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President, Chief Executive Officer and Director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Chairman of the Board,</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(Principal Executive Officer)</w:t>
            </w:r>
          </w:p>
        </w:tc>
        <w:tc>
          <w:tcPr>
            <w:tcW w:w="542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Chief Administrative Officer and Director</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r>
      <w:tr>
        <w:trPr>
          <w:trHeight w:val="34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/s/ David H. Hebble</w:t>
            </w:r>
          </w:p>
        </w:tc>
        <w:tc>
          <w:tcPr>
            <w:tcW w:w="5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 Vernon E. Skelton</w:t>
            </w:r>
          </w:p>
        </w:tc>
      </w:tr>
      <w:tr>
        <w:trPr>
          <w:trHeight w:val="171"/>
        </w:trPr>
        <w:tc>
          <w:tcPr>
            <w:tcW w:w="5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 ------------------------------------------------------------</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David H. Hebble</w:t>
            </w:r>
          </w:p>
        </w:tc>
        <w:tc>
          <w:tcPr>
            <w:tcW w:w="5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Vernon E. Skelton</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Senior Vice President and</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Vice President, Controller and</w:t>
            </w:r>
          </w:p>
        </w:tc>
      </w:tr>
      <w:tr>
        <w:trPr>
          <w:trHeight w:val="171"/>
        </w:trPr>
        <w:tc>
          <w:tcPr>
            <w:tcW w:w="558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Chief Financial Officer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Chief Accounting Officer</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(Principal Financial Officer)</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(Principal Accounting Officer)</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r>
      <w:tr>
        <w:trPr>
          <w:trHeight w:val="34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 Maryellen Cattani Herringer</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Linda Chavez</w:t>
            </w:r>
          </w:p>
        </w:tc>
      </w:tr>
      <w:tr>
        <w:trPr>
          <w:trHeight w:val="171"/>
        </w:trPr>
        <w:tc>
          <w:tcPr>
            <w:tcW w:w="5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 ------------------------------------------------------------</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Maryellen Cattani Herringer</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Linda Chavez</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Director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Director</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r>
      <w:tr>
        <w:trPr>
          <w:trHeight w:val="34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 Luke S. Helms</w:t>
            </w:r>
          </w:p>
        </w:tc>
        <w:tc>
          <w:tcPr>
            <w:tcW w:w="542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/s/ Charles T. Horngren</w:t>
            </w:r>
          </w:p>
        </w:tc>
      </w:tr>
      <w:tr>
        <w:trPr>
          <w:trHeight w:val="171"/>
        </w:trPr>
        <w:tc>
          <w:tcPr>
            <w:tcW w:w="5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 ------------------------------------------------------------</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Luke S. Helms</w:t>
            </w:r>
          </w:p>
        </w:tc>
        <w:tc>
          <w:tcPr>
            <w:tcW w:w="5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Charles T. Horngren</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Director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Director</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r>
      <w:tr>
        <w:trPr>
          <w:trHeight w:val="34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 Henry L. Kotkins, Jr.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/s/ Theodore Rosenberg</w:t>
            </w:r>
          </w:p>
        </w:tc>
      </w:tr>
      <w:tr>
        <w:trPr>
          <w:trHeight w:val="171"/>
        </w:trPr>
        <w:tc>
          <w:tcPr>
            <w:tcW w:w="5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 ------------------------------------------------------------</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Henry L. Kotkins, Jr.</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Theodore Rosenberg</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Director</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Vice Chairman of the</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Executive Committee and Director</w:t>
            </w:r>
          </w:p>
        </w:tc>
      </w:tr>
      <w:tr>
        <w:trPr>
          <w:trHeight w:val="171"/>
        </w:trPr>
        <w:tc>
          <w:tcPr>
            <w:tcW w:w="5580" w:type="dxa"/>
            <w:vAlign w:val="bottom"/>
          </w:tcPr>
          <w:p>
            <w:pPr>
              <w:spacing w:after="0"/>
              <w:rPr>
                <w:sz w:val="14"/>
                <w:szCs w:val="14"/>
                <w:color w:val="auto"/>
              </w:rPr>
            </w:pP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r>
      <w:tr>
        <w:trPr>
          <w:trHeight w:val="34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 William W. Steele</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William E. Walsh</w:t>
            </w:r>
          </w:p>
        </w:tc>
      </w:tr>
      <w:tr>
        <w:trPr>
          <w:trHeight w:val="171"/>
        </w:trPr>
        <w:tc>
          <w:tcPr>
            <w:tcW w:w="5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 ------------------------------------------------------------</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William W. Steele</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William E. Walsh</w:t>
            </w:r>
          </w:p>
        </w:tc>
      </w:tr>
      <w:tr>
        <w:trPr>
          <w:trHeight w:val="171"/>
        </w:trPr>
        <w:tc>
          <w:tcPr>
            <w:tcW w:w="55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Chairman of the</w:t>
            </w:r>
          </w:p>
        </w:tc>
        <w:tc>
          <w:tcPr>
            <w:tcW w:w="5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Director</w:t>
            </w:r>
          </w:p>
        </w:tc>
      </w:tr>
      <w:tr>
        <w:trPr>
          <w:trHeight w:val="171"/>
        </w:trPr>
        <w:tc>
          <w:tcPr>
            <w:tcW w:w="55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Executive Committee and Director</w:t>
            </w:r>
          </w:p>
        </w:tc>
        <w:tc>
          <w:tcPr>
            <w:tcW w:w="5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r>
      <w:tr>
        <w:trPr>
          <w:trHeight w:val="171"/>
        </w:trPr>
        <w:tc>
          <w:tcPr>
            <w:tcW w:w="55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January 29, 2001</w:t>
            </w:r>
          </w:p>
        </w:tc>
        <w:tc>
          <w:tcPr>
            <w:tcW w:w="5420" w:type="dxa"/>
            <w:vAlign w:val="bottom"/>
          </w:tcPr>
          <w:p>
            <w:pPr>
              <w:spacing w:after="0"/>
              <w:rPr>
                <w:sz w:val="14"/>
                <w:szCs w:val="14"/>
                <w:color w:val="auto"/>
              </w:rPr>
            </w:pPr>
          </w:p>
        </w:tc>
      </w:tr>
      <w:tr>
        <w:trPr>
          <w:trHeight w:val="512"/>
        </w:trPr>
        <w:tc>
          <w:tcPr>
            <w:tcW w:w="558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30</w:t>
            </w:r>
          </w:p>
        </w:tc>
        <w:tc>
          <w:tcPr>
            <w:tcW w:w="5420" w:type="dxa"/>
            <w:vAlign w:val="bottom"/>
          </w:tcPr>
          <w:p>
            <w:pPr>
              <w:spacing w:after="0"/>
              <w:rPr>
                <w:sz w:val="24"/>
                <w:szCs w:val="24"/>
                <w:color w:val="auto"/>
              </w:rPr>
            </w:pPr>
          </w:p>
        </w:tc>
      </w:tr>
    </w:tbl>
    <w:p>
      <w:pPr>
        <w:sectPr>
          <w:pgSz w:w="11900" w:h="16838" w:orient="portrait"/>
          <w:cols w:equalWidth="0" w:num="1">
            <w:col w:w="11000"/>
          </w:cols>
          <w:pgMar w:left="240" w:top="287" w:right="659" w:bottom="1440" w:gutter="0" w:footer="0" w:header="0"/>
          <w:type w:val="continuous"/>
        </w:sectPr>
      </w:pPr>
    </w:p>
    <w:bookmarkStart w:id="38" w:name="page39"/>
    <w:bookmarkEnd w:id="38"/>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349"/>
        <w:spacing w:after="0"/>
        <w:tabs>
          <w:tab w:leader="none" w:pos="122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69" w:hanging="169"/>
        <w:spacing w:after="0"/>
        <w:tabs>
          <w:tab w:leader="none" w:pos="16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249" w:right="4999" w:hanging="976"/>
        <w:spacing w:after="0" w:line="25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3.1[a]</w:t>
      </w:r>
      <w:r>
        <w:rPr>
          <w:rFonts w:ascii="Courier New" w:cs="Courier New" w:eastAsia="Courier New" w:hAnsi="Courier New"/>
          <w:sz w:val="14"/>
          <w:szCs w:val="14"/>
          <w:color w:val="auto"/>
        </w:rPr>
        <w:t>Restated Certificate of Incorporation of ABM Industries Incorporated, dated March 22, 2000</w:t>
      </w:r>
    </w:p>
    <w:p>
      <w:pPr>
        <w:ind w:left="2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3.2[u]</w:t>
      </w:r>
      <w:r>
        <w:rPr>
          <w:rFonts w:ascii="Courier New" w:cs="Courier New" w:eastAsia="Courier New" w:hAnsi="Courier New"/>
          <w:sz w:val="14"/>
          <w:szCs w:val="14"/>
          <w:color w:val="auto"/>
        </w:rPr>
        <w:t>By-laws, as amended June 20, 2000</w:t>
      </w:r>
    </w:p>
    <w:p>
      <w:pPr>
        <w:spacing w:after="0" w:line="3" w:lineRule="exact"/>
        <w:rPr>
          <w:rFonts w:ascii="Courier New" w:cs="Courier New" w:eastAsia="Courier New" w:hAnsi="Courier New"/>
          <w:sz w:val="14"/>
          <w:szCs w:val="14"/>
          <w:color w:val="auto"/>
        </w:rPr>
      </w:pPr>
    </w:p>
    <w:p>
      <w:pPr>
        <w:ind w:left="1249" w:right="4899" w:hanging="976"/>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4.1[k]Credit Agreement, dated June 25, 1997, between Bank of America National Trust and Savings Association and the Company</w:t>
      </w:r>
    </w:p>
    <w:p>
      <w:pPr>
        <w:spacing w:after="0" w:line="4" w:lineRule="exact"/>
        <w:rPr>
          <w:rFonts w:ascii="Courier New" w:cs="Courier New" w:eastAsia="Courier New" w:hAnsi="Courier New"/>
          <w:sz w:val="14"/>
          <w:szCs w:val="14"/>
          <w:color w:val="auto"/>
        </w:rPr>
      </w:pPr>
    </w:p>
    <w:p>
      <w:pPr>
        <w:ind w:left="1249" w:right="481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4.2[q]First Amendment to Credit Agreement dated as of October 31, 1997</w:t>
      </w:r>
    </w:p>
    <w:p>
      <w:pPr>
        <w:spacing w:after="0" w:line="1" w:lineRule="exact"/>
        <w:rPr>
          <w:rFonts w:ascii="Courier New" w:cs="Courier New" w:eastAsia="Courier New" w:hAnsi="Courier New"/>
          <w:sz w:val="14"/>
          <w:szCs w:val="14"/>
          <w:color w:val="auto"/>
        </w:rPr>
      </w:pPr>
    </w:p>
    <w:p>
      <w:pPr>
        <w:ind w:left="2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4.3[t]</w:t>
      </w:r>
      <w:r>
        <w:rPr>
          <w:rFonts w:ascii="Courier New" w:cs="Courier New" w:eastAsia="Courier New" w:hAnsi="Courier New"/>
          <w:sz w:val="14"/>
          <w:szCs w:val="14"/>
          <w:color w:val="auto"/>
        </w:rPr>
        <w:t>Second Amendment to Credit Agreement dated as of</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September</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22, 1999</w:t>
            </w:r>
          </w:p>
        </w:tc>
      </w:tr>
      <w:tr>
        <w:trPr>
          <w:trHeight w:val="171"/>
        </w:trPr>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4.5[c]</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Business Loan Agreement dated February 13, 1996</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10.2[j]*</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1985 Employee Stock Purchase Plan as amended</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effective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December 19, 1995</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10.3[b]*</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Supplemental Medical and Dental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10.4[j]*</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1984 Executive Stock Option Plan as amended</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effective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December 19, 1995 (now known as "Age-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Vested" Career Stock Option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10.9[f]*</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Short Form Deed of Trust and Assignment of Rents</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(dated December 17, 1991) between the Company and</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John F. Egan, together with the related</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Promissory Note (dated January 1, 1992)</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10.13[j]*</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1987 Stock Option Plan as amended effective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19, 1995 (now known as "Time-Vested"</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Incentive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10.16[d]</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Rights Agreement, dated as of March 17, 1998,</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between the Company and ChaseMellon Shareholder</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Services,</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L.L.C., as Rights Agent</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10.19[e]*</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Service Award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10.20[f]*</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William W.</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Steele</w:t>
            </w:r>
          </w:p>
        </w:tc>
        <w:tc>
          <w:tcPr>
            <w:tcW w:w="35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10.21[f]*</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Amended and Restated Retirement Plan for Outside</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Directors</w:t>
            </w:r>
          </w:p>
        </w:tc>
        <w:tc>
          <w:tcPr>
            <w:tcW w:w="35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10.22[f]*</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No. 1 to Service Award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10.23[g]*</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Outside Director Retirement Agreement</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(dated June 16, 1992)</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10.24[g]*</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John F. Egan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10.25[g]*</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Jess 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Benton, III</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10.27[h]</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Guaranty of American Building Maintenance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Industries, Inc.</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10.28[i]*</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Deferred Compensation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10.29[i]*</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Existing Executive Employment Agreement</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Than Those Specifically Named</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10.30[l]*</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Martinn H.</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Mandles, as amended by Amendments One and Two</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10.31[l]*</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of Corporate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William W. Steele</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10.32[l]*</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First and</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Second Amendments of Corporate</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John F. Egan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10.34[l]*</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First and</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Second Amendments of Corporate</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Jess 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Benton, III</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10.35[l]*</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Amendments of Corporate Executive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Employment Agreements with Other Than Those Named</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10.36[m]*</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Indemnification for Directors</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10.37[n]*</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Second Amendment of Corporate Executive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Employment Agreement with William W. Steele</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10.39[n]*</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Third Amendment of Corporate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Martinn H. Mandles</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10.40[p]*</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1996 ABM Industries Incorporated Long-Term Senior</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 (now known as</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"Price-Vested" Performance Stock Option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10.40[o]*</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of Corporate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Martinn H. Mandles</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10.41[o]*</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of Corporate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Jess E. Benton III</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10.42[r]*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Executive</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with Henrik</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Slipsager</w:t>
            </w:r>
          </w:p>
        </w:tc>
        <w:tc>
          <w:tcPr>
            <w:tcW w:w="35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10.43[r]*</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Second Amendment of Division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Henrik Slipsager</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10.44[r]*</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Third Amendment of Division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Henrik Slipsager</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10.45[r]*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of Division Executive Employment</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with Henrik Slipsager</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10.46[s]*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numbers 1, 2 and 3 to the Employee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Purchase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10.47[t]*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No. 1 to the 1987 Incentive Stock</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Option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10.48[t]*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No. 2 to the ABM Industries</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Incorporated 1987 Incentive Stock Option Plan</w:t>
            </w:r>
          </w:p>
        </w:tc>
      </w:tr>
      <w:tr>
        <w:trPr>
          <w:trHeight w:val="171"/>
        </w:trPr>
        <w:tc>
          <w:tcPr>
            <w:tcW w:w="94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(December</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19, 1994 Restatement)</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10.49[t]*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No. 3 to the "Time-Vested" Incentive</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Option Plan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10.50[t]*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No. 4 to the ABM Industries</w:t>
            </w:r>
          </w:p>
        </w:tc>
      </w:tr>
      <w:tr>
        <w:trPr>
          <w:trHeight w:val="171"/>
        </w:trPr>
        <w:tc>
          <w:tcPr>
            <w:tcW w:w="94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Incorporated "Time-Vested" Incentive Stock Option</w:t>
            </w:r>
          </w:p>
        </w:tc>
      </w:tr>
    </w:tbl>
    <w:p>
      <w:pPr>
        <w:sectPr>
          <w:pgSz w:w="11900" w:h="16870" w:orient="portrait"/>
          <w:cols w:equalWidth="0" w:num="1">
            <w:col w:w="10228"/>
          </w:cols>
          <w:pgMar w:left="231" w:top="287" w:right="1440" w:bottom="0" w:gutter="0" w:footer="0" w:header="0"/>
        </w:sectPr>
      </w:pPr>
    </w:p>
    <w:bookmarkStart w:id="39" w:name="page40"/>
    <w:bookmarkEnd w:id="39"/>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Plan (December 19,</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1994 Restatement)</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10.51[t]*</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No. 1</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1984 Executive Stock</w:t>
            </w:r>
          </w:p>
        </w:tc>
      </w:tr>
      <w:tr>
        <w:trPr>
          <w:trHeight w:val="171"/>
        </w:trPr>
        <w:tc>
          <w:tcPr>
            <w:tcW w:w="94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Option Plan</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10.52[t]*</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No. 2</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1984 Executive Stock</w:t>
            </w:r>
          </w:p>
        </w:tc>
      </w:tr>
      <w:tr>
        <w:trPr>
          <w:trHeight w:val="171"/>
        </w:trPr>
        <w:tc>
          <w:tcPr>
            <w:tcW w:w="940" w:type="dxa"/>
            <w:vAlign w:val="bottom"/>
          </w:tcPr>
          <w:p>
            <w:pPr>
              <w:spacing w:after="0"/>
              <w:rPr>
                <w:sz w:val="14"/>
                <w:szCs w:val="14"/>
                <w:color w:val="auto"/>
              </w:rPr>
            </w:pPr>
          </w:p>
        </w:tc>
        <w:tc>
          <w:tcPr>
            <w:tcW w:w="44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Option Plan (December 1994 Restatement)</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10.53[t]*</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No. 3</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ABM Industries</w:t>
            </w:r>
          </w:p>
        </w:tc>
      </w:tr>
      <w:tr>
        <w:trPr>
          <w:trHeight w:val="171"/>
        </w:trPr>
        <w:tc>
          <w:tcPr>
            <w:tcW w:w="940" w:type="dxa"/>
            <w:vAlign w:val="bottom"/>
          </w:tcPr>
          <w:p>
            <w:pPr>
              <w:spacing w:after="0"/>
              <w:rPr>
                <w:sz w:val="14"/>
                <w:szCs w:val="14"/>
                <w:color w:val="auto"/>
              </w:rPr>
            </w:pPr>
          </w:p>
        </w:tc>
        <w:tc>
          <w:tcPr>
            <w:tcW w:w="44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Incorporated "Age-Vested" Career Stock Option</w:t>
            </w:r>
          </w:p>
        </w:tc>
      </w:tr>
      <w:tr>
        <w:trPr>
          <w:trHeight w:val="171"/>
        </w:trPr>
        <w:tc>
          <w:tcPr>
            <w:tcW w:w="94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Plan (December 19,</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1995 Restatement)</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10.54[t]*</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No. 1</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Long-Term Senior Executive</w:t>
            </w:r>
          </w:p>
        </w:tc>
      </w:tr>
      <w:tr>
        <w:trPr>
          <w:trHeight w:val="171"/>
        </w:trPr>
        <w:tc>
          <w:tcPr>
            <w:tcW w:w="94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Incentive Stock</w:t>
            </w:r>
          </w:p>
        </w:tc>
        <w:tc>
          <w:tcPr>
            <w:tcW w:w="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Option</w:t>
            </w:r>
          </w:p>
        </w:tc>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Plan Adopted December 1996</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10.55[t]*</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No. 2</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"Price-Vested" Performance</w:t>
            </w:r>
          </w:p>
        </w:tc>
      </w:tr>
      <w:tr>
        <w:trPr>
          <w:trHeight w:val="171"/>
        </w:trPr>
        <w:tc>
          <w:tcPr>
            <w:tcW w:w="94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Option Plan</w:t>
            </w: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10.56[t]*</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No. 3</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ABM Industries</w:t>
            </w:r>
          </w:p>
        </w:tc>
      </w:tr>
      <w:tr>
        <w:trPr>
          <w:trHeight w:val="171"/>
        </w:trPr>
        <w:tc>
          <w:tcPr>
            <w:tcW w:w="940" w:type="dxa"/>
            <w:vAlign w:val="bottom"/>
          </w:tcPr>
          <w:p>
            <w:pPr>
              <w:spacing w:after="0"/>
              <w:rPr>
                <w:sz w:val="14"/>
                <w:szCs w:val="14"/>
                <w:color w:val="auto"/>
              </w:rPr>
            </w:pPr>
          </w:p>
        </w:tc>
        <w:tc>
          <w:tcPr>
            <w:tcW w:w="44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Incorporated "Price-Vested" Performance Stock</w:t>
            </w:r>
          </w:p>
        </w:tc>
      </w:tr>
      <w:tr>
        <w:trPr>
          <w:trHeight w:val="171"/>
        </w:trPr>
        <w:tc>
          <w:tcPr>
            <w:tcW w:w="94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Option Plan</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10.57[t]*</w:t>
            </w:r>
          </w:p>
        </w:tc>
        <w:tc>
          <w:tcPr>
            <w:tcW w:w="44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Fourth Amendment of Division Executive Employment</w:t>
            </w:r>
          </w:p>
        </w:tc>
      </w:tr>
      <w:tr>
        <w:trPr>
          <w:trHeight w:val="171"/>
        </w:trPr>
        <w:tc>
          <w:tcPr>
            <w:tcW w:w="940" w:type="dxa"/>
            <w:vAlign w:val="bottom"/>
          </w:tcPr>
          <w:p>
            <w:pPr>
              <w:spacing w:after="0"/>
              <w:rPr>
                <w:sz w:val="14"/>
                <w:szCs w:val="14"/>
                <w:color w:val="auto"/>
              </w:rPr>
            </w:pPr>
          </w:p>
        </w:tc>
        <w:tc>
          <w:tcPr>
            <w:tcW w:w="44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Agreement with Henrik Slipsager</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Subsidiaries of</w:t>
            </w:r>
          </w:p>
        </w:tc>
        <w:tc>
          <w:tcPr>
            <w:tcW w:w="2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the Registrant</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21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Consent of Independent</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Certified Public</w:t>
            </w:r>
          </w:p>
        </w:tc>
      </w:tr>
      <w:tr>
        <w:trPr>
          <w:trHeight w:val="171"/>
        </w:trPr>
        <w:tc>
          <w:tcPr>
            <w:tcW w:w="94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Accountants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21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Financial Data Schedule</w:t>
            </w:r>
          </w:p>
        </w:tc>
        <w:tc>
          <w:tcPr>
            <w:tcW w:w="23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19" w:hanging="349"/>
        <w:spacing w:after="0" w:line="239"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2000.</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1984.</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January 31, 1996.</w:t>
      </w:r>
    </w:p>
    <w:p>
      <w:pPr>
        <w:spacing w:after="0" w:line="175"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4.1 to the Company's report on Form 8-K dated March 17, 1998.</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1990.</w:t>
      </w:r>
    </w:p>
    <w:p>
      <w:pPr>
        <w:spacing w:after="0" w:line="175" w:lineRule="exact"/>
        <w:rPr>
          <w:rFonts w:ascii="Courier New" w:cs="Courier New" w:eastAsia="Courier New" w:hAnsi="Courier New"/>
          <w:sz w:val="15"/>
          <w:szCs w:val="15"/>
          <w:color w:val="auto"/>
        </w:rPr>
      </w:pPr>
    </w:p>
    <w:p>
      <w:pPr>
        <w:ind w:left="349" w:right="4099" w:hanging="349"/>
        <w:spacing w:after="0" w:line="238"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w:t>
      </w:r>
    </w:p>
    <w:p>
      <w:pPr>
        <w:spacing w:after="0" w:line="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8"/>
          </w:cols>
          <w:pgMar w:left="231" w:top="139" w:right="1440" w:bottom="1440" w:gutter="0" w:footer="0" w:header="0"/>
        </w:sectPr>
      </w:pPr>
    </w:p>
    <w:bookmarkStart w:id="40" w:name="page41"/>
    <w:bookmarkEnd w:id="40"/>
    <w:p>
      <w:pPr>
        <w:ind w:left="269"/>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349" w:right="3299"/>
        <w:spacing w:after="0" w:line="238" w:lineRule="auto"/>
        <w:rPr>
          <w:sz w:val="20"/>
          <w:szCs w:val="20"/>
          <w:color w:val="auto"/>
        </w:rPr>
      </w:pPr>
      <w:r>
        <w:rPr>
          <w:rFonts w:ascii="Courier New" w:cs="Courier New" w:eastAsia="Courier New" w:hAnsi="Courier New"/>
          <w:sz w:val="15"/>
          <w:szCs w:val="15"/>
          <w:color w:val="auto"/>
        </w:rPr>
        <w:t>Company's annual report on Form 10-K for the fiscal year ended October 31, 1991.</w:t>
      </w:r>
    </w:p>
    <w:p>
      <w:pPr>
        <w:spacing w:after="0" w:line="175" w:lineRule="exact"/>
        <w:rPr>
          <w:sz w:val="20"/>
          <w:szCs w:val="20"/>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1992.</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reference which was filed as an exhibit to the Company's quarterly report on Form 10-Q for the fiscal quarter ended July 31, 1993.</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1993.</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1996.</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1997.</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1994.</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10.20 which was filed as an exhibit to the Company's quarterly report on Form 10-Q for the fiscal quarter ended April 30, 1991.</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1996.</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1998.</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1997.</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1997.</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1998.</w:t>
      </w:r>
    </w:p>
    <w:p>
      <w:pPr>
        <w:spacing w:after="0" w:line="175" w:lineRule="exact"/>
        <w:rPr>
          <w:rFonts w:ascii="Courier New" w:cs="Courier New" w:eastAsia="Courier New" w:hAnsi="Courier New"/>
          <w:sz w:val="15"/>
          <w:szCs w:val="15"/>
          <w:color w:val="auto"/>
        </w:rPr>
      </w:pPr>
    </w:p>
    <w:p>
      <w:pPr>
        <w:ind w:left="349" w:right="3759" w:hanging="349"/>
        <w:spacing w:after="0" w:line="271" w:lineRule="auto"/>
        <w:tabs>
          <w:tab w:leader="none" w:pos="34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exhibits 99.1, 99.2 and 99.3 to Form S-8 Registration Statement (File No. 333-78425) filed by the registrant.</w:t>
      </w:r>
    </w:p>
    <w:p>
      <w:pPr>
        <w:spacing w:after="0" w:line="153" w:lineRule="exact"/>
        <w:rPr>
          <w:rFonts w:ascii="Courier New" w:cs="Courier New" w:eastAsia="Courier New" w:hAnsi="Courier New"/>
          <w:sz w:val="14"/>
          <w:szCs w:val="14"/>
          <w:color w:val="auto"/>
        </w:rPr>
      </w:pPr>
    </w:p>
    <w:p>
      <w:pPr>
        <w:ind w:left="449" w:right="3119" w:hanging="449"/>
        <w:spacing w:after="0" w:line="239" w:lineRule="auto"/>
        <w:tabs>
          <w:tab w:leader="none" w:pos="4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1999.</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2000.</w:t>
      </w:r>
    </w:p>
    <w:p>
      <w:pPr>
        <w:spacing w:after="0" w:line="175" w:lineRule="exact"/>
        <w:rPr>
          <w:sz w:val="20"/>
          <w:szCs w:val="20"/>
          <w:color w:val="auto"/>
        </w:rPr>
      </w:pPr>
    </w:p>
    <w:p>
      <w:pPr>
        <w:ind w:left="3469" w:right="5079" w:hanging="3380"/>
        <w:spacing w:after="0" w:line="478" w:lineRule="auto"/>
        <w:tabs>
          <w:tab w:leader="none" w:pos="3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compensatory plan or arrangement. 32</w:t>
      </w:r>
    </w:p>
    <w:p>
      <w:pPr>
        <w:sectPr>
          <w:pgSz w:w="11900" w:h="16838" w:orient="portrait"/>
          <w:cols w:equalWidth="0" w:num="1">
            <w:col w:w="10228"/>
          </w:cols>
          <w:pgMar w:left="231"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840" w:type="dxa"/>
            <w:vAlign w:val="bottom"/>
          </w:tcPr>
          <w:p>
            <w:pPr>
              <w:ind w:left="220"/>
              <w:spacing w:after="0"/>
              <w:rPr>
                <w:sz w:val="20"/>
                <w:szCs w:val="20"/>
                <w:color w:val="auto"/>
              </w:rPr>
            </w:pPr>
            <w:r>
              <w:rPr>
                <w:rFonts w:ascii="Courier New" w:cs="Courier New" w:eastAsia="Courier New" w:hAnsi="Courier New"/>
                <w:sz w:val="15"/>
                <w:szCs w:val="15"/>
                <w:color w:val="auto"/>
              </w:rPr>
              <w:t>EXHIBIT 21.1</w:t>
            </w:r>
          </w:p>
        </w:tc>
        <w:tc>
          <w:tcPr>
            <w:tcW w:w="1560" w:type="dxa"/>
            <w:vAlign w:val="bottom"/>
          </w:tcPr>
          <w:p>
            <w:pPr>
              <w:spacing w:after="0"/>
              <w:rPr>
                <w:sz w:val="14"/>
                <w:szCs w:val="14"/>
                <w:color w:val="auto"/>
              </w:rPr>
            </w:pP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Subsidiaries of Registrant</w:t>
            </w:r>
          </w:p>
        </w:tc>
        <w:tc>
          <w:tcPr>
            <w:tcW w:w="2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as of 10/31/00</w:t>
            </w:r>
          </w:p>
        </w:tc>
        <w:tc>
          <w:tcPr>
            <w:tcW w:w="2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83"/>
        </w:trPr>
        <w:tc>
          <w:tcPr>
            <w:tcW w:w="5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Percentage</w:t>
            </w:r>
          </w:p>
        </w:tc>
      </w:tr>
      <w:tr>
        <w:trPr>
          <w:trHeight w:val="171"/>
        </w:trPr>
        <w:tc>
          <w:tcPr>
            <w:tcW w:w="5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of Voting</w:t>
            </w:r>
          </w:p>
        </w:tc>
      </w:tr>
      <w:tr>
        <w:trPr>
          <w:trHeight w:val="171"/>
        </w:trPr>
        <w:tc>
          <w:tcPr>
            <w:tcW w:w="5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Securities</w:t>
            </w:r>
          </w:p>
        </w:tc>
      </w:tr>
      <w:tr>
        <w:trPr>
          <w:trHeight w:val="171"/>
        </w:trPr>
        <w:tc>
          <w:tcPr>
            <w:tcW w:w="5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Owned by</w:t>
            </w:r>
          </w:p>
        </w:tc>
      </w:tr>
      <w:tr>
        <w:trPr>
          <w:trHeight w:val="171"/>
        </w:trPr>
        <w:tc>
          <w:tcPr>
            <w:tcW w:w="5800" w:type="dxa"/>
            <w:vAlign w:val="bottom"/>
          </w:tcPr>
          <w:p>
            <w:pPr>
              <w:spacing w:after="0"/>
              <w:rPr>
                <w:sz w:val="14"/>
                <w:szCs w:val="14"/>
                <w:color w:val="auto"/>
              </w:rPr>
            </w:pPr>
          </w:p>
        </w:tc>
        <w:tc>
          <w:tcPr>
            <w:tcW w:w="2840" w:type="dxa"/>
            <w:vAlign w:val="bottom"/>
          </w:tcPr>
          <w:p>
            <w:pPr>
              <w:ind w:left="1120"/>
              <w:spacing w:after="0"/>
              <w:rPr>
                <w:sz w:val="20"/>
                <w:szCs w:val="20"/>
                <w:color w:val="auto"/>
              </w:rPr>
            </w:pPr>
            <w:r>
              <w:rPr>
                <w:rFonts w:ascii="Courier New" w:cs="Courier New" w:eastAsia="Courier New" w:hAnsi="Courier New"/>
                <w:sz w:val="15"/>
                <w:szCs w:val="15"/>
                <w:color w:val="auto"/>
              </w:rPr>
              <w:t>State of</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Immediate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840" w:type="dxa"/>
            <w:vAlign w:val="bottom"/>
          </w:tcPr>
          <w:p>
            <w:pPr>
              <w:ind w:left="940"/>
              <w:spacing w:after="0"/>
              <w:rPr>
                <w:sz w:val="20"/>
                <w:szCs w:val="20"/>
                <w:color w:val="auto"/>
              </w:rPr>
            </w:pPr>
            <w:r>
              <w:rPr>
                <w:rFonts w:ascii="Courier New" w:cs="Courier New" w:eastAsia="Courier New" w:hAnsi="Courier New"/>
                <w:sz w:val="15"/>
                <w:szCs w:val="15"/>
                <w:color w:val="auto"/>
              </w:rPr>
              <w:t>Incorporation</w:t>
            </w: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Parent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4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ABM Industries Incorporated</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Delaware</w:t>
            </w: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Registrant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   ABM Engineering Services Company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ABM Family of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ABM Janitorial Services -- Northern California</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ABM Janitorial Services -- Southern California*</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ABM Janitorial Services Co., Ltd.</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British Columbia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of  Boston*</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of Georgia</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of Kentucky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of Illinois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of New York</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Service Company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of Utah*</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 -- West</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Canadian Building Maintenance Co., Ltd.</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British Columbia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Supreme Building Maintenance, Ltd.</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British Columbia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Commercial Property Services,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Bonded Maintenance Company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Texas</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Servall Services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Texas</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Building Maintenance Co.</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Public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Easterday Janitorial Supply Company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American Security and Investigative Services,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780"/>
              <w:spacing w:after="0"/>
              <w:rPr>
                <w:sz w:val="20"/>
                <w:szCs w:val="20"/>
                <w:color w:val="auto"/>
              </w:rPr>
            </w:pPr>
            <w:r>
              <w:rPr>
                <w:rFonts w:ascii="Courier New" w:cs="Courier New" w:eastAsia="Courier New" w:hAnsi="Courier New"/>
                <w:sz w:val="15"/>
                <w:szCs w:val="15"/>
                <w:color w:val="auto"/>
              </w:rPr>
              <w:t>ABMI Investigative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780"/>
              <w:spacing w:after="0"/>
              <w:rPr>
                <w:sz w:val="20"/>
                <w:szCs w:val="20"/>
                <w:color w:val="auto"/>
              </w:rPr>
            </w:pPr>
            <w:r>
              <w:rPr>
                <w:rFonts w:ascii="Courier New" w:cs="Courier New" w:eastAsia="Courier New" w:hAnsi="Courier New"/>
                <w:sz w:val="15"/>
                <w:szCs w:val="15"/>
                <w:color w:val="auto"/>
              </w:rPr>
              <w:t>ABMI Security Services,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780"/>
              <w:spacing w:after="0"/>
              <w:rPr>
                <w:sz w:val="20"/>
                <w:szCs w:val="20"/>
                <w:color w:val="auto"/>
              </w:rPr>
            </w:pPr>
            <w:r>
              <w:rPr>
                <w:rFonts w:ascii="Courier New" w:cs="Courier New" w:eastAsia="Courier New" w:hAnsi="Courier New"/>
                <w:sz w:val="15"/>
                <w:szCs w:val="15"/>
                <w:color w:val="auto"/>
              </w:rPr>
              <w:t>American Commercial Security Services,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Amtech Lighting Services of the Northeast.</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ABM Facility Services Company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Amtech Energy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Amtech Lighting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Amtech Lighting Services of Illinois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CommAir Mechanical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Amtech Elevator Services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Amtech Reliable Elevator Company of Texas*</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Texas</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ABM Engineering Services Company</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Bradford Building Services,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Commercial Air Conditioning of Northern California,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Accurate Janitor Service,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Ampco System Parking</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Beehive Parking,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Utah</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System Parking,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5800" w:type="dxa"/>
            <w:vAlign w:val="bottom"/>
          </w:tcPr>
          <w:p>
            <w:pPr>
              <w:ind w:left="520"/>
              <w:spacing w:after="0"/>
              <w:rPr>
                <w:sz w:val="20"/>
                <w:szCs w:val="20"/>
                <w:color w:val="auto"/>
              </w:rPr>
            </w:pPr>
            <w:r>
              <w:rPr>
                <w:rFonts w:ascii="Courier New" w:cs="Courier New" w:eastAsia="Courier New" w:hAnsi="Courier New"/>
                <w:sz w:val="15"/>
                <w:szCs w:val="15"/>
                <w:color w:val="auto"/>
              </w:rPr>
              <w:t>Towel and Linen Service, Inc.*</w:t>
            </w:r>
          </w:p>
        </w:tc>
        <w:tc>
          <w:tcPr>
            <w:tcW w:w="2840" w:type="dxa"/>
            <w:vAlign w:val="bottom"/>
          </w:tcPr>
          <w:p>
            <w:pPr>
              <w:ind w:left="1020"/>
              <w:spacing w:after="0"/>
              <w:rPr>
                <w:sz w:val="20"/>
                <w:szCs w:val="20"/>
                <w:color w:val="auto"/>
              </w:rPr>
            </w:pPr>
            <w:r>
              <w:rPr>
                <w:rFonts w:ascii="Courier New" w:cs="Courier New" w:eastAsia="Courier New" w:hAnsi="Courier New"/>
                <w:sz w:val="15"/>
                <w:szCs w:val="15"/>
                <w:color w:val="auto"/>
              </w:rPr>
              <w:t>California</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100%</w:t>
            </w:r>
          </w:p>
        </w:tc>
      </w:tr>
    </w:tbl>
    <w:p>
      <w:pPr>
        <w:sectPr>
          <w:pgSz w:w="11900" w:h="16838" w:orient="portrait"/>
          <w:cols w:equalWidth="0" w:num="1">
            <w:col w:w="10219"/>
          </w:cols>
          <w:pgMar w:left="240" w:top="139" w:right="1440" w:bottom="1440" w:gutter="0" w:footer="0" w:header="0"/>
        </w:sectPr>
      </w:pPr>
    </w:p>
    <w:bookmarkStart w:id="42" w:name="page43"/>
    <w:bookmarkEnd w:id="42"/>
    <w:p>
      <w:pPr>
        <w:ind w:left="269"/>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529" w:right="3399" w:hanging="529"/>
        <w:spacing w:after="0" w:line="238" w:lineRule="auto"/>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relationship to registrant or to subsidiary parents shown by progressive indentation.</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Inactive companies.</w:t>
      </w:r>
    </w:p>
    <w:p>
      <w:pPr>
        <w:sectPr>
          <w:pgSz w:w="11900" w:h="16838" w:orient="portrait"/>
          <w:cols w:equalWidth="0" w:num="1">
            <w:col w:w="10228"/>
          </w:cols>
          <w:pgMar w:left="231" w:top="287" w:right="1440" w:bottom="1440" w:gutter="0" w:footer="0" w:header="0"/>
        </w:sectPr>
      </w:pPr>
    </w:p>
    <w:bookmarkStart w:id="43" w:name="page44"/>
    <w:bookmarkEnd w:id="43"/>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342"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consent to incorporation by reference in the following Registration Statements on Form S-8 of ABM Industries Incorporated of our report dated December 18, 2000, relating to the consolidated balance sheets of ABM Industries Incorporated and subsidiaries as of October 31, 1999 and 2000, and the related consolidated statements of income, stockholders' equity and comprehensive income, and cash flows for each of the years in the three-year period ended October 31, 2000, and related financial statement schedule II, which report appears in the October 31, 2000, annual report on Form 10-K of ABM Industries Incorporated.</w:t>
      </w:r>
    </w:p>
    <w:p>
      <w:pPr>
        <w:spacing w:after="0" w:line="200" w:lineRule="exact"/>
        <w:rPr>
          <w:sz w:val="20"/>
          <w:szCs w:val="20"/>
          <w:color w:val="auto"/>
        </w:rPr>
      </w:pP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Registration No.</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Form</w:t>
            </w:r>
          </w:p>
        </w:tc>
        <w:tc>
          <w:tcPr>
            <w:tcW w:w="4400" w:type="dxa"/>
            <w:vAlign w:val="bottom"/>
          </w:tcPr>
          <w:p>
            <w:pPr>
              <w:ind w:left="500"/>
              <w:spacing w:after="0"/>
              <w:rPr>
                <w:sz w:val="20"/>
                <w:szCs w:val="20"/>
                <w:color w:val="auto"/>
              </w:rPr>
            </w:pPr>
            <w:r>
              <w:rPr>
                <w:rFonts w:ascii="Courier New" w:cs="Courier New" w:eastAsia="Courier New" w:hAnsi="Courier New"/>
                <w:sz w:val="15"/>
                <w:szCs w:val="15"/>
                <w:color w:val="auto"/>
              </w:rPr>
              <w:t>Plan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44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r>
      <w:tr>
        <w:trPr>
          <w:trHeight w:val="3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2-86666</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S-8</w:t>
            </w:r>
          </w:p>
        </w:tc>
        <w:tc>
          <w:tcPr>
            <w:tcW w:w="4400" w:type="dxa"/>
            <w:vAlign w:val="bottom"/>
          </w:tcPr>
          <w:p>
            <w:pPr>
              <w:ind w:left="500"/>
              <w:spacing w:after="0"/>
              <w:rPr>
                <w:sz w:val="20"/>
                <w:szCs w:val="20"/>
                <w:color w:val="auto"/>
              </w:rPr>
            </w:pPr>
            <w:r>
              <w:rPr>
                <w:rFonts w:ascii="Courier New" w:cs="Courier New" w:eastAsia="Courier New" w:hAnsi="Courier New"/>
                <w:sz w:val="15"/>
                <w:szCs w:val="15"/>
                <w:color w:val="auto"/>
              </w:rPr>
              <w:t>"Age-Vested" Career Stock Option Plan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333-78425</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S-8</w:t>
            </w:r>
          </w:p>
        </w:tc>
        <w:tc>
          <w:tcPr>
            <w:tcW w:w="4400" w:type="dxa"/>
            <w:vAlign w:val="bottom"/>
          </w:tcPr>
          <w:p>
            <w:pPr>
              <w:ind w:left="500"/>
              <w:spacing w:after="0"/>
              <w:rPr>
                <w:sz w:val="20"/>
                <w:szCs w:val="20"/>
                <w:color w:val="auto"/>
              </w:rPr>
            </w:pPr>
            <w:r>
              <w:rPr>
                <w:rFonts w:ascii="Courier New" w:cs="Courier New" w:eastAsia="Courier New" w:hAnsi="Courier New"/>
                <w:sz w:val="15"/>
                <w:szCs w:val="15"/>
                <w:color w:val="auto"/>
              </w:rPr>
              <w:t>1985 Employee Stock Purchase Plan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33-14269</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S-8</w:t>
            </w:r>
          </w:p>
        </w:tc>
        <w:tc>
          <w:tcPr>
            <w:tcW w:w="4400" w:type="dxa"/>
            <w:vAlign w:val="bottom"/>
          </w:tcPr>
          <w:p>
            <w:pPr>
              <w:ind w:left="500"/>
              <w:spacing w:after="0"/>
              <w:rPr>
                <w:sz w:val="20"/>
                <w:szCs w:val="20"/>
                <w:color w:val="auto"/>
              </w:rPr>
            </w:pPr>
            <w:r>
              <w:rPr>
                <w:rFonts w:ascii="Courier New" w:cs="Courier New" w:eastAsia="Courier New" w:hAnsi="Courier New"/>
                <w:sz w:val="15"/>
                <w:szCs w:val="15"/>
                <w:color w:val="auto"/>
              </w:rPr>
              <w:t>"Time-Vested" Incentive Stock Option Plan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333-48857</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S-8</w:t>
            </w:r>
          </w:p>
        </w:tc>
        <w:tc>
          <w:tcPr>
            <w:tcW w:w="4400" w:type="dxa"/>
            <w:vAlign w:val="bottom"/>
          </w:tcPr>
          <w:p>
            <w:pPr>
              <w:ind w:left="500"/>
              <w:spacing w:after="0"/>
              <w:rPr>
                <w:sz w:val="20"/>
                <w:szCs w:val="20"/>
                <w:color w:val="auto"/>
              </w:rPr>
            </w:pPr>
            <w:r>
              <w:rPr>
                <w:rFonts w:ascii="Courier New" w:cs="Courier New" w:eastAsia="Courier New" w:hAnsi="Courier New"/>
                <w:sz w:val="15"/>
                <w:szCs w:val="15"/>
                <w:color w:val="auto"/>
                <w:w w:val="97"/>
              </w:rPr>
              <w:t>"Price-Vested" Performance Stock Option Plan</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KPMG LLP</w:t>
      </w:r>
    </w:p>
    <w:p>
      <w:pPr>
        <w:spacing w:after="0" w:line="1" w:lineRule="exact"/>
        <w:rPr>
          <w:sz w:val="20"/>
          <w:szCs w:val="20"/>
          <w:color w:val="auto"/>
        </w:rPr>
      </w:pPr>
    </w:p>
    <w:p>
      <w:pPr>
        <w:ind w:left="169" w:hanging="169"/>
        <w:spacing w:after="0"/>
        <w:tabs>
          <w:tab w:leader="none" w:pos="16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San Francisco, California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26, 2001</w:t>
      </w:r>
    </w:p>
    <w:p>
      <w:pPr>
        <w:sectPr>
          <w:pgSz w:w="11900" w:h="16838" w:orient="portrait"/>
          <w:cols w:equalWidth="0" w:num="1">
            <w:col w:w="10228"/>
          </w:cols>
          <w:pgMar w:left="231" w:top="139"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OCT-31-2000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OCT-31-2000</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2,000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369,005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8,825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25,513</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436,819</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106,487</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65,753</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641,985</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212,620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36,811</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6,400</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230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316,079</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641,985</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1,807,557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1,807,557</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1,573,998</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1,573,998</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157,546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2,971</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3,320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72,693</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28,350</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44,343</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44,343</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1.94</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1.85</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6"/>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5"/>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lowerLetter"/>
      <w:start w:val="1"/>
    </w:lvl>
    <w:lvl w:ilvl="1">
      <w:lvlJc w:val="left"/>
      <w:lvlText w:val="%2."/>
      <w:numFmt w:val="decimal"/>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7"/>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2019-12-13T15:37:29Z</dcterms:created>
  <dcterms:modified xsi:type="dcterms:W3CDTF">2019-12-13T15:37:29Z</dcterms:modified>
</cp:coreProperties>
</file>