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443"/>
          </w:cols>
          <w:pgMar w:left="240" w:top="226" w:right="1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gridSpan w:val="8"/>
          </w:tcPr>
          <w:p>
            <w:pPr>
              <w:ind w:left="4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7"/>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40"/>
              <w:spacing w:after="0" w:line="181" w:lineRule="exact"/>
              <w:rPr>
                <w:sz w:val="20"/>
                <w:szCs w:val="20"/>
                <w:color w:val="auto"/>
              </w:rPr>
            </w:pPr>
            <w:r>
              <w:rPr>
                <w:rFonts w:ascii="Arial" w:cs="Arial" w:eastAsia="Arial" w:hAnsi="Arial"/>
                <w:sz w:val="18"/>
                <w:szCs w:val="18"/>
                <w:color w:val="0000FF"/>
              </w:rPr>
              <w:t>04/10/2017</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0"/>
              </w:rPr>
              <w:t>Person</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880"/>
              <w:spacing w:after="0"/>
              <w:rPr>
                <w:sz w:val="20"/>
                <w:szCs w:val="20"/>
                <w:color w:val="auto"/>
              </w:rPr>
            </w:pPr>
            <w:r>
              <w:rPr>
                <w:rFonts w:ascii="Arial" w:cs="Arial" w:eastAsia="Arial" w:hAnsi="Arial"/>
                <w:sz w:val="18"/>
                <w:szCs w:val="18"/>
                <w:color w:val="0000FF"/>
              </w:rPr>
              <w:t>04/10/2017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950</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2"/>
          </w:tcPr>
          <w:p>
            <w:pPr>
              <w:jc w:val="center"/>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w:t>
            </w:r>
          </w:p>
        </w:tc>
        <w:tc>
          <w:tcPr>
            <w:tcW w:w="126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16,541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880"/>
              <w:spacing w:after="0"/>
              <w:rPr>
                <w:sz w:val="20"/>
                <w:szCs w:val="20"/>
                <w:color w:val="auto"/>
              </w:rPr>
            </w:pPr>
            <w:r>
              <w:rPr>
                <w:rFonts w:ascii="Arial" w:cs="Arial" w:eastAsia="Arial" w:hAnsi="Arial"/>
                <w:sz w:val="18"/>
                <w:szCs w:val="18"/>
                <w:color w:val="0000FF"/>
              </w:rPr>
              <w:t>04/10/2017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3"/>
              </w:rPr>
              <w:t>950</w:t>
            </w:r>
          </w:p>
        </w:tc>
        <w:tc>
          <w:tcPr>
            <w:tcW w:w="6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41.88</w:t>
            </w:r>
          </w:p>
        </w:tc>
        <w:tc>
          <w:tcPr>
            <w:tcW w:w="126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rPr>
              <w:t>15,591</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25.3</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04/10/2017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0000FF"/>
                <w:w w:val="85"/>
              </w:rPr>
              <w:t>M</w:t>
            </w:r>
          </w:p>
        </w:tc>
        <w:tc>
          <w:tcPr>
            <w:tcW w:w="440" w:type="dxa"/>
            <w:vAlign w:val="bottom"/>
            <w:vMerge w:val="restart"/>
          </w:tcPr>
          <w:p>
            <w:pPr>
              <w:jc w:val="right"/>
              <w:ind w:right="229"/>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950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0000FF"/>
                <w:w w:val="99"/>
              </w:rPr>
              <w:t>09/06/2020</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950</w:t>
            </w:r>
          </w:p>
        </w:tc>
        <w:tc>
          <w:tcPr>
            <w:tcW w:w="22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60"/>
              <w:spacing w:after="0"/>
              <w:rPr>
                <w:sz w:val="20"/>
                <w:szCs w:val="20"/>
                <w:color w:val="auto"/>
              </w:rPr>
            </w:pPr>
            <w:r>
              <w:rPr>
                <w:rFonts w:ascii="Arial" w:cs="Arial" w:eastAsia="Arial" w:hAnsi="Arial"/>
                <w:sz w:val="14"/>
                <w:szCs w:val="14"/>
                <w:color w:val="0000FF"/>
              </w:rPr>
              <w:t>4,340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Options</w:t>
            </w:r>
            <w:r>
              <w:rPr>
                <w:rFonts w:ascii="Arial" w:cs="Arial" w:eastAsia="Arial" w:hAnsi="Arial"/>
                <w:sz w:val="22"/>
                <w:szCs w:val="22"/>
                <w:color w:val="008000"/>
                <w:w w:val="96"/>
                <w:vertAlign w:val="superscript"/>
              </w:rPr>
              <w:t>(4)</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of shares reported in this Form 4 were previously reported on a Form 4 filed on 4/10/17. However, the related option exercise (which was a broker-assisted cashless exercise resulting in the sale of the shares exercised) was mistakenly omitted from the prior Form 4, and so this amendment is being filed to add the option exercise.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11,664 RSUs and DERS relating to the RSUs, adjusted to reflect the cumulative effect of fractional shares, 1,635 performance shares earned but not vested with respect to TSR performance shares granted on 9/8/2014, 460 performance shares earned but not vested with respect to performance shares granted on 1/15/2015, and DERs related thereto.</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options granted under the 2006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 exercisable on 9/6/2014 and 25% on the anniversary date of the following three years.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04/25/2017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2019-12-23T21:43:46Z</dcterms:created>
  <dcterms:modified xsi:type="dcterms:W3CDTF">2019-12-23T21:43:46Z</dcterms:modified>
</cp:coreProperties>
</file>