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133350</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161290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spacing w:after="0"/>
        <w:tabs>
          <w:tab w:leader="none" w:pos="764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8"/>
          <w:szCs w:val="18"/>
          <w:color w:val="auto"/>
        </w:rPr>
        <w:t>January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7620</wp:posOffset>
            </wp:positionV>
            <wp:extent cx="391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153035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142240</wp:posOffset>
            </wp:positionV>
            <wp:extent cx="4347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tcPr>
          <w:p>
            <w:pPr>
              <w:jc w:val="center"/>
              <w:ind w:right="482"/>
              <w:spacing w:after="0"/>
              <w:rPr>
                <w:sz w:val="20"/>
                <w:szCs w:val="20"/>
                <w:color w:val="auto"/>
              </w:rPr>
            </w:pPr>
            <w:r>
              <w:rPr>
                <w:rFonts w:ascii="Arial" w:cs="Arial" w:eastAsia="Arial" w:hAnsi="Arial"/>
                <w:sz w:val="18"/>
                <w:szCs w:val="18"/>
                <w:b w:val="1"/>
                <w:bCs w:val="1"/>
                <w:color w:val="auto"/>
                <w:w w:val="89"/>
              </w:rPr>
              <w:t>1-8929</w:t>
            </w:r>
          </w:p>
        </w:tc>
        <w:tc>
          <w:tcPr>
            <w:tcW w:w="452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91"/>
              </w:rPr>
              <w:t>94-1369354</w:t>
            </w:r>
          </w:p>
        </w:tc>
      </w:tr>
      <w:tr>
        <w:trPr>
          <w:trHeight w:val="123"/>
        </w:trPr>
        <w:tc>
          <w:tcPr>
            <w:tcW w:w="20" w:type="dxa"/>
            <w:vAlign w:val="bottom"/>
          </w:tcPr>
          <w:p>
            <w:pPr>
              <w:spacing w:after="0"/>
              <w:rPr>
                <w:sz w:val="10"/>
                <w:szCs w:val="10"/>
                <w:color w:val="auto"/>
              </w:rPr>
            </w:pPr>
          </w:p>
        </w:tc>
        <w:tc>
          <w:tcPr>
            <w:tcW w:w="3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(State or other jurisdiction</w:t>
            </w: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jc w:val="center"/>
              <w:ind w:right="502"/>
              <w:spacing w:after="0" w:line="123" w:lineRule="exact"/>
              <w:rPr>
                <w:sz w:val="20"/>
                <w:szCs w:val="20"/>
                <w:color w:val="auto"/>
              </w:rPr>
            </w:pPr>
            <w:r>
              <w:rPr>
                <w:rFonts w:ascii="Arial" w:cs="Arial" w:eastAsia="Arial" w:hAnsi="Arial"/>
                <w:sz w:val="14"/>
                <w:szCs w:val="14"/>
                <w:color w:val="auto"/>
                <w:w w:val="96"/>
              </w:rPr>
              <w:t>(Commission File</w:t>
            </w: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tcPr>
          <w:p>
            <w:pPr>
              <w:jc w:val="center"/>
              <w:ind w:right="48"/>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20" w:type="dxa"/>
            <w:vAlign w:val="bottom"/>
          </w:tcPr>
          <w:p>
            <w:pPr>
              <w:spacing w:after="0"/>
              <w:rPr>
                <w:sz w:val="15"/>
                <w:szCs w:val="15"/>
                <w:color w:val="auto"/>
              </w:rPr>
            </w:pPr>
          </w:p>
        </w:tc>
        <w:tc>
          <w:tcPr>
            <w:tcW w:w="5100" w:type="dxa"/>
            <w:vAlign w:val="bottom"/>
            <w:gridSpan w:val="4"/>
          </w:tcPr>
          <w:p>
            <w:pPr>
              <w:jc w:val="center"/>
              <w:ind w:right="1480"/>
              <w:spacing w:after="0"/>
              <w:rPr>
                <w:sz w:val="20"/>
                <w:szCs w:val="20"/>
                <w:color w:val="auto"/>
              </w:rPr>
            </w:pPr>
            <w:r>
              <w:rPr>
                <w:rFonts w:ascii="Arial" w:cs="Arial" w:eastAsia="Arial" w:hAnsi="Arial"/>
                <w:sz w:val="14"/>
                <w:szCs w:val="14"/>
                <w:color w:val="auto"/>
                <w:w w:val="96"/>
              </w:rPr>
              <w:t>of incorporation)</w:t>
            </w:r>
          </w:p>
        </w:tc>
        <w:tc>
          <w:tcPr>
            <w:tcW w:w="1780" w:type="dxa"/>
            <w:vAlign w:val="bottom"/>
          </w:tcPr>
          <w:p>
            <w:pPr>
              <w:jc w:val="center"/>
              <w:ind w:right="502"/>
              <w:spacing w:after="0"/>
              <w:rPr>
                <w:sz w:val="20"/>
                <w:szCs w:val="20"/>
                <w:color w:val="auto"/>
              </w:rPr>
            </w:pPr>
            <w:r>
              <w:rPr>
                <w:rFonts w:ascii="Arial" w:cs="Arial" w:eastAsia="Arial" w:hAnsi="Arial"/>
                <w:sz w:val="14"/>
                <w:szCs w:val="14"/>
                <w:color w:val="auto"/>
                <w:w w:val="95"/>
              </w:rPr>
              <w:t>Number)</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jc w:val="center"/>
              <w:ind w:right="48"/>
              <w:spacing w:after="0"/>
              <w:rPr>
                <w:sz w:val="20"/>
                <w:szCs w:val="20"/>
                <w:color w:val="auto"/>
              </w:rPr>
            </w:pPr>
            <w:r>
              <w:rPr>
                <w:rFonts w:ascii="Arial" w:cs="Arial" w:eastAsia="Arial" w:hAnsi="Arial"/>
                <w:sz w:val="14"/>
                <w:szCs w:val="14"/>
                <w:color w:val="auto"/>
                <w:w w:val="99"/>
              </w:rPr>
              <w:t>Identification No.)</w:t>
            </w:r>
          </w:p>
        </w:tc>
      </w:tr>
      <w:tr>
        <w:trPr>
          <w:trHeight w:val="417"/>
        </w:trPr>
        <w:tc>
          <w:tcPr>
            <w:tcW w:w="20" w:type="dxa"/>
            <w:vAlign w:val="bottom"/>
          </w:tcPr>
          <w:p>
            <w:pPr>
              <w:spacing w:after="0"/>
              <w:rPr>
                <w:sz w:val="24"/>
                <w:szCs w:val="24"/>
                <w:color w:val="auto"/>
              </w:rPr>
            </w:pPr>
          </w:p>
        </w:tc>
        <w:tc>
          <w:tcPr>
            <w:tcW w:w="6880" w:type="dxa"/>
            <w:vAlign w:val="bottom"/>
            <w:gridSpan w:val="5"/>
          </w:tcPr>
          <w:p>
            <w:pPr>
              <w:jc w:val="center"/>
              <w:ind w:left="801"/>
              <w:spacing w:after="0"/>
              <w:rPr>
                <w:sz w:val="20"/>
                <w:szCs w:val="20"/>
                <w:color w:val="auto"/>
              </w:rPr>
            </w:pPr>
            <w:r>
              <w:rPr>
                <w:rFonts w:ascii="Arial" w:cs="Arial" w:eastAsia="Arial" w:hAnsi="Arial"/>
                <w:sz w:val="18"/>
                <w:szCs w:val="18"/>
                <w:b w:val="1"/>
                <w:bCs w:val="1"/>
                <w:color w:val="auto"/>
                <w:w w:val="93"/>
              </w:rPr>
              <w:t>One Liberty Plaza, New York, New York</w:t>
            </w:r>
          </w:p>
        </w:tc>
        <w:tc>
          <w:tcPr>
            <w:tcW w:w="4520" w:type="dxa"/>
            <w:vAlign w:val="bottom"/>
            <w:gridSpan w:val="4"/>
          </w:tcPr>
          <w:p>
            <w:pPr>
              <w:jc w:val="right"/>
              <w:ind w:right="1468"/>
              <w:spacing w:after="0"/>
              <w:rPr>
                <w:sz w:val="20"/>
                <w:szCs w:val="20"/>
                <w:color w:val="auto"/>
              </w:rPr>
            </w:pPr>
            <w:r>
              <w:rPr>
                <w:rFonts w:ascii="Arial" w:cs="Arial" w:eastAsia="Arial" w:hAnsi="Arial"/>
                <w:sz w:val="18"/>
                <w:szCs w:val="18"/>
                <w:b w:val="1"/>
                <w:bCs w:val="1"/>
                <w:color w:val="auto"/>
              </w:rPr>
              <w:t>10006</w:t>
            </w:r>
          </w:p>
        </w:tc>
      </w:tr>
      <w:tr>
        <w:trPr>
          <w:trHeight w:val="176"/>
        </w:trPr>
        <w:tc>
          <w:tcPr>
            <w:tcW w:w="20" w:type="dxa"/>
            <w:vAlign w:val="bottom"/>
          </w:tcPr>
          <w:p>
            <w:pPr>
              <w:spacing w:after="0"/>
              <w:rPr>
                <w:sz w:val="15"/>
                <w:szCs w:val="15"/>
                <w:color w:val="auto"/>
              </w:rPr>
            </w:pPr>
          </w:p>
        </w:tc>
        <w:tc>
          <w:tcPr>
            <w:tcW w:w="5100" w:type="dxa"/>
            <w:vAlign w:val="bottom"/>
            <w:tcBorders>
              <w:top w:val="single" w:sz="8" w:color="auto"/>
            </w:tcBorders>
            <w:gridSpan w:val="4"/>
          </w:tcPr>
          <w:p>
            <w:pPr>
              <w:jc w:val="center"/>
              <w:ind w:left="2561"/>
              <w:spacing w:after="0"/>
              <w:rPr>
                <w:sz w:val="20"/>
                <w:szCs w:val="20"/>
                <w:color w:val="auto"/>
              </w:rPr>
            </w:pPr>
            <w:r>
              <w:rPr>
                <w:rFonts w:ascii="Arial" w:cs="Arial" w:eastAsia="Arial" w:hAnsi="Arial"/>
                <w:sz w:val="14"/>
                <w:szCs w:val="14"/>
                <w:color w:val="auto"/>
                <w:w w:val="95"/>
              </w:rPr>
              <w:t>(Address of principal executive offices)</w:t>
            </w:r>
          </w:p>
        </w:tc>
        <w:tc>
          <w:tcPr>
            <w:tcW w:w="17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r>
        <w:trPr>
          <w:trHeight w:val="398"/>
        </w:trPr>
        <w:tc>
          <w:tcPr>
            <w:tcW w:w="4800" w:type="dxa"/>
            <w:vAlign w:val="bottom"/>
            <w:gridSpan w:val="4"/>
          </w:tcPr>
          <w:p>
            <w:pPr>
              <w:jc w:val="center"/>
              <w:ind w:right="1100"/>
              <w:spacing w:after="0"/>
              <w:rPr>
                <w:sz w:val="20"/>
                <w:szCs w:val="20"/>
                <w:color w:val="auto"/>
              </w:rPr>
            </w:pPr>
            <w:r>
              <w:rPr>
                <w:rFonts w:ascii="Arial" w:cs="Arial" w:eastAsia="Arial" w:hAnsi="Arial"/>
                <w:sz w:val="18"/>
                <w:szCs w:val="18"/>
                <w:color w:val="auto"/>
                <w:w w:val="89"/>
              </w:rPr>
              <w:t>Registrant’s telephone number, including area code</w:t>
            </w: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4"/>
          </w:tcPr>
          <w:p>
            <w:pPr>
              <w:jc w:val="right"/>
              <w:ind w:right="2668"/>
              <w:spacing w:after="0"/>
              <w:rPr>
                <w:sz w:val="20"/>
                <w:szCs w:val="20"/>
                <w:color w:val="auto"/>
              </w:rPr>
            </w:pPr>
            <w:r>
              <w:rPr>
                <w:rFonts w:ascii="Arial" w:cs="Arial" w:eastAsia="Arial" w:hAnsi="Arial"/>
                <w:sz w:val="18"/>
                <w:szCs w:val="18"/>
                <w:b w:val="1"/>
                <w:bCs w:val="1"/>
                <w:color w:val="auto"/>
              </w:rPr>
              <w:t>(212) 297-0200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137795</wp:posOffset>
            </wp:positionV>
            <wp:extent cx="4347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6, 2017, ABM Industries Incorporated (the “Company”) entered into an amendment (the “Seventh Amendment”) to the Credit Agreement dated as of November 30, 2010, with Bank of America, N.A., as administrative agent, swing line lender, and letter of credit issuer, and with the other lender parties thereto. The Seventh Amendment amends, among other things, the definition of Consolidated EBITDA to provide addbacks for certain charges (cash and non-cash), including any reserves, taken in connection with certain litigation. Capitalized terms not defined herein have the meanings set forth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ABM INDUSTRIES INCORPORATED</w:t>
            </w:r>
          </w:p>
        </w:tc>
      </w:tr>
      <w:tr>
        <w:trPr>
          <w:trHeight w:val="392"/>
        </w:trPr>
        <w:tc>
          <w:tcPr>
            <w:tcW w:w="3740" w:type="dxa"/>
            <w:vAlign w:val="bottom"/>
            <w:gridSpan w:val="3"/>
          </w:tcPr>
          <w:p>
            <w:pPr>
              <w:spacing w:after="0"/>
              <w:rPr>
                <w:sz w:val="20"/>
                <w:szCs w:val="20"/>
                <w:color w:val="auto"/>
              </w:rPr>
            </w:pPr>
            <w:r>
              <w:rPr>
                <w:rFonts w:ascii="Arial" w:cs="Arial" w:eastAsia="Arial" w:hAnsi="Arial"/>
                <w:sz w:val="18"/>
                <w:szCs w:val="18"/>
                <w:color w:val="auto"/>
              </w:rPr>
              <w:t>Dated: January 11, 2017</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Barbara L. Smithers</w:t>
            </w:r>
          </w:p>
        </w:tc>
      </w:tr>
      <w:tr>
        <w:trPr>
          <w:trHeight w:val="21"/>
        </w:trPr>
        <w:tc>
          <w:tcPr>
            <w:tcW w:w="5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Barbara L. Smithers</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Deputy General Counsel</w:t>
            </w:r>
          </w:p>
        </w:tc>
      </w:tr>
      <w:tr>
        <w:trPr>
          <w:trHeight w:val="675"/>
        </w:trPr>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2019-12-05T12:54:03Z</dcterms:created>
  <dcterms:modified xsi:type="dcterms:W3CDTF">2019-12-05T12:54:03Z</dcterms:modified>
</cp:coreProperties>
</file>