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551 FIFTH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937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sales reported on this Form 4 were effected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9,107 RSUs, adjusted to reflect the cumulative effect of fractional shares, 1,457 performance shares earned but not vested with respect to performance shares granted on 1/14/2014, 397 performance shares earned but not vested with respect to performance shares granted on 1/15/2015, 376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2019-12-23T21:43:17Z</dcterms:created>
  <dcterms:modified xsi:type="dcterms:W3CDTF">2019-12-23T21:43:17Z</dcterms:modified>
</cp:coreProperties>
</file>