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10176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08/02/2010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7"/>
              </w:rPr>
              <w:t>348</w:t>
            </w:r>
            <w:r>
              <w:rPr>
                <w:rFonts w:ascii="Arial" w:cs="Arial" w:eastAsia="Arial" w:hAnsi="Arial"/>
                <w:sz w:val="22"/>
                <w:szCs w:val="22"/>
                <w:color w:val="008000"/>
                <w:w w:val="87"/>
                <w:vertAlign w:val="superscript"/>
              </w:rPr>
              <w:t>(1)</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21.96</w:t>
            </w:r>
          </w:p>
        </w:tc>
        <w:tc>
          <w:tcPr>
            <w:tcW w:w="126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140,884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3"/>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104</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7"/>
              </w:rPr>
              <w:t>Equivalent</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08/02/2010</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5"/>
                <w:szCs w:val="5"/>
                <w:color w:val="auto"/>
              </w:rPr>
            </w:pPr>
          </w:p>
        </w:tc>
        <w:tc>
          <w:tcPr>
            <w:tcW w:w="82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104</w:t>
            </w: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7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104</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(RSUs) granted under the 2006 Equity Incentive Plan. DERs vest in the same manner as the RSUs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47,768 RSUs and DERs relating to the RSUs, adjusted to reflect the cumulative effect of fractional shares, and 9,366 performance shares earned but not vested with respect to performance shares granted on 1/12/2009 and DERs related thereto.</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DERs accrued on performance shares granted on 1/8/2008 under the 2006 Equity Incentive Plan. DERs vest in the same manner as the performance shares to which they relate. Each DER is the economic equivalent to one share of ABM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2019-12-17T04:37:48Z</dcterms:created>
  <dcterms:modified xsi:type="dcterms:W3CDTF">2019-12-17T04:37:48Z</dcterms:modified>
</cp:coreProperties>
</file>