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September 1, 2017</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1-8929</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94-1369354</w:t>
            </w:r>
          </w:p>
        </w:tc>
      </w:tr>
      <w:tr>
        <w:trPr>
          <w:trHeight w:val="195"/>
        </w:trPr>
        <w:tc>
          <w:tcPr>
            <w:tcW w:w="2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680" w:type="dxa"/>
            <w:vAlign w:val="bottom"/>
          </w:tcPr>
          <w:p>
            <w:pPr>
              <w:spacing w:after="0"/>
              <w:rPr>
                <w:sz w:val="16"/>
                <w:szCs w:val="16"/>
                <w:color w:val="auto"/>
              </w:rPr>
            </w:pPr>
          </w:p>
        </w:tc>
        <w:tc>
          <w:tcPr>
            <w:tcW w:w="320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(Commission File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410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of incorporation)</w:t>
            </w:r>
          </w:p>
        </w:tc>
        <w:tc>
          <w:tcPr>
            <w:tcW w:w="3880" w:type="dxa"/>
            <w:vAlign w:val="bottom"/>
            <w:gridSpan w:val="5"/>
          </w:tcPr>
          <w:p>
            <w:pPr>
              <w:jc w:val="center"/>
              <w:ind w:right="660"/>
              <w:spacing w:after="0"/>
              <w:rPr>
                <w:sz w:val="20"/>
                <w:szCs w:val="20"/>
                <w:color w:val="auto"/>
              </w:rPr>
            </w:pPr>
            <w:r>
              <w:rPr>
                <w:rFonts w:ascii="Arial" w:cs="Arial" w:eastAsia="Arial" w:hAnsi="Arial"/>
                <w:sz w:val="18"/>
                <w:szCs w:val="18"/>
                <w:color w:val="auto"/>
                <w:w w:val="94"/>
              </w:rPr>
              <w:t>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One Liberty Plaza, 7</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1"/>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New York, New York</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right"/>
              <w:ind w:right="1450"/>
              <w:spacing w:after="0"/>
              <w:rPr>
                <w:sz w:val="20"/>
                <w:szCs w:val="20"/>
                <w:color w:val="auto"/>
              </w:rPr>
            </w:pPr>
            <w:r>
              <w:rPr>
                <w:rFonts w:ascii="Arial" w:cs="Arial" w:eastAsia="Arial" w:hAnsi="Arial"/>
                <w:sz w:val="18"/>
                <w:szCs w:val="18"/>
                <w:b w:val="1"/>
                <w:bCs w:val="1"/>
                <w:color w:val="auto"/>
              </w:rPr>
              <w:t>10006</w:t>
            </w:r>
          </w:p>
        </w:tc>
      </w:tr>
      <w:tr>
        <w:trPr>
          <w:trHeight w:val="230"/>
        </w:trPr>
        <w:tc>
          <w:tcPr>
            <w:tcW w:w="20" w:type="dxa"/>
            <w:vAlign w:val="bottom"/>
          </w:tcPr>
          <w:p>
            <w:pPr>
              <w:spacing w:after="0"/>
              <w:rPr>
                <w:sz w:val="20"/>
                <w:szCs w:val="20"/>
                <w:color w:val="auto"/>
              </w:rPr>
            </w:pPr>
          </w:p>
        </w:tc>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1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418"/>
        </w:trPr>
        <w:tc>
          <w:tcPr>
            <w:tcW w:w="4120" w:type="dxa"/>
            <w:vAlign w:val="bottom"/>
            <w:gridSpan w:val="3"/>
          </w:tcPr>
          <w:p>
            <w:pPr>
              <w:spacing w:after="0"/>
              <w:rPr>
                <w:sz w:val="20"/>
                <w:szCs w:val="20"/>
                <w:color w:val="auto"/>
              </w:rPr>
            </w:pPr>
            <w:r>
              <w:rPr>
                <w:rFonts w:ascii="Arial" w:cs="Arial" w:eastAsia="Arial" w:hAnsi="Arial"/>
                <w:sz w:val="18"/>
                <w:szCs w:val="18"/>
                <w:color w:val="auto"/>
                <w:w w:val="99"/>
              </w:rPr>
              <w:t>Registrant’s telephone number, including area code</w:t>
            </w:r>
          </w:p>
        </w:tc>
        <w:tc>
          <w:tcPr>
            <w:tcW w:w="16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w w:val="90"/>
              </w:rPr>
              <w:t>(212) 297-0200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tabs>
          <w:tab w:leader="none" w:pos="26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60"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consummation of the Mergers pursuant to the Merger Agreement (each as defined and described in Item 2.01 below), on September 1, 2017, ABM Industries Incorporated (“ABM”) entered into a shareholders’ agreement (the “Shareholders’ Agreement”), dated September 1, 2017, with Thomas H. Lee Equity Fund VII, L.P., Thomas H. Lee Parallel Fund VII, L.P., Thomas H. Lee Parallel (Cayman) Fund VII, L.P., THL Executive Fund VII, L.P., THL Fund VII Coinvestment Partners, L.P., Broad Street Principal Investments Holdings, L.P., Bridge Street 2015, L.P., MBD 2015, L.P., Stone Street 2015, L.P., 2015 Employee Offshore Aggregator, L.P., and Goldman Sachs &amp; Co. LLC on behalf of certain managed accounts (collectively, the “THL and GS Shareholders”).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Shareholders’ Agreement sets forth provisions agreed to between ABM and the THL and GS Shareholders relating to, among other things, customary standstill and voting obligations, transfer restrictions and registration rights of the THL and GS Shareholders.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on September 1, 2017, in connection with the consummation of the Mergers, ABM refinanced and replaced our existing credit agreement dated November 30, 2010 with a new syndicated, senior secured credit facility (the “New Credit Agreement”) consisting of a $900 million revolving credit facility and a $800 million amortizing term loan facility with a five-year term. The revolving credit facility reduces to $800 million after one year and has an expiration date of September 1, 2022. Bank of America, N.A. is administrative agent under the New Credit Agreement.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ABM and Omni Serv Limited are the initial borrowers under the New Credit Agreement. Subject to certain limitations, we have the ability to designate additional borrowers. The obligations under the New Credit Agreement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New Credit Agreement bear interest at a rate equal to an applicable margin plus, at ABM’s option, either a (i) eurocurrency rate (generally LIBOR for USD, GBP or EUR borrowings) or (ii) base rate determined by reference to the highest of (1) the federal funds rate plus 0.50%, (2) the prime rate published by Bank of America, N.A. from time to time, and (3) the eurocurrency rate plus 1.00%. The applicable margin is a percentage per annum varying from zero to 1.25% for base rate loans and 1.00% to 2.25% for eurocurrency loans, based upon our total leverage ratio. We also pay a commitment fee, based on the total leverage ratio, payable quarterly in arrears, ranging from 0.200% to 0.350% on the average daily unused portion of the revolving credit facility.</w:t>
      </w:r>
    </w:p>
    <w:p>
      <w:pPr>
        <w:spacing w:after="0" w:line="19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New Credit Agreement contains certain financial covenants that include a maximum total leverage ratio of 4.75 to 1.00, which adjusts to 3.50 to 1.00 by July 2020, subject to certain conditions and exceptions, and a minimum fixed charge coverage ratio of 1.50 to 1.00. In addition, the New Credit Agreement includes negative covenants, subject to certain exceptions, restricting or limiting ABM’s and its restricted subsidiaries’ ability to, among other things: (i) incur indebtedness, (ii) create liens, (iii) participate in certain mergers and acquisitions, (iv) change the business of the Borrower and its restricted subsidiaries, (v) make certain loans and investments, (vi) make non-ordinary course dispositions of assets, (vii) enter into sale/leaseback transactions, (viii) make dividends and stock repurchases and optional redemptions (and optional prepayments) of subordinated debt, (ix) transact with affiliates, (x) enter into negative pledges or restrictions on the ability of restricted subsidiaries to pay dividends or make distributions and limitations, (xi) modify subordinated debt documents and</w:t>
      </w:r>
    </w:p>
    <w:p>
      <w:pPr>
        <w:spacing w:after="0" w:line="3" w:lineRule="exact"/>
        <w:rPr>
          <w:sz w:val="20"/>
          <w:szCs w:val="20"/>
          <w:color w:val="auto"/>
        </w:rPr>
      </w:pPr>
    </w:p>
    <w:p>
      <w:pPr>
        <w:ind w:right="40" w:firstLine="8"/>
        <w:spacing w:after="0" w:line="254" w:lineRule="auto"/>
        <w:tabs>
          <w:tab w:leader="none" w:pos="3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 the fiscal year. If an event of default occurs under the New Credit Agreement, including certain cross-defaults, insolvency, change in control, or violation of specific covenants, the lenders can terminate or suspend our access to the revolving credit facility, declare all amounts outstanding under the New Credit Agreement (including all accrued interest and unpaid fees) to be immediately due and payable, and require that we cash collateralize outstanding standby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20"/>
        <w:spacing w:after="0" w:line="255" w:lineRule="auto"/>
        <w:rPr>
          <w:sz w:val="20"/>
          <w:szCs w:val="20"/>
          <w:color w:val="auto"/>
        </w:rPr>
      </w:pPr>
      <w:r>
        <w:rPr>
          <w:rFonts w:ascii="Arial" w:cs="Arial" w:eastAsia="Arial" w:hAnsi="Arial"/>
          <w:sz w:val="18"/>
          <w:szCs w:val="18"/>
          <w:color w:val="auto"/>
        </w:rPr>
        <w:t>The proceeds of the term loan facility and drawings under the revolving credit facility were used for costs, fees and expenses associated with the consummation of the Merger Agreement (described below) and the refinancing of our previous credit agreement. The revolving credit facility is also available for working capital, the issuance of up to $300.0 million for standby letters of credit, the issuance of up to $75.0 million in swing line advances, the financing of capital expenditures, and other general corporate purposes, including permitted acquisitions and investments, subject to certain limitations, where applicable, as set forth in the New Credit Agreement. The availability of our borrowing capacity is subject to, and limited by, compliance with the covenants described above.</w:t>
      </w:r>
    </w:p>
    <w:p>
      <w:pPr>
        <w:spacing w:after="0" w:line="193"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 copy of the Shareholders’ Agreement is attached hereto as Exhibit 10.1, and is incorporated by reference herein. The foregoing description of the Shareholders’ Agreement does not purport to be complete and is qualified in its entirety by reference to the Shareholders’ Agreement.</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copy of the New Credit Agreement is attached hereto as Exhibit 10.2, and is incorporated by reference herein. The foregoing description of the New Credit Agreement does not purport to be complete and is qualified in its entirety by reference to the New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September 1, 2017, ABM completed its previously announced acquisition of GCA Holding Corp. (“GCA”), a Delaware corporation, from affiliates of Thomas H. Lee Partners, L.P. and Goldman Sachs Merchant Banking Division and other shareholders for approximately $1.25 billion in cash and stock.</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terms of the Agreement and Plan of Merger (the “Merger Agreement”), dated July 11, 2017, by and among ABM, Grade Sub One, Inc., a wholly owned subsidiary of ABM (“Merger Sub One”), Grade Sub Two, LLC, a wholly owned subsidiary of ABM (“Merger Sub Two”), GCA and the Securityholder Representative referred to therein, Merger Sub One merged with and into GCA (the “First Merger”), with GCA continuing as the surviving corporation and a wholly owned subsidiary of ABM, following which the surviving corporation merged with and into Merger Sub Two (the “Second Merger,” and, together with the First Merger, the “Mergers”), with Merger Sub Two continuing as the surviving limited liability company and a wholly owned subsidiary of ABM.</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Under the terms of the Merger Agreement, ABM acquired GCA for approximately $851 in cash and approximately 9.5 million shares of ABM common stock. The cash consideration is subject to customary adjustments for working capital and net debt. ABM funded the cash portion of the merger consideration and transaction expenses via its amended revolving credit facility, in addition to a five-year amortizing term loan, as described above in Item 1.01.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closing, the THL and GS Shareholders own, in the aggregate, approximately 14% of ABM’s outstanding shares.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 copy of the Merger Agreement was attached as Exhibit 2.1 to the Current Report on Form 8-K filed by ABM with the Securities and Exchange Commission (the “SEC”) on July 14, 2017 and is incorporated herein by reference. The foregoing description of the effects of the Mergers and the Merger Agreement, and the transactions contemplated thereby, does not purport to be complete and is qualified in its entirety by reference to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t>The Merger Agreement has been incorporated by reference in this report to provide investors with information regarding its terms and conditions. It is not intended to provide any other factual information about ABM, Merger Sub One, Merger Sub Two or GCA or any of their respective subsidiaries. The representations, warranties and covenants contained in the Merger Agreement were made only for purposes of that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ABM, Merger Sub One, Merger Sub Two or GCA or any of their respective subsidiaries or affiliates. Moreover, information concerning the subject matter of the representations and warranties may change after the date of the Merger Agreement, which subsequent information may or may not be fully reflected in ABM’s public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New Credit Agreement set forth in Item 1.01 above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issuance of shares of ABM common stock set forth in Item 2.01 above is incorporated herein by reference.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shares of ABM common stock were issued without registration under the Securities Act of 1933, as amended (the “Securities Act”), in reliance upon the exemption from registration set forth in Section 4(a)(2) of the Securities Act for transactions not involving a public offering. Such shares of ABM common stock are restricted securities for purposes of Rule 144 and are subject to certain requirements before sale, including holding period requirements. ABM has not engaged in general solicitation or advertising with regard to the issuance and sale of the ABM common stock issued in the First Merger. The certificates or book-entry positions, as applicable, representing the shares of ABM common stock issued in the Mergers contain a legend to the effect that such shares are not registered under the Securities Act and may not be transferred except pursuant to a registration statement which has become effective under the Securities Act or pursuant to an exemption from such registration.</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previously announced, James P. McClure, Executive Vice President and Chief Operating Officer of ABM, will be retiring at the end of the current fiscal year. On September 5, 2017, ABM entered into a retirement and release agreement with Mr. McClure. In addition to receiving his current salary and bonus through his retirement date and other accrued compensation and benefits in connection with his retirement on November 1, 2017, in exchange for continuing restrictive covenants, including covenants relating to non-competition, and a release, he will receive a separation payment equivalent to his annual salary and target bonus.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of Business Acquired.</w:t>
      </w:r>
    </w:p>
    <w:p>
      <w:pPr>
        <w:spacing w:after="0" w:line="225" w:lineRule="exact"/>
        <w:rPr>
          <w:sz w:val="20"/>
          <w:szCs w:val="20"/>
          <w:color w:val="auto"/>
        </w:rPr>
      </w:pPr>
    </w:p>
    <w:p>
      <w:pPr>
        <w:ind w:left="260"/>
        <w:spacing w:after="0" w:line="280" w:lineRule="auto"/>
        <w:rPr>
          <w:sz w:val="20"/>
          <w:szCs w:val="20"/>
          <w:color w:val="auto"/>
        </w:rPr>
      </w:pPr>
      <w:r>
        <w:rPr>
          <w:rFonts w:ascii="Arial" w:cs="Arial" w:eastAsia="Arial" w:hAnsi="Arial"/>
          <w:sz w:val="18"/>
          <w:szCs w:val="18"/>
          <w:color w:val="auto"/>
        </w:rPr>
        <w:t>ABM will provide the financial statements required to be filed by Item 9.01(a) of Form 8-K by amendment to this Current Report on Form 8-K no later than the 71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the required filing date for this Current Report on Form 8-K.</w:t>
      </w:r>
    </w:p>
    <w:p>
      <w:pPr>
        <w:spacing w:after="0" w:line="45" w:lineRule="exact"/>
        <w:rPr>
          <w:sz w:val="20"/>
          <w:szCs w:val="20"/>
          <w:color w:val="auto"/>
        </w:rPr>
      </w:pPr>
    </w:p>
    <w:p>
      <w:pPr>
        <w:ind w:left="820" w:hanging="5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ind w:left="260"/>
        <w:spacing w:after="0" w:line="280" w:lineRule="auto"/>
        <w:rPr>
          <w:sz w:val="20"/>
          <w:szCs w:val="20"/>
          <w:color w:val="auto"/>
        </w:rPr>
      </w:pPr>
      <w:r>
        <w:rPr>
          <w:rFonts w:ascii="Arial" w:cs="Arial" w:eastAsia="Arial" w:hAnsi="Arial"/>
          <w:sz w:val="18"/>
          <w:szCs w:val="18"/>
          <w:color w:val="auto"/>
        </w:rPr>
        <w:t>ABM will provide the pro forma financial statements required to be filed by Item 9.01(b) of Form 8-K by amendment to this Current Report on Form 8-K no later than the 71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the required filing date for this Current Report on Form 8-K.</w:t>
      </w:r>
    </w:p>
    <w:p>
      <w:pPr>
        <w:spacing w:after="0" w:line="45" w:lineRule="exact"/>
        <w:rPr>
          <w:sz w:val="20"/>
          <w:szCs w:val="20"/>
          <w:color w:val="auto"/>
        </w:rPr>
      </w:pPr>
    </w:p>
    <w:p>
      <w:pPr>
        <w:ind w:left="780" w:hanging="52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gridSpan w:val="5"/>
          </w:tcPr>
          <w:p>
            <w:pPr>
              <w:ind w:left="660"/>
              <w:spacing w:after="0"/>
              <w:rPr>
                <w:sz w:val="20"/>
                <w:szCs w:val="20"/>
                <w:color w:val="auto"/>
              </w:rPr>
            </w:pPr>
            <w:r>
              <w:rPr>
                <w:rFonts w:ascii="Arial" w:cs="Arial" w:eastAsia="Arial" w:hAnsi="Arial"/>
                <w:sz w:val="18"/>
                <w:szCs w:val="18"/>
                <w:b w:val="1"/>
                <w:bCs w:val="1"/>
                <w:color w:val="auto"/>
              </w:rPr>
              <w:t>Exhibit</w:t>
            </w:r>
          </w:p>
        </w:tc>
        <w:tc>
          <w:tcPr>
            <w:tcW w:w="9020" w:type="dxa"/>
            <w:vAlign w:val="bottom"/>
            <w:gridSpan w:val="11"/>
          </w:tcPr>
          <w:p>
            <w:pPr>
              <w:ind w:left="4060"/>
              <w:spacing w:after="0"/>
              <w:rPr>
                <w:sz w:val="20"/>
                <w:szCs w:val="20"/>
                <w:color w:val="auto"/>
              </w:rPr>
            </w:pPr>
            <w:r>
              <w:rPr>
                <w:rFonts w:ascii="Arial" w:cs="Arial" w:eastAsia="Arial" w:hAnsi="Arial"/>
                <w:sz w:val="18"/>
                <w:szCs w:val="18"/>
                <w:b w:val="1"/>
                <w:bCs w:val="1"/>
                <w:color w:val="auto"/>
              </w:rPr>
              <w:t>Description</w:t>
            </w:r>
          </w:p>
        </w:tc>
        <w:tc>
          <w:tcPr>
            <w:tcW w:w="500" w:type="dxa"/>
            <w:vAlign w:val="bottom"/>
          </w:tcPr>
          <w:p>
            <w:pPr>
              <w:spacing w:after="0"/>
              <w:rPr>
                <w:sz w:val="20"/>
                <w:szCs w:val="20"/>
                <w:color w:val="auto"/>
              </w:rPr>
            </w:pPr>
          </w:p>
        </w:tc>
      </w:tr>
      <w:tr>
        <w:trPr>
          <w:trHeight w:val="169"/>
        </w:trPr>
        <w:tc>
          <w:tcPr>
            <w:tcW w:w="660" w:type="dxa"/>
            <w:vAlign w:val="bottom"/>
          </w:tcPr>
          <w:p>
            <w:pPr>
              <w:spacing w:after="0"/>
              <w:rPr>
                <w:sz w:val="14"/>
                <w:szCs w:val="14"/>
                <w:color w:val="auto"/>
              </w:rPr>
            </w:pPr>
          </w:p>
        </w:tc>
        <w:tc>
          <w:tcPr>
            <w:tcW w:w="320" w:type="dxa"/>
            <w:vAlign w:val="bottom"/>
            <w:tcBorders>
              <w:top w:val="single" w:sz="8" w:color="auto"/>
            </w:tcBorders>
            <w:gridSpan w:val="2"/>
          </w:tcPr>
          <w:p>
            <w:pPr>
              <w:spacing w:after="0" w:line="170" w:lineRule="exact"/>
              <w:rPr>
                <w:rFonts w:ascii="Arial" w:cs="Arial" w:eastAsia="Arial" w:hAnsi="Arial"/>
                <w:sz w:val="18"/>
                <w:szCs w:val="18"/>
                <w:color w:val="0000EE"/>
              </w:rPr>
            </w:pPr>
            <w:hyperlink r:id="rId18">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20" w:type="dxa"/>
            <w:vAlign w:val="bottom"/>
            <w:tcBorders>
              <w:top w:val="single" w:sz="8" w:color="auto"/>
            </w:tcBorders>
            <w:gridSpan w:val="11"/>
          </w:tcPr>
          <w:p>
            <w:pPr>
              <w:spacing w:after="0" w:line="170"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Agreement and Plan of Merger, dated July 11, 2017, among GCA Holding Corp., ABM Industries Incorporated, Grade Sub</w:t>
              </w:r>
            </w:hyperlink>
          </w:p>
        </w:tc>
        <w:tc>
          <w:tcPr>
            <w:tcW w:w="50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One, Inc., Grade Sub Two, LLC and Thomas H. Lee Equity Fund VII, L.P. and Broad Street Principal Investments Holdings,</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L.P., acting jointly as the Securityholder Representative (incorporated by reference to Exhibit 2.1 to the Current Report on</w:t>
              </w:r>
            </w:hyperlink>
          </w:p>
        </w:tc>
        <w:tc>
          <w:tcPr>
            <w:tcW w:w="2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1"/>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Form 8-K filed by ABM with the SEC on July 14, 2017).</w:t>
              </w:r>
            </w:hyperlink>
          </w:p>
        </w:tc>
        <w:tc>
          <w:tcPr>
            <w:tcW w:w="500" w:type="dxa"/>
            <w:vAlign w:val="bottom"/>
          </w:tcPr>
          <w:p>
            <w:pPr>
              <w:spacing w:after="0"/>
              <w:rPr>
                <w:sz w:val="17"/>
                <w:szCs w:val="17"/>
                <w:color w:val="auto"/>
              </w:rPr>
            </w:pPr>
          </w:p>
        </w:tc>
      </w:tr>
      <w:tr>
        <w:trPr>
          <w:trHeight w:val="20"/>
        </w:trPr>
        <w:tc>
          <w:tcPr>
            <w:tcW w:w="9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800" w:type="dxa"/>
            <w:vAlign w:val="bottom"/>
            <w:gridSpan w:val="4"/>
          </w:tcPr>
          <w:p>
            <w:pPr>
              <w:ind w:left="660"/>
              <w:spacing w:after="0"/>
              <w:rPr>
                <w:rFonts w:ascii="Arial" w:cs="Arial" w:eastAsia="Arial" w:hAnsi="Arial"/>
                <w:sz w:val="18"/>
                <w:szCs w:val="18"/>
                <w:color w:val="0000EE"/>
              </w:rPr>
            </w:pPr>
            <w:hyperlink w:anchor="page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9020" w:type="dxa"/>
            <w:vAlign w:val="bottom"/>
            <w:gridSpan w:val="11"/>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Shareholders’ Agreement, dated September 1, 2017, among ABM Industries Incorporated, Thomas H. Lee Equity Fund VII,</w:t>
              </w:r>
            </w:hyperlink>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6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L.P., Thomas H. Lee Parallel Fund VII, L.P., Thomas H. Lee Parallel (Cayman) Fund VII, L.P., THL Executive Fund VII,</w:t>
              </w:r>
            </w:hyperlink>
          </w:p>
        </w:tc>
        <w:tc>
          <w:tcPr>
            <w:tcW w:w="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L.P., THL Fund VII Coinvestment Partners, L.P., Broad Street Principal Investments Holdings, L.P., Bridge Street 2015,</w:t>
              </w:r>
            </w:hyperlink>
          </w:p>
        </w:tc>
        <w:tc>
          <w:tcPr>
            <w:tcW w:w="100" w:type="dxa"/>
            <w:vAlign w:val="bottom"/>
            <w:tcBorders>
              <w:top w:val="single" w:sz="8" w:color="0000EE"/>
            </w:tcBorders>
            <w:gridSpan w:val="2"/>
          </w:tcPr>
          <w:p>
            <w:pPr>
              <w:spacing w:after="0"/>
              <w:rPr>
                <w:sz w:val="17"/>
                <w:szCs w:val="17"/>
                <w:color w:val="auto"/>
              </w:rPr>
            </w:pPr>
          </w:p>
        </w:tc>
        <w:tc>
          <w:tcPr>
            <w:tcW w:w="26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L.P., MBD 2015, L.P., Stone Street 2015, L.P., 2015 Employee Offshore Aggregator, L.P., and Goldman Sachs &amp; Co. LLC.</w:t>
              </w:r>
            </w:hyperlink>
          </w:p>
        </w:tc>
        <w:tc>
          <w:tcPr>
            <w:tcW w:w="12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1800" w:type="dxa"/>
            <w:vAlign w:val="bottom"/>
            <w:gridSpan w:val="4"/>
          </w:tcPr>
          <w:p>
            <w:pPr>
              <w:ind w:left="660"/>
              <w:spacing w:after="0"/>
              <w:rPr>
                <w:rFonts w:ascii="Arial" w:cs="Arial" w:eastAsia="Arial" w:hAnsi="Arial"/>
                <w:sz w:val="18"/>
                <w:szCs w:val="18"/>
                <w:color w:val="0000EE"/>
              </w:rPr>
            </w:pPr>
            <w:hyperlink w:anchor="page3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9020" w:type="dxa"/>
            <w:vAlign w:val="bottom"/>
            <w:gridSpan w:val="11"/>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Credit Agreement, dated as of September 1, 2017, by and among ABM Industries Incorporated, a Delaware corporation,</w:t>
              </w:r>
            </w:hyperlink>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80" w:type="dxa"/>
            <w:vAlign w:val="bottom"/>
            <w:tcBorders>
              <w:top w:val="single" w:sz="8" w:color="0000EE"/>
            </w:tcBorders>
            <w:gridSpan w:val="5"/>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certain subsidiaries of ABM Industries Incorporated from time to time party thereto, the lenders from time to time party</w:t>
              </w:r>
            </w:hyperlink>
          </w:p>
        </w:tc>
        <w:tc>
          <w:tcPr>
            <w:tcW w:w="34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thereto and Bank of America, N.A., as administrative agent.</w:t>
              </w:r>
            </w:hyperlink>
          </w:p>
        </w:tc>
        <w:tc>
          <w:tcPr>
            <w:tcW w:w="40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r>
      <w:tr>
        <w:trPr>
          <w:trHeight w:val="696"/>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Barbara L. Smithers</w:t>
      </w:r>
    </w:p>
    <w:p>
      <w:pPr>
        <w:spacing w:after="0" w:line="23"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Dated: September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Barbara L. Smithers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Deputy General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240" w:top="904" w:right="8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180" w:type="dxa"/>
            <w:vAlign w:val="bottom"/>
            <w:gridSpan w:val="9"/>
          </w:tcPr>
          <w:p>
            <w:pPr>
              <w:ind w:left="7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80" w:type="dxa"/>
            <w:vAlign w:val="bottom"/>
            <w:gridSpan w:val="9"/>
          </w:tcPr>
          <w:p>
            <w:pPr>
              <w:ind w:left="17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tcBorders>
          </w:tcPr>
          <w:p>
            <w:pPr>
              <w:spacing w:after="0" w:line="170" w:lineRule="exact"/>
              <w:rPr>
                <w:rFonts w:ascii="Arial" w:cs="Arial" w:eastAsia="Arial" w:hAnsi="Arial"/>
                <w:sz w:val="18"/>
                <w:szCs w:val="18"/>
                <w:color w:val="0000EE"/>
                <w:w w:val="79"/>
              </w:rPr>
            </w:pPr>
            <w:hyperlink r:id="rId18">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Borders>
              <w:top w:val="single" w:sz="8" w:color="auto"/>
            </w:tcBorders>
            <w:gridSpan w:val="11"/>
          </w:tcPr>
          <w:p>
            <w:pPr>
              <w:spacing w:after="0" w:line="170"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Agreement and Plan of Merger, dated July 11, 2017, among GCA Holding Corp., ABM Industries Incorporated, Grade Sub One, Inc.,</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Grade Sub Two, LLC and Thomas H. Lee Equity Fund VII, L.P. and Broad Street Principal Investments Holdings, L.P., acting jointly as</w:t>
              </w:r>
            </w:hyperlink>
          </w:p>
        </w:tc>
        <w:tc>
          <w:tcPr>
            <w:tcW w:w="22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the Securityholder Representative (incorporated by reference to Exhibit 2.1 to the Current Report on Form 8-K filed by ABM with the</w:t>
              </w:r>
            </w:hyperlink>
          </w:p>
        </w:tc>
        <w:tc>
          <w:tcPr>
            <w:tcW w:w="3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1"/>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SEC on July 14, 2017).</w:t>
              </w:r>
            </w:hyperlink>
          </w:p>
        </w:tc>
      </w:tr>
      <w:tr>
        <w:trPr>
          <w:trHeight w:val="20"/>
        </w:trPr>
        <w:tc>
          <w:tcPr>
            <w:tcW w:w="3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0040" w:type="dxa"/>
            <w:vAlign w:val="bottom"/>
            <w:gridSpan w:val="11"/>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Shareholders’ Agreement, dated September 1, 2017, among ABM Industries Incorporated, Thomas H. Lee Equity Fund VII, L.P., Thomas</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 Lee Parallel Fund VII, L.P., Thomas H. Lee Parallel (Cayman) Fund VII, L.P., THL Executive Fund VII, L.P., THL Fund VII</w:t>
              </w:r>
            </w:hyperlink>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1"/>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Coinvestment Partners, L.P., Broad Street Principal Investments Holdings, L.P., Bridge Street 2015, L.P., MBD 2015, L.P., Stone Street</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2015, L.P., 2015 Employee Offshore Aggregator, L.P., and Goldman Sachs &amp; Co. LLC.</w:t>
              </w:r>
            </w:hyperlink>
          </w:p>
        </w:tc>
        <w:tc>
          <w:tcPr>
            <w:tcW w:w="3420" w:type="dxa"/>
            <w:vAlign w:val="bottom"/>
            <w:tcBorders>
              <w:top w:val="single" w:sz="8" w:color="0000EE"/>
            </w:tcBorders>
            <w:gridSpan w:val="5"/>
          </w:tcPr>
          <w:p>
            <w:pPr>
              <w:spacing w:after="0"/>
              <w:rPr>
                <w:sz w:val="17"/>
                <w:szCs w:val="17"/>
                <w:color w:val="auto"/>
              </w:rPr>
            </w:pPr>
          </w:p>
        </w:tc>
        <w:tc>
          <w:tcPr>
            <w:tcW w:w="300" w:type="dxa"/>
            <w:vAlign w:val="bottom"/>
            <w:gridSpan w:val="3"/>
          </w:tcPr>
          <w:p>
            <w:pPr>
              <w:spacing w:after="0"/>
              <w:rPr>
                <w:sz w:val="17"/>
                <w:szCs w:val="17"/>
                <w:color w:val="auto"/>
              </w:rPr>
            </w:pPr>
          </w:p>
        </w:tc>
      </w:tr>
      <w:tr>
        <w:trPr>
          <w:trHeight w:val="412"/>
        </w:trPr>
        <w:tc>
          <w:tcPr>
            <w:tcW w:w="126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0040" w:type="dxa"/>
            <w:vAlign w:val="bottom"/>
            <w:gridSpan w:val="11"/>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Credit Agreement, dated as of September 1, 2017, by and among ABM Industries Incorporated, a Delaware corporation, certain</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3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1"/>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subsidiaries of ABM Industries Incorporated from time to time party thereto, the lenders from time to time party thereto and Bank of</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America, N.A., as administrative agent.</w:t>
              </w:r>
            </w:hyperlink>
          </w:p>
        </w:tc>
        <w:tc>
          <w:tcPr>
            <w:tcW w:w="480" w:type="dxa"/>
            <w:vAlign w:val="bottom"/>
            <w:gridSpan w:val="6"/>
          </w:tcPr>
          <w:p>
            <w:pPr>
              <w:spacing w:after="0"/>
              <w:rPr>
                <w:sz w:val="17"/>
                <w:szCs w:val="17"/>
                <w:color w:val="auto"/>
              </w:rPr>
            </w:pPr>
          </w:p>
        </w:tc>
      </w:tr>
      <w:tr>
        <w:trPr>
          <w:trHeight w:val="696"/>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SHAREHOLDERS’ AGREEMENT</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b w:val="1"/>
          <w:bCs w:val="1"/>
          <w:color w:val="auto"/>
        </w:rPr>
        <w:t xml:space="preserve">THIS SHAREHOLDERS’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September 1, 2017, among ABM Industries Incorporated,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Thomas H. Lee Equity Fund VII, L.P. (“</w:t>
      </w:r>
      <w:r>
        <w:rPr>
          <w:rFonts w:ascii="Arial" w:cs="Arial" w:eastAsia="Arial" w:hAnsi="Arial"/>
          <w:sz w:val="17"/>
          <w:szCs w:val="17"/>
          <w:u w:val="single" w:color="auto"/>
          <w:color w:val="auto"/>
        </w:rPr>
        <w:t>THL Fund VII</w:t>
      </w:r>
      <w:r>
        <w:rPr>
          <w:rFonts w:ascii="Arial" w:cs="Arial" w:eastAsia="Arial" w:hAnsi="Arial"/>
          <w:sz w:val="17"/>
          <w:szCs w:val="17"/>
          <w:color w:val="auto"/>
        </w:rPr>
        <w:t>”), Thomas H. Lee Parallel Fund VII, L.P. (“</w:t>
      </w:r>
      <w:r>
        <w:rPr>
          <w:rFonts w:ascii="Arial" w:cs="Arial" w:eastAsia="Arial" w:hAnsi="Arial"/>
          <w:sz w:val="17"/>
          <w:szCs w:val="17"/>
          <w:u w:val="single" w:color="auto"/>
          <w:color w:val="auto"/>
        </w:rPr>
        <w:t>THL Parallel</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w:t>
      </w:r>
      <w:r>
        <w:rPr>
          <w:rFonts w:ascii="Arial" w:cs="Arial" w:eastAsia="Arial" w:hAnsi="Arial"/>
          <w:sz w:val="17"/>
          <w:szCs w:val="17"/>
          <w:color w:val="auto"/>
        </w:rPr>
        <w:t>”), Thomas H. Lee Parallel (Cayman) Fund VII, L.P. (“</w:t>
      </w:r>
      <w:r>
        <w:rPr>
          <w:rFonts w:ascii="Arial" w:cs="Arial" w:eastAsia="Arial" w:hAnsi="Arial"/>
          <w:sz w:val="17"/>
          <w:szCs w:val="17"/>
          <w:u w:val="single" w:color="auto"/>
          <w:color w:val="auto"/>
        </w:rPr>
        <w:t>THL Cayman Fund</w:t>
      </w:r>
      <w:r>
        <w:rPr>
          <w:rFonts w:ascii="Arial" w:cs="Arial" w:eastAsia="Arial" w:hAnsi="Arial"/>
          <w:sz w:val="17"/>
          <w:szCs w:val="17"/>
          <w:color w:val="auto"/>
        </w:rPr>
        <w:t>”), THL Executive Fund VII, L.P. (“</w:t>
      </w:r>
      <w:r>
        <w:rPr>
          <w:rFonts w:ascii="Arial" w:cs="Arial" w:eastAsia="Arial" w:hAnsi="Arial"/>
          <w:sz w:val="17"/>
          <w:szCs w:val="17"/>
          <w:u w:val="single" w:color="auto"/>
          <w:color w:val="auto"/>
        </w:rPr>
        <w:t>THL Executive Fund</w:t>
      </w:r>
      <w:r>
        <w:rPr>
          <w:rFonts w:ascii="Arial" w:cs="Arial" w:eastAsia="Arial" w:hAnsi="Arial"/>
          <w:sz w:val="17"/>
          <w:szCs w:val="17"/>
          <w:color w:val="auto"/>
        </w:rPr>
        <w:t>”), THL Fund VII Coinvestment Partners, L.P. (“</w:t>
      </w:r>
      <w:r>
        <w:rPr>
          <w:rFonts w:ascii="Arial" w:cs="Arial" w:eastAsia="Arial" w:hAnsi="Arial"/>
          <w:sz w:val="17"/>
          <w:szCs w:val="17"/>
          <w:u w:val="single" w:color="auto"/>
          <w:color w:val="auto"/>
        </w:rPr>
        <w:t>THL Coinvest Fund</w:t>
      </w:r>
      <w:r>
        <w:rPr>
          <w:rFonts w:ascii="Arial" w:cs="Arial" w:eastAsia="Arial" w:hAnsi="Arial"/>
          <w:sz w:val="17"/>
          <w:szCs w:val="17"/>
          <w:color w:val="auto"/>
        </w:rPr>
        <w:t>,” and together with THL Fund VII, THL Parallel Fund, THL Cayman Fund and THL Executive Fund, the “</w:t>
      </w:r>
      <w:r>
        <w:rPr>
          <w:rFonts w:ascii="Arial" w:cs="Arial" w:eastAsia="Arial" w:hAnsi="Arial"/>
          <w:sz w:val="17"/>
          <w:szCs w:val="17"/>
          <w:u w:val="single" w:color="auto"/>
          <w:color w:val="auto"/>
        </w:rPr>
        <w:t>THL Investors</w:t>
      </w:r>
      <w:r>
        <w:rPr>
          <w:rFonts w:ascii="Arial" w:cs="Arial" w:eastAsia="Arial" w:hAnsi="Arial"/>
          <w:sz w:val="17"/>
          <w:szCs w:val="17"/>
          <w:color w:val="auto"/>
        </w:rPr>
        <w:t>”), Broad Street Principal Investments Holdings, L.P., a Delaware limited partnership (“</w:t>
      </w:r>
      <w:r>
        <w:rPr>
          <w:rFonts w:ascii="Arial" w:cs="Arial" w:eastAsia="Arial" w:hAnsi="Arial"/>
          <w:sz w:val="17"/>
          <w:szCs w:val="17"/>
          <w:u w:val="single" w:color="auto"/>
          <w:color w:val="auto"/>
        </w:rPr>
        <w:t>Broad Street</w:t>
      </w:r>
      <w:r>
        <w:rPr>
          <w:rFonts w:ascii="Arial" w:cs="Arial" w:eastAsia="Arial" w:hAnsi="Arial"/>
          <w:sz w:val="17"/>
          <w:szCs w:val="17"/>
          <w:color w:val="auto"/>
        </w:rPr>
        <w:t>”), Bridge Street 2015, L.P., a Delaware limited partnership (“</w:t>
      </w:r>
      <w:r>
        <w:rPr>
          <w:rFonts w:ascii="Arial" w:cs="Arial" w:eastAsia="Arial" w:hAnsi="Arial"/>
          <w:sz w:val="17"/>
          <w:szCs w:val="17"/>
          <w:u w:val="single" w:color="auto"/>
          <w:color w:val="auto"/>
        </w:rPr>
        <w:t>Bridge Street</w:t>
      </w:r>
      <w:r>
        <w:rPr>
          <w:rFonts w:ascii="Arial" w:cs="Arial" w:eastAsia="Arial" w:hAnsi="Arial"/>
          <w:sz w:val="17"/>
          <w:szCs w:val="17"/>
          <w:color w:val="auto"/>
        </w:rPr>
        <w:t>”), MBD 2015, L.P., a Delaware limited partnership (“</w:t>
      </w:r>
      <w:r>
        <w:rPr>
          <w:rFonts w:ascii="Arial" w:cs="Arial" w:eastAsia="Arial" w:hAnsi="Arial"/>
          <w:sz w:val="17"/>
          <w:szCs w:val="17"/>
          <w:u w:val="single" w:color="auto"/>
          <w:color w:val="auto"/>
        </w:rPr>
        <w:t>MBD 2015</w:t>
      </w:r>
      <w:r>
        <w:rPr>
          <w:rFonts w:ascii="Arial" w:cs="Arial" w:eastAsia="Arial" w:hAnsi="Arial"/>
          <w:sz w:val="17"/>
          <w:szCs w:val="17"/>
          <w:color w:val="auto"/>
        </w:rPr>
        <w:t>”), Stone Street 2015, L.P., a Delaware limited partnership (“</w:t>
      </w:r>
      <w:r>
        <w:rPr>
          <w:rFonts w:ascii="Arial" w:cs="Arial" w:eastAsia="Arial" w:hAnsi="Arial"/>
          <w:sz w:val="17"/>
          <w:szCs w:val="17"/>
          <w:u w:val="single" w:color="auto"/>
          <w:color w:val="auto"/>
        </w:rPr>
        <w:t>Stone Street</w:t>
      </w:r>
      <w:r>
        <w:rPr>
          <w:rFonts w:ascii="Arial" w:cs="Arial" w:eastAsia="Arial" w:hAnsi="Arial"/>
          <w:sz w:val="17"/>
          <w:szCs w:val="17"/>
          <w:color w:val="auto"/>
        </w:rPr>
        <w:t>”), 2015 Employee Offshore Aggregator, L.P., a Cayman Islands exempted limited partnership (together with Broad Street, Bridge Street, MBD 2015 and Stone Street, the “</w:t>
      </w:r>
      <w:r>
        <w:rPr>
          <w:rFonts w:ascii="Arial" w:cs="Arial" w:eastAsia="Arial" w:hAnsi="Arial"/>
          <w:sz w:val="17"/>
          <w:szCs w:val="17"/>
          <w:u w:val="single" w:color="auto"/>
          <w:color w:val="auto"/>
        </w:rPr>
        <w:t>GS Entities</w:t>
      </w:r>
      <w:r>
        <w:rPr>
          <w:rFonts w:ascii="Arial" w:cs="Arial" w:eastAsia="Arial" w:hAnsi="Arial"/>
          <w:sz w:val="17"/>
          <w:szCs w:val="17"/>
          <w:color w:val="auto"/>
        </w:rPr>
        <w:t>”), and Goldman Sachs &amp; Co. LLC, a New York limited liability company, solely on behalf of Managed Account Nos. 046-46898-9, 046-52146-4 and 042-78997-4 (the “</w:t>
      </w:r>
      <w:r>
        <w:rPr>
          <w:rFonts w:ascii="Arial" w:cs="Arial" w:eastAsia="Arial" w:hAnsi="Arial"/>
          <w:sz w:val="17"/>
          <w:szCs w:val="17"/>
          <w:u w:val="single" w:color="auto"/>
          <w:color w:val="auto"/>
        </w:rPr>
        <w:t>GS Accounts</w:t>
      </w:r>
      <w:r>
        <w:rPr>
          <w:rFonts w:ascii="Arial" w:cs="Arial" w:eastAsia="Arial" w:hAnsi="Arial"/>
          <w:sz w:val="17"/>
          <w:szCs w:val="17"/>
          <w:color w:val="auto"/>
        </w:rPr>
        <w:t>,” and together with the GS Entities, the “</w:t>
      </w:r>
      <w:r>
        <w:rPr>
          <w:rFonts w:ascii="Arial" w:cs="Arial" w:eastAsia="Arial" w:hAnsi="Arial"/>
          <w:sz w:val="17"/>
          <w:szCs w:val="17"/>
          <w:u w:val="single" w:color="auto"/>
          <w:color w:val="auto"/>
        </w:rPr>
        <w:t>GS Investors</w:t>
      </w:r>
      <w:r>
        <w:rPr>
          <w:rFonts w:ascii="Arial" w:cs="Arial" w:eastAsia="Arial" w:hAnsi="Arial"/>
          <w:sz w:val="17"/>
          <w:szCs w:val="17"/>
          <w:color w:val="auto"/>
        </w:rPr>
        <w:t>”). Each of the GS Investors and the THL Investors are referred to herein as an “</w:t>
      </w:r>
      <w:r>
        <w:rPr>
          <w:rFonts w:ascii="Arial" w:cs="Arial" w:eastAsia="Arial" w:hAnsi="Arial"/>
          <w:sz w:val="17"/>
          <w:szCs w:val="17"/>
          <w:u w:val="single" w:color="auto"/>
          <w:color w:val="auto"/>
        </w:rPr>
        <w:t>Investor</w:t>
      </w:r>
      <w:r>
        <w:rPr>
          <w:rFonts w:ascii="Arial" w:cs="Arial" w:eastAsia="Arial" w:hAnsi="Arial"/>
          <w:sz w:val="17"/>
          <w:szCs w:val="17"/>
          <w:color w:val="auto"/>
        </w:rPr>
        <w:t>” and collectively as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 On July 11, 2017, the Investors and the Company entered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which provides for the merger of GCA Holding Corp. (together with its subsidiaries, the “</w:t>
      </w:r>
      <w:r>
        <w:rPr>
          <w:rFonts w:ascii="Arial" w:cs="Arial" w:eastAsia="Arial" w:hAnsi="Arial"/>
          <w:sz w:val="17"/>
          <w:szCs w:val="17"/>
          <w:u w:val="single" w:color="auto"/>
          <w:color w:val="auto"/>
        </w:rPr>
        <w:t>Target</w:t>
      </w:r>
      <w:r>
        <w:rPr>
          <w:rFonts w:ascii="Arial" w:cs="Arial" w:eastAsia="Arial" w:hAnsi="Arial"/>
          <w:sz w:val="17"/>
          <w:szCs w:val="17"/>
          <w:color w:val="auto"/>
        </w:rPr>
        <w:t>”) with a subsidiary of the Company (the “</w:t>
      </w:r>
      <w:r>
        <w:rPr>
          <w:rFonts w:ascii="Arial" w:cs="Arial" w:eastAsia="Arial" w:hAnsi="Arial"/>
          <w:sz w:val="17"/>
          <w:szCs w:val="17"/>
          <w:u w:val="single" w:color="auto"/>
          <w:color w:val="auto"/>
        </w:rPr>
        <w:t>Acquisition</w:t>
      </w:r>
      <w:r>
        <w:rPr>
          <w:rFonts w:ascii="Arial" w:cs="Arial" w:eastAsia="Arial" w:hAnsi="Arial"/>
          <w:sz w:val="17"/>
          <w:szCs w:val="17"/>
          <w:color w:val="auto"/>
        </w:rPr>
        <w:t>”).</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 Pursuant to the Merger Agreement, the Company will issue to (1) each GS Investor the number of shares of its common stock, par value $0.01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set forth opposite such GS Investor’s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(2) each THL Investor the number of Common Shares set forth opposite such THL Investor’s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 As an inducement to entering into the Merger Agreement, the Investors and the Company hereby agree that this Agreement will govern certain rights of the Investors and the Company related to such Common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The parties agree as follows:</w:t>
      </w:r>
    </w:p>
    <w:p>
      <w:pPr>
        <w:spacing w:after="0" w:line="225" w:lineRule="exact"/>
        <w:rPr>
          <w:sz w:val="20"/>
          <w:szCs w:val="20"/>
          <w:color w:val="auto"/>
        </w:rPr>
      </w:pPr>
    </w:p>
    <w:p>
      <w:pPr>
        <w:ind w:left="1240" w:hanging="584"/>
        <w:spacing w:after="0"/>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Unless otherwise provided, all capitalized terms have the meaning given to them in this Section 1. For purposes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6" w:lineRule="exact"/>
        <w:rPr>
          <w:rFonts w:ascii="Arial" w:cs="Arial" w:eastAsia="Arial" w:hAnsi="Arial"/>
          <w:sz w:val="17"/>
          <w:szCs w:val="17"/>
          <w:color w:val="auto"/>
        </w:rPr>
      </w:pPr>
    </w:p>
    <w:p>
      <w:pPr>
        <w:ind w:right="40" w:firstLine="1305"/>
        <w:spacing w:after="0" w:line="285" w:lineRule="auto"/>
        <w:tabs>
          <w:tab w:leader="none" w:pos="1946" w:val="left"/>
        </w:tabs>
        <w:numPr>
          <w:ilvl w:val="2"/>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For purposes of this definition, the term “control” (including the correlative meanings of the terms “controlled by” and “under common control with”), as used with respect to any Person, means the possession, directly or indirectly, of the power to elect a majority of the board of directors (or similar election or designation rights with respect to other governing bodies) or to direct or cause the direction of the management and policies of such Person, whether through the ownership of voting securities, by contract or otherwise and, in any event and without limiting the generality of the foregoing, any Person owning a majority of the voting securities of another Person shall be deemed to control that Person. Notwithstanding the foregoing,</w:t>
      </w:r>
    </w:p>
    <w:p>
      <w:pPr>
        <w:spacing w:after="0" w:line="3" w:lineRule="exact"/>
        <w:rPr>
          <w:rFonts w:ascii="Arial" w:cs="Arial" w:eastAsia="Arial" w:hAnsi="Arial"/>
          <w:sz w:val="16"/>
          <w:szCs w:val="16"/>
          <w:color w:val="auto"/>
        </w:rPr>
      </w:pPr>
    </w:p>
    <w:p>
      <w:pPr>
        <w:ind w:right="40" w:firstLine="8"/>
        <w:spacing w:after="0" w:line="254"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 of the Investors shall be considered Affiliates of (x) any portfolio operating company in which the Investors or any of their investment fund Affiliates have made a debt or equity investment or (y) the Company or any of its Subsidiaries and (ii) no THL Investor shall be considered an Affiliate of a GS Investor or any member of the GS Investor Group and no GS Investor shall be considered an Affiliate of a THL Investor or any member of the THL Investor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ind w:left="1940" w:hanging="655"/>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w:t>
      </w:r>
      <w:r>
        <w:rPr>
          <w:rFonts w:ascii="Arial" w:cs="Arial" w:eastAsia="Arial" w:hAnsi="Arial"/>
          <w:sz w:val="18"/>
          <w:szCs w:val="18"/>
          <w:color w:val="auto"/>
        </w:rPr>
        <w:t>” has the meaning given to such term under Rule 13d-3 of the Exchange Act.</w:t>
      </w:r>
    </w:p>
    <w:p>
      <w:pPr>
        <w:spacing w:after="0" w:line="225" w:lineRule="exact"/>
        <w:rPr>
          <w:rFonts w:ascii="Arial" w:cs="Arial" w:eastAsia="Arial" w:hAnsi="Arial"/>
          <w:sz w:val="18"/>
          <w:szCs w:val="18"/>
          <w:color w:val="auto"/>
        </w:rPr>
      </w:pPr>
    </w:p>
    <w:p>
      <w:pPr>
        <w:ind w:left="-20" w:firstLine="1305"/>
        <w:spacing w:after="0" w:line="274" w:lineRule="auto"/>
        <w:tabs>
          <w:tab w:leader="none" w:pos="1926"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Blackout Period</w:t>
      </w:r>
      <w:r>
        <w:rPr>
          <w:rFonts w:ascii="Arial" w:cs="Arial" w:eastAsia="Arial" w:hAnsi="Arial"/>
          <w:sz w:val="17"/>
          <w:szCs w:val="17"/>
          <w:color w:val="auto"/>
        </w:rPr>
        <w:t xml:space="preserve">” means a period of time, not to exceed 30 days, during which the Company may postpone the preparation, filing or effectiveness of, or suspend the effectiveness of, a registration statement, if the Company, in good faith, determines that the registration and/or distribution of Registrable Securities would (i) materially impede, delay or interfere with any financing, acquisition, corporate reorganization or other significant transaction, or any negotiations, discussions or pending proposals with respect thereto, involving the Company or any of its subsidiaries or their respective assets, or (ii) require the disclosure of material nonpublic information, the disclosure of which could reasonably be expected to materially and adversely affect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Blackout Periods will not exceed 90 days in the aggregate in any 12-month period.</w:t>
      </w:r>
    </w:p>
    <w:p>
      <w:pPr>
        <w:spacing w:after="0" w:line="173" w:lineRule="exact"/>
        <w:rPr>
          <w:rFonts w:ascii="Arial" w:cs="Arial" w:eastAsia="Arial" w:hAnsi="Arial"/>
          <w:sz w:val="17"/>
          <w:szCs w:val="17"/>
          <w:color w:val="auto"/>
        </w:rPr>
      </w:pPr>
    </w:p>
    <w:p>
      <w:pPr>
        <w:ind w:left="1940" w:hanging="655"/>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day on which the SEC is closed.</w:t>
      </w:r>
    </w:p>
    <w:p>
      <w:pPr>
        <w:spacing w:after="0" w:line="225" w:lineRule="exact"/>
        <w:rPr>
          <w:rFonts w:ascii="Arial" w:cs="Arial" w:eastAsia="Arial" w:hAnsi="Arial"/>
          <w:sz w:val="18"/>
          <w:szCs w:val="18"/>
          <w:color w:val="auto"/>
        </w:rPr>
      </w:pPr>
    </w:p>
    <w:p>
      <w:pPr>
        <w:ind w:left="-20" w:right="120" w:firstLine="1305"/>
        <w:spacing w:after="0" w:line="290" w:lineRule="auto"/>
        <w:tabs>
          <w:tab w:leader="none" w:pos="1926"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of the following events: (i) any Person is or becomes the beneficial owner, directly or indirectly, of a majority of the total voting power represented by all then-outstanding Common Shares, (ii) the Company consolidates with or merges into another Person, or any Person consolidates or merges into the Company, other than (A) a merger or consolidation which would result in the Securities (as defined in Section 3.1) outstanding immediately prior to such merger or consolidation continuing to represent (either by remaining outstanding or by being converted into voting securities of the surviving entity or any parent thereof) a majority of the combined voting power of the Securities of such surviving entity or any parent thereof outstanding immediately after such merger or consolidation or (B) a merger or consolidation effected to implement a recapitalization of the Company (or similar transaction) in which no Person becomes the beneficial owner, directly or indirectly, of a majority of the total voting power of all then-outstanding Securities, (iii) the Company conveys, transfers or leases all or substantially all of its assets to any Person other than a wholly owned subsidiary of the Company, or (iv) individuals who constitute Continuing Directors cease for any reason to constitute at least a majority of the Company Board.</w:t>
      </w:r>
    </w:p>
    <w:p>
      <w:pPr>
        <w:spacing w:after="0" w:line="159" w:lineRule="exact"/>
        <w:rPr>
          <w:rFonts w:ascii="Arial" w:cs="Arial" w:eastAsia="Arial" w:hAnsi="Arial"/>
          <w:sz w:val="16"/>
          <w:szCs w:val="16"/>
          <w:color w:val="auto"/>
        </w:rPr>
      </w:pPr>
    </w:p>
    <w:p>
      <w:pPr>
        <w:ind w:left="1960" w:hanging="67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0" w:right="80" w:firstLine="1305"/>
        <w:spacing w:after="0" w:line="266" w:lineRule="auto"/>
        <w:tabs>
          <w:tab w:leader="none" w:pos="193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Directors</w:t>
      </w:r>
      <w:r>
        <w:rPr>
          <w:rFonts w:ascii="Arial" w:cs="Arial" w:eastAsia="Arial" w:hAnsi="Arial"/>
          <w:sz w:val="18"/>
          <w:szCs w:val="18"/>
          <w:color w:val="auto"/>
        </w:rPr>
        <w:t>” means the directors of the Company on the date hereof, and each other director, if in each case, such other director’s nomination for election to the Company Board was recommended by, or whose appointment to the Company Board was approved by, at least a majority of the other Continuing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9" w:name="page10"/>
    <w:bookmarkEnd w:id="9"/>
    <w:p>
      <w:pPr>
        <w:ind w:left="-120" w:right="160" w:firstLine="1305"/>
        <w:spacing w:after="0" w:line="273" w:lineRule="auto"/>
        <w:tabs>
          <w:tab w:leader="none" w:pos="1836"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Core Deal Team</w:t>
      </w:r>
      <w:r>
        <w:rPr>
          <w:rFonts w:ascii="Arial" w:cs="Arial" w:eastAsia="Arial" w:hAnsi="Arial"/>
          <w:sz w:val="17"/>
          <w:szCs w:val="17"/>
          <w:color w:val="auto"/>
        </w:rPr>
        <w:t>” means only the investment professionals in the Merchant Banking Division of Goldman Sachs who are involved in managing the GS Investors’ investment in the Common Shares and expressly excludes (i) personnel in any GS Investor’s (or its Affiliates’) compliance, legal, conflicts clearance, credit, information technology, controllers and risk management departments and clerical personnel, (ii) any GS Investor’s (or its Affiliates’) “above the wall” senior management, and (iii) members of any GS Investor’s (or its Affiliates’) internal committees and other persons with risk management, compliance and/or supervisory responsibilities (for the avoidance of doubt, except to the extent any such members are investment professionals in the Merchant Banking Division of Goldman Sachs and are involved in managing the GS Investors’ investment in the Common Shares outside of their risk management, compliance and/or supervisory responsibility).</w:t>
      </w:r>
    </w:p>
    <w:p>
      <w:pPr>
        <w:spacing w:after="0" w:line="172" w:lineRule="exact"/>
        <w:rPr>
          <w:rFonts w:ascii="Arial" w:cs="Arial" w:eastAsia="Arial" w:hAnsi="Arial"/>
          <w:sz w:val="17"/>
          <w:szCs w:val="17"/>
          <w:color w:val="auto"/>
        </w:rPr>
      </w:pPr>
    </w:p>
    <w:p>
      <w:pPr>
        <w:ind w:left="-120" w:firstLine="1305"/>
        <w:spacing w:after="0" w:line="255" w:lineRule="auto"/>
        <w:tabs>
          <w:tab w:leader="none" w:pos="184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means any loss, damage or liability (joint or several) to which the applicable Person referred to herein may become subject under the Securities Act, the Exchange Act or any other federal or state law, insofar as such loss, damage or liability (or any action in respect thereof) arises out of or is based upon (i) any untrue statement or alleged untrue statement of a material fact contained in any registration statement of the Company filed pursuant to the terms of this Agreement, including any preliminary prospectus or prospectus contained therein or any amendments or supplements thereto, or (ii) an omission or alleged omission to state therein a material fact required to be stated therein or necessary to make the statements therein (with respect to any preliminary prospectus or prospectus or any amendments or supplements thereto, in the light of the circumstances under which they were made) not misleading.</w:t>
      </w:r>
    </w:p>
    <w:p>
      <w:pPr>
        <w:spacing w:after="0" w:line="189" w:lineRule="exact"/>
        <w:rPr>
          <w:rFonts w:ascii="Arial" w:cs="Arial" w:eastAsia="Arial" w:hAnsi="Arial"/>
          <w:sz w:val="18"/>
          <w:szCs w:val="18"/>
          <w:color w:val="auto"/>
        </w:rPr>
      </w:pPr>
    </w:p>
    <w:p>
      <w:pPr>
        <w:ind w:left="1840" w:hanging="655"/>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20" w:right="20" w:firstLine="1305"/>
        <w:spacing w:after="0" w:line="266" w:lineRule="auto"/>
        <w:tabs>
          <w:tab w:leader="none" w:pos="1836"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rFonts w:ascii="Arial" w:cs="Arial" w:eastAsia="Arial" w:hAnsi="Arial"/>
          <w:sz w:val="18"/>
          <w:szCs w:val="18"/>
          <w:color w:val="auto"/>
        </w:rPr>
      </w:pPr>
    </w:p>
    <w:p>
      <w:pPr>
        <w:ind w:left="1840" w:hanging="655"/>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within the meaning of Section 13(d)(3) of the Exchange Act.</w:t>
      </w:r>
    </w:p>
    <w:p>
      <w:pPr>
        <w:spacing w:after="0" w:line="225" w:lineRule="exact"/>
        <w:rPr>
          <w:rFonts w:ascii="Arial" w:cs="Arial" w:eastAsia="Arial" w:hAnsi="Arial"/>
          <w:sz w:val="18"/>
          <w:szCs w:val="18"/>
          <w:color w:val="auto"/>
        </w:rPr>
      </w:pPr>
    </w:p>
    <w:p>
      <w:pPr>
        <w:ind w:left="-120" w:right="100" w:firstLine="1305"/>
        <w:spacing w:after="0" w:line="282" w:lineRule="auto"/>
        <w:tabs>
          <w:tab w:leader="none" w:pos="184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Group</w:t>
      </w:r>
      <w:r>
        <w:rPr>
          <w:rFonts w:ascii="Arial" w:cs="Arial" w:eastAsia="Arial" w:hAnsi="Arial"/>
          <w:sz w:val="18"/>
          <w:szCs w:val="18"/>
          <w:color w:val="auto"/>
        </w:rPr>
        <w:t>” means (i) with respect to the GS Investors, the GS Investors and the Core Deal Team, and (B) with respect to the THL Investors, the THL Investors and their respective Affiliates.</w:t>
      </w:r>
    </w:p>
    <w:p>
      <w:pPr>
        <w:spacing w:after="0" w:line="161" w:lineRule="exact"/>
        <w:rPr>
          <w:rFonts w:ascii="Arial" w:cs="Arial" w:eastAsia="Arial" w:hAnsi="Arial"/>
          <w:sz w:val="18"/>
          <w:szCs w:val="18"/>
          <w:color w:val="auto"/>
        </w:rPr>
      </w:pPr>
    </w:p>
    <w:p>
      <w:pPr>
        <w:ind w:left="-120" w:right="180" w:firstLine="1305"/>
        <w:spacing w:after="0" w:line="282" w:lineRule="auto"/>
        <w:tabs>
          <w:tab w:leader="none" w:pos="1836"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or any legal, commercial or governmental entity, including a corporation, general partnership, joint venture, limited partnership, limited liability company, limited liability partnership, trust, business association or group.</w:t>
      </w:r>
    </w:p>
    <w:p>
      <w:pPr>
        <w:spacing w:after="0" w:line="161" w:lineRule="exact"/>
        <w:rPr>
          <w:rFonts w:ascii="Arial" w:cs="Arial" w:eastAsia="Arial" w:hAnsi="Arial"/>
          <w:sz w:val="18"/>
          <w:szCs w:val="18"/>
          <w:color w:val="auto"/>
        </w:rPr>
      </w:pPr>
    </w:p>
    <w:p>
      <w:pPr>
        <w:ind w:left="-120" w:right="100" w:firstLine="1305"/>
        <w:spacing w:after="0" w:line="266" w:lineRule="auto"/>
        <w:tabs>
          <w:tab w:leader="none" w:pos="1836"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the Common Shares issued by the Company to the Investors and their assignees pursuant to the Merger Agreement, plus any Common Shares distributed to such Investors and their assignees by the Company as a dividend on such Common Shares, in each case as of the applicable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4" w:right="339" w:bottom="1440" w:gutter="0" w:footer="0" w:header="0"/>
        </w:sectPr>
      </w:pPr>
    </w:p>
    <w:bookmarkStart w:id="10" w:name="page11"/>
    <w:bookmarkEnd w:id="10"/>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Selling Expenses</w:t>
      </w:r>
      <w:r>
        <w:rPr>
          <w:rFonts w:ascii="Arial" w:cs="Arial" w:eastAsia="Arial" w:hAnsi="Arial"/>
          <w:sz w:val="17"/>
          <w:szCs w:val="17"/>
          <w:color w:val="auto"/>
        </w:rPr>
        <w:t>” means all underwriting discounts, selling commissions and stock transfer taxes applicable to the sale of</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Registrable Securities.</w:t>
      </w:r>
    </w:p>
    <w:p>
      <w:pPr>
        <w:spacing w:after="0" w:line="206" w:lineRule="exact"/>
        <w:rPr>
          <w:rFonts w:ascii="Arial" w:cs="Arial" w:eastAsia="Arial" w:hAnsi="Arial"/>
          <w:sz w:val="17"/>
          <w:szCs w:val="17"/>
          <w:color w:val="auto"/>
        </w:rPr>
      </w:pPr>
    </w:p>
    <w:p>
      <w:pPr>
        <w:jc w:val="both"/>
        <w:ind w:right="320" w:firstLine="1305"/>
        <w:spacing w:after="0" w:line="266" w:lineRule="auto"/>
        <w:tabs>
          <w:tab w:leader="none" w:pos="19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Block Trade</w:t>
      </w:r>
      <w:r>
        <w:rPr>
          <w:rFonts w:ascii="Arial" w:cs="Arial" w:eastAsia="Arial" w:hAnsi="Arial"/>
          <w:sz w:val="18"/>
          <w:szCs w:val="18"/>
          <w:color w:val="auto"/>
        </w:rPr>
        <w:t>” means an offering and/or sale of Registrable Securities by an Investor on an underwritten block trade basis or similar underwritten transaction without substantial marketing efforts prior to pricing, including a same day trade, overnight trade or similar transaction.</w:t>
      </w:r>
    </w:p>
    <w:p>
      <w:pPr>
        <w:spacing w:after="0" w:line="180" w:lineRule="exact"/>
        <w:rPr>
          <w:rFonts w:ascii="Arial" w:cs="Arial" w:eastAsia="Arial" w:hAnsi="Arial"/>
          <w:sz w:val="18"/>
          <w:szCs w:val="18"/>
          <w:color w:val="auto"/>
        </w:rPr>
      </w:pPr>
    </w:p>
    <w:p>
      <w:pPr>
        <w:ind w:firstLine="656"/>
        <w:spacing w:after="0" w:line="288" w:lineRule="auto"/>
        <w:tabs>
          <w:tab w:leader="none" w:pos="123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Commencing upon the issuance of Common Shares to such Investor pursuant to the Merger Agreement and continuing thereafter until the end of the Standstill Period (as defined below), each Investor will, and will cause each member of its applicable Investor Group to, (i) cause all Common Shares beneficially owned by such Investor and the members of its Investor Group that they are entitled to vote at any meeting of stockholders to be present, in person or by proxy, at all meetings of the Company’s stockholders so that such Common Shares will be counted as present for purposes of determining the presence of a quorum of stockholders at such meeting, and (ii) cause all Common Shares beneficially owned by such Investor and the members of its Investor Group that they are entitled to vote at any meeting of stockholders to be voted in favor of the recommendations of the Company Board with respect to (A) the election of each member of any slate of directors recommended by the Company Board, (B) the removal of any director from the Company Board, and (C) any matter on which a brokerage or similar firm would have discretion to vote Common Shares held of record by such firm on behalf of the record owners (assuming such record holder did not provide voting instructions) in accordance with the rules and regulations of the New York Stock Exchange (which, for the avoidance of doubt, excludes any potential Change of Control).</w:t>
      </w:r>
    </w:p>
    <w:p>
      <w:pPr>
        <w:spacing w:after="0" w:line="169" w:lineRule="exact"/>
        <w:rPr>
          <w:rFonts w:ascii="Arial" w:cs="Arial" w:eastAsia="Arial" w:hAnsi="Arial"/>
          <w:sz w:val="16"/>
          <w:szCs w:val="16"/>
          <w:color w:val="auto"/>
        </w:rPr>
      </w:pPr>
    </w:p>
    <w:p>
      <w:pPr>
        <w:ind w:left="1240" w:hanging="584"/>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Standstill</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3.1 As of the date of this Agreement, except as previously disclosed in writing to the Company, if any, each Investor represents that neither it nor any of the members of its applicable Investor Group (excluding the Core Deal Team in any individual capacity) beneficially owns any Common Shares or other securities entitled to be voted generally in the election of the Company Board or any direct or indirect options or other rights to acquire, or securities or other instruments that are convertible into, any such securities (collectively,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3.2 Other than as set forth herein, during the period commencing on the date hereof and ending on March 31, 2020 (the “</w:t>
      </w:r>
      <w:r>
        <w:rPr>
          <w:rFonts w:ascii="Arial" w:cs="Arial" w:eastAsia="Arial" w:hAnsi="Arial"/>
          <w:sz w:val="18"/>
          <w:szCs w:val="18"/>
          <w:u w:val="single" w:color="auto"/>
          <w:color w:val="auto"/>
        </w:rPr>
        <w:t>Standstill Period</w:t>
      </w:r>
      <w:r>
        <w:rPr>
          <w:rFonts w:ascii="Arial" w:cs="Arial" w:eastAsia="Arial" w:hAnsi="Arial"/>
          <w:sz w:val="18"/>
          <w:szCs w:val="18"/>
          <w:color w:val="auto"/>
        </w:rPr>
        <w:t>”), no Investor will, and each Investor will cause its applicable members of its Investor Group not to, directly or indirectly, singly or with any other person (including any other Investor), unless invited in writing by the Company Board to take such action: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 w:name="page12"/>
    <w:bookmarkEnd w:id="11"/>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beneficial ownership of any Securities, or make a tender, exchange or other offer to acquire any Securities;</w:t>
      </w:r>
    </w:p>
    <w:p>
      <w:pPr>
        <w:spacing w:after="0" w:line="225" w:lineRule="exact"/>
        <w:rPr>
          <w:rFonts w:ascii="Arial" w:cs="Arial" w:eastAsia="Arial" w:hAnsi="Arial"/>
          <w:sz w:val="18"/>
          <w:szCs w:val="18"/>
          <w:color w:val="auto"/>
        </w:rPr>
      </w:pPr>
    </w:p>
    <w:p>
      <w:pPr>
        <w:ind w:firstLine="1305"/>
        <w:spacing w:after="0" w:line="264" w:lineRule="auto"/>
        <w:tabs>
          <w:tab w:leader="none" w:pos="19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the Company or its Securities, make, engage or in any way participate in, directly or indirectly, any “solicitation” (as such term is used in the proxy rules of the SEC) of proxies or consents (whether or not relating to the election or removal of directors), or seek to advise or influence any third Person with respect to the voting of any Securities;</w:t>
      </w:r>
    </w:p>
    <w:p>
      <w:pPr>
        <w:spacing w:after="0" w:line="181" w:lineRule="exact"/>
        <w:rPr>
          <w:rFonts w:ascii="Arial" w:cs="Arial" w:eastAsia="Arial" w:hAnsi="Arial"/>
          <w:sz w:val="18"/>
          <w:szCs w:val="18"/>
          <w:color w:val="auto"/>
        </w:rPr>
      </w:pPr>
    </w:p>
    <w:p>
      <w:pPr>
        <w:ind w:right="400" w:firstLine="1305"/>
        <w:spacing w:after="0" w:line="342" w:lineRule="auto"/>
        <w:tabs>
          <w:tab w:leader="none" w:pos="19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call or seek to have called any meeting of the stockholders of the Company, propose or nominate for election to the Company Board any Person or cause any of its Securities to be voted in favor of any Person whose nomination has not been approved by the Company Board;</w:t>
      </w:r>
    </w:p>
    <w:p>
      <w:pPr>
        <w:spacing w:after="0" w:line="123" w:lineRule="exact"/>
        <w:rPr>
          <w:rFonts w:ascii="Arial" w:cs="Arial" w:eastAsia="Arial" w:hAnsi="Arial"/>
          <w:sz w:val="16"/>
          <w:szCs w:val="16"/>
          <w:color w:val="auto"/>
        </w:rPr>
      </w:pPr>
    </w:p>
    <w:p>
      <w:pPr>
        <w:ind w:right="100" w:firstLine="1305"/>
        <w:spacing w:after="0" w:line="312" w:lineRule="auto"/>
        <w:tabs>
          <w:tab w:leader="none" w:pos="19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initiate, propose or otherwise “solicit” (as such term is used in the proxy rules of the SEC) shareholders of the Company for the approval of shareholder proposals made to the Company, whether made pursuant to Rule 14a-8 or Rule 14a-4 under the Exchange Act or otherwise, or cause or encourage or attempt to cause or encourage any other person to initiate any such shareholder proposal, regardless of its purpose;</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deposit any Securities in a voting trust or subject any Securities to any arrangement or agreement with respect to the voting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0" w:lineRule="exact"/>
        <w:rPr>
          <w:rFonts w:ascii="Arial" w:cs="Arial" w:eastAsia="Arial" w:hAnsi="Arial"/>
          <w:sz w:val="16"/>
          <w:szCs w:val="16"/>
          <w:color w:val="auto"/>
        </w:rPr>
      </w:pPr>
    </w:p>
    <w:p>
      <w:pPr>
        <w:ind w:right="80" w:firstLine="1305"/>
        <w:spacing w:after="0" w:line="277" w:lineRule="auto"/>
        <w:tabs>
          <w:tab w:leader="none" w:pos="19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propose or publicly announce or otherwise publicly disclose an intent to engage in any form of business combination, acquisition, Change of Control transaction or similar transaction relating to the Company or any of its subsidiaries;</w:t>
      </w:r>
    </w:p>
    <w:p>
      <w:pPr>
        <w:spacing w:after="0" w:line="170" w:lineRule="exact"/>
        <w:rPr>
          <w:rFonts w:ascii="Arial" w:cs="Arial" w:eastAsia="Arial" w:hAnsi="Arial"/>
          <w:sz w:val="18"/>
          <w:szCs w:val="18"/>
          <w:color w:val="auto"/>
        </w:rPr>
      </w:pPr>
    </w:p>
    <w:p>
      <w:pPr>
        <w:ind w:right="200" w:firstLine="1305"/>
        <w:spacing w:after="0" w:line="259" w:lineRule="auto"/>
        <w:tabs>
          <w:tab w:leader="none" w:pos="19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act in concert with others (including any THL Investor, in the case of a GS Investor, or any GS Investor, in the case of a THL Investor) to take any action in clauses (a) through (f) above or to form a group with others with respect to any Securities or (ii) enter into discussions, negotiations, arrangements or agreements with others (including any THL Investor, in the case of a GS Investor, or any GS Investor, in the case of a THL Investor) relating to the actions referred to in clauses (a) through (f) above; or</w:t>
      </w:r>
    </w:p>
    <w:p>
      <w:pPr>
        <w:spacing w:after="0" w:line="186" w:lineRule="exact"/>
        <w:rPr>
          <w:rFonts w:ascii="Arial" w:cs="Arial" w:eastAsia="Arial" w:hAnsi="Arial"/>
          <w:sz w:val="18"/>
          <w:szCs w:val="18"/>
          <w:color w:val="auto"/>
        </w:rPr>
      </w:pPr>
    </w:p>
    <w:p>
      <w:pPr>
        <w:ind w:right="320" w:firstLine="1305"/>
        <w:spacing w:after="0" w:line="277" w:lineRule="auto"/>
        <w:tabs>
          <w:tab w:leader="none" w:pos="19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any action which would reasonably be expected to require the Company to make a public announcement in respect of any matter contemplated by this Section 3.2.</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right="20" w:firstLine="648"/>
        <w:spacing w:after="0" w:line="253" w:lineRule="auto"/>
        <w:rPr>
          <w:sz w:val="20"/>
          <w:szCs w:val="20"/>
          <w:color w:val="auto"/>
        </w:rPr>
      </w:pPr>
      <w:r>
        <w:rPr>
          <w:rFonts w:ascii="Arial" w:cs="Arial" w:eastAsia="Arial" w:hAnsi="Arial"/>
          <w:sz w:val="18"/>
          <w:szCs w:val="18"/>
          <w:color w:val="auto"/>
        </w:rPr>
        <w:t>3.3 Notwithstanding anything in Section 3.2 to the contrary, the restrictions set forth in Section 3.2 will not apply, solely to the extent necessary to facilitate a public or private offer by an Investor to enter into a Change of Control transaction, upon the earlier to occur of (a) the public announcement by the Company of its entry into a definitive agreement providing for a Change of Control and (b) as long as such Investor has not violated Section 3.2 with respect to such third Person, the public announcement by a third Person of any tender, exchange or other offer or proposal the consummation of which would result in a Change of Control (an “</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of the transactions referred to in (a) or (b) terminates and the Company has not made a public announcement of its intent to solicit or engage in a transaction (or has announced its decision to discontinue pursuing such a transaction) the consummation of which would result in a Change of Control, then the restrictions contained in Section 3.2 will again be applicable (for the avoidance of doubt prior to March 31, 2020 and subject to the foregoing clauses (a) and (b)). Nothing in this Section 3 will preclude an Investor from submitting a confidential proposal to the Chairman of the Company Board for a potential Change of Control transaction as long as such confidential proposal is made in a manner that would not reasonably be expected to require the Company to make a public announcement regarding such confidential proposal.</w:t>
      </w:r>
    </w:p>
    <w:p>
      <w:pPr>
        <w:spacing w:after="0" w:line="193" w:lineRule="exact"/>
        <w:rPr>
          <w:sz w:val="20"/>
          <w:szCs w:val="20"/>
          <w:color w:val="auto"/>
        </w:rPr>
      </w:pPr>
    </w:p>
    <w:p>
      <w:pPr>
        <w:ind w:left="660" w:right="7500" w:hanging="4"/>
        <w:spacing w:after="0" w:line="501" w:lineRule="auto"/>
        <w:tabs>
          <w:tab w:leader="none" w:pos="124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Public Sale of Registrable Securities</w:t>
      </w:r>
      <w:r>
        <w:rPr>
          <w:rFonts w:ascii="Arial" w:cs="Arial" w:eastAsia="Arial" w:hAnsi="Arial"/>
          <w:sz w:val="18"/>
          <w:szCs w:val="18"/>
          <w:color w:val="auto"/>
        </w:rPr>
        <w:t xml:space="preserve">. 4.1 </w:t>
      </w: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ind w:firstLine="1305"/>
        <w:spacing w:after="0" w:line="285" w:lineRule="auto"/>
        <w:tabs>
          <w:tab w:leader="none" w:pos="194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Form S-3</w:t>
      </w:r>
      <w:r>
        <w:rPr>
          <w:rFonts w:ascii="Arial" w:cs="Arial" w:eastAsia="Arial" w:hAnsi="Arial"/>
          <w:sz w:val="16"/>
          <w:szCs w:val="16"/>
          <w:color w:val="auto"/>
        </w:rPr>
        <w:t>. As long as the Company is eligible to use Form S-3 for secondary offerings, the Company will, no later than six months following the Closing Date (but no earlier than 15 Business Days prior to the date that is six months following the Closing) (as defined in the Merger Agreement), file and cause to be automatically effective or declared effective, as applicable, a shelf registration statement on Form S-3 under the Securities Act covering the resale of the Registrable Securities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which, as long as the Company is a well-known seasoned issuer (as defined in Rule 405 under the Securities Act) (a “</w:t>
      </w:r>
      <w:r>
        <w:rPr>
          <w:rFonts w:ascii="Arial" w:cs="Arial" w:eastAsia="Arial" w:hAnsi="Arial"/>
          <w:sz w:val="16"/>
          <w:szCs w:val="16"/>
          <w:u w:val="single" w:color="auto"/>
          <w:color w:val="auto"/>
        </w:rPr>
        <w:t>WKSI</w:t>
      </w:r>
      <w:r>
        <w:rPr>
          <w:rFonts w:ascii="Arial" w:cs="Arial" w:eastAsia="Arial" w:hAnsi="Arial"/>
          <w:sz w:val="16"/>
          <w:szCs w:val="16"/>
          <w:color w:val="auto"/>
        </w:rPr>
        <w:t xml:space="preserve">”), will be filed as an automatic shelf registration statement. The Shelf Registration Statement will remain continuously effective for the benefit of each Investor Group until the earlier of (i) the date on which such Investor Group collectively disposes of all Registrable Securities beneficially owned by the applicable Investor Group in excess of 1% of the then-outstanding Common Shares and (ii) the date that is three years after the date on which the Shelf Registration Statement became effective, subject to an extension equal to the aggregate number of days of any Blackout Periods. No later than 10 days prior to filing the Shelf Registration Statement, the Company will notify the Investors of the intended filing date. The Investors will provide such information and other cooperation as the Company reasonably requests in connection with the preparation, filing and use of any registration statement pursuant to this Section 4.1(a), including information required by Item 507 of Regulation S-K promulgated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in this Section 4.1(a) to the contrary, the Company may delay the registration of Registrable Securities as necessary if the Investors fail to provide information within the scope of this sentence within a reasonable time after receiving a request. The Company will use its reasonable best efforts to remain a WKSI and not become an ineligible issuer (as defined in Rule 405 under the Securities Act) during the period beginning on the date hereof and through the date on which the Shelf Registration Statement is required to remain effective. If the Shelf Registration Statement is an automatic shelf registration statement and the Company no longer qualifies as a WKSI, the Company will, as and when required under the Securities Act, file an appropriate amendment to the Shelf Registration on Form S-3 so that it continues to be usable. In the event the Company is no longer qualified for registration on Form S-3 for the resale of the Registrable Securities, the Company will use its reasonable best efforts to effect registration pursuant to this Section 4.1(a) on Form S-1 or any successor form thereto to the same extent as the Company would be required to effect registrations on Form S-3, and any such registration statement shall be deemed to be a Shelf Registration Statement for purposes of this Agreement.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760" w:hanging="655"/>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Underwritten Demands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40" w:firstLine="1293"/>
        <w:spacing w:after="0" w:line="253"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 any time after the date that is six months following the Closing Date (as defined in the Merger Agreement), on up to an aggregate of four occasions for all Investors collectively, an Investor (the “</w:t>
      </w:r>
      <w:r>
        <w:rPr>
          <w:rFonts w:ascii="Arial" w:cs="Arial" w:eastAsia="Arial" w:hAnsi="Arial"/>
          <w:sz w:val="18"/>
          <w:szCs w:val="18"/>
          <w:u w:val="single" w:color="auto"/>
          <w:color w:val="auto"/>
        </w:rPr>
        <w:t>Demanding Investor</w:t>
      </w:r>
      <w:r>
        <w:rPr>
          <w:rFonts w:ascii="Arial" w:cs="Arial" w:eastAsia="Arial" w:hAnsi="Arial"/>
          <w:sz w:val="18"/>
          <w:szCs w:val="18"/>
          <w:color w:val="auto"/>
        </w:rPr>
        <w:t>”) will be entitled to deliver a notice to the Company (a “</w:t>
      </w:r>
      <w:r>
        <w:rPr>
          <w:rFonts w:ascii="Arial" w:cs="Arial" w:eastAsia="Arial" w:hAnsi="Arial"/>
          <w:sz w:val="18"/>
          <w:szCs w:val="18"/>
          <w:u w:val="single" w:color="auto"/>
          <w:color w:val="auto"/>
        </w:rPr>
        <w:t>Demand Notice</w:t>
      </w:r>
      <w:r>
        <w:rPr>
          <w:rFonts w:ascii="Arial" w:cs="Arial" w:eastAsia="Arial" w:hAnsi="Arial"/>
          <w:sz w:val="18"/>
          <w:szCs w:val="18"/>
          <w:color w:val="auto"/>
        </w:rPr>
        <w:t>”) stating that it intends to sell all or part of its Registrable Securities included by it on the Shelf Registration Statement in an underwritten public offering (a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and the Company will reasonably promptly (and in any event within 30 days after the receipt of a Demand Notice) take all actions reasonably required, including preparing and, if required by applicable law, filing any amendment or supplement to the related prospectus or an amendment or supplement to any document incorporated therein by reference or any other required document in such a manner as to permit such Investor to deliver or be deemed to deliver such prospectus to purchasers of Registrable Securities in accordance with applicable law and to enable such Registrable Securities to be offered, sold and distributed in the Underwritten public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Blackout Period exists at the time the Demand Notice is delivered, the Company will provide the Demanding Investor notice of the existence of the Blackout Period and the Company will not be required to take any action under this Section 4.1(b) during the pendency of any Blackout Period.</w:t>
      </w:r>
    </w:p>
    <w:p>
      <w:pPr>
        <w:spacing w:after="0" w:line="192" w:lineRule="exact"/>
        <w:rPr>
          <w:rFonts w:ascii="Arial" w:cs="Arial" w:eastAsia="Arial" w:hAnsi="Arial"/>
          <w:sz w:val="18"/>
          <w:szCs w:val="18"/>
          <w:color w:val="auto"/>
        </w:rPr>
      </w:pPr>
    </w:p>
    <w:p>
      <w:pPr>
        <w:ind w:left="-540" w:firstLine="1293"/>
        <w:spacing w:after="0" w:line="287" w:lineRule="auto"/>
        <w:tabs>
          <w:tab w:leader="none" w:pos="1372"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Any Underwritten Offering initiated by a Demand Notice must include an amount of Registrable Securities (including the amount of Registrable Securities held by any Piggybacking Investors as further described below) having an aggregate value of at least $50,000,000 based on the anticipated offering price as reasonably determined in good faith by the Investor providing the Demand Notice (or a lesser amount if the Registrable Securities requested by the Demanding Investor to be included in such Demand Notice constitute all of the Registrable Securities held by the Demanding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Investors may not deliver more than one Demand Notice in any three-month period. In connection with any such Underwritten Offering, the other Investors (the “</w:t>
      </w:r>
      <w:r>
        <w:rPr>
          <w:rFonts w:ascii="Arial" w:cs="Arial" w:eastAsia="Arial" w:hAnsi="Arial"/>
          <w:sz w:val="16"/>
          <w:szCs w:val="16"/>
          <w:u w:val="single" w:color="auto"/>
          <w:color w:val="auto"/>
        </w:rPr>
        <w:t>Piggybacking Investors</w:t>
      </w:r>
      <w:r>
        <w:rPr>
          <w:rFonts w:ascii="Arial" w:cs="Arial" w:eastAsia="Arial" w:hAnsi="Arial"/>
          <w:sz w:val="16"/>
          <w:szCs w:val="16"/>
          <w:color w:val="auto"/>
        </w:rPr>
        <w:t>”) will be entitled to include all or a part of their respective Registrable Securities in such Underwritten Offering. If the managing underwriter or underwriters of such Underwritten Offering have informed the Demanding Investor and the Piggybacking Investors in writing that it is their good faith opinion that the total amount of securities that the Demanding Investor and the Piggybacking Investors intend to include in such offering exceeds the number that can be sold in such offering without adversely affecting the success of such offering, then there will be included in such offering the number or dollar amount of such securities that in the good faith opinion of such managing underwriter or underwriters can be sold without adversely affecting such offering, and such number of securities will be allocated on a pro rata basis among the Demanding Investor and the Piggybacking Investors.</w:t>
      </w:r>
    </w:p>
    <w:p>
      <w:pPr>
        <w:spacing w:after="0" w:line="3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4" w:name="page15"/>
    <w:bookmarkEnd w:id="14"/>
    <w:p>
      <w:pPr>
        <w:ind w:left="640" w:right="20" w:firstLine="1293"/>
        <w:spacing w:after="0" w:line="287" w:lineRule="auto"/>
        <w:tabs>
          <w:tab w:leader="none" w:pos="2522"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to this Agreement, if any Investor wishes to engage in an Underwritten Block Trade-off of the Shelf Registration Statement, then notwithstanding the foregoing time periods, (A) such Investor needs to notify the Company of the Underwritten Block Trade no later than (I) 5:00 p.m. Eastern Time on the second Business Day prior to the day the first Underwritten Block Trade is to commence (or if such Underwritten Block Trade is to commence on a Monday, no later than 5:00 p.m. Eastern time on the prior Friday) or (II) 2:00 p.m. Eastern time on the Business Day prior to the day any subsequent Underwritten Block Trade is to commence, (B) the Company shall notify the other Investors no later than 10:00 a.m. Eastern time on the day such Underwritten Block Trade is to commence, (C) the other investors must elect whether or not to participate in the Underwritten Block Trade no later than 1:00 p.m. Eastern time on the day such Underwritten Block Trade is to commence and (D) the Company shall as expeditiously as reasonably possible, but subject to any Blackout Period, use its reasonable best efforts (including cooperating with the other Investors with respect to the provision of necessary information) to facilitate such Underwritten Block Trade (which may close as early as three Business Days after the date it commences);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Demanding Investor requesting such Underwritten Block Trade shall use its reasonable best efforts to work with the Company and the underwriters in order to facilitate preparation of the prospectus and other offering documentation related to the Underwritten Block Trade.</w:t>
      </w:r>
    </w:p>
    <w:p>
      <w:pPr>
        <w:spacing w:after="0" w:line="168" w:lineRule="exact"/>
        <w:rPr>
          <w:rFonts w:ascii="Arial" w:cs="Arial" w:eastAsia="Arial" w:hAnsi="Arial"/>
          <w:sz w:val="16"/>
          <w:szCs w:val="16"/>
          <w:color w:val="auto"/>
        </w:rPr>
      </w:pPr>
    </w:p>
    <w:p>
      <w:pPr>
        <w:ind w:left="640" w:right="220" w:firstLine="1293"/>
        <w:spacing w:after="0" w:line="259" w:lineRule="auto"/>
        <w:tabs>
          <w:tab w:leader="none" w:pos="25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connection with all Underwritten Offerings (including any Underwritten Block Trades) pursuant to Section 4.1(a) and (b), the managing underwriter or underwriters, as well as other investment banks involved in the offering as underwriters or otherwise, will be selected by the Investors holding a majority of the Registrable Securities participating in such offering with the consent of the Company (which consent shall not be unreasonably withheld, conditioned or delayed).</w:t>
      </w:r>
    </w:p>
    <w:p>
      <w:pPr>
        <w:spacing w:after="0" w:line="186" w:lineRule="exact"/>
        <w:rPr>
          <w:rFonts w:ascii="Arial" w:cs="Arial" w:eastAsia="Arial" w:hAnsi="Arial"/>
          <w:sz w:val="18"/>
          <w:szCs w:val="18"/>
          <w:color w:val="auto"/>
        </w:rPr>
      </w:pPr>
    </w:p>
    <w:p>
      <w:pPr>
        <w:ind w:left="-20" w:right="60" w:firstLine="1305"/>
        <w:spacing w:after="0" w:line="259" w:lineRule="auto"/>
        <w:tabs>
          <w:tab w:leader="none" w:pos="19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Investors will provide such information and other cooperation as the Company reasonably requests in connection with the offering of any Registrable Securities pursuant to this Section 4.1, including information required by Item 507 of Regulation S-K promulgated under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delay as necessary the offering of Registrable Securities if the Investor fails to provide information within the scope of this sentence within a reasonable time after receiving a request.</w:t>
      </w:r>
    </w:p>
    <w:p>
      <w:pPr>
        <w:spacing w:after="0" w:line="186" w:lineRule="exact"/>
        <w:rPr>
          <w:rFonts w:ascii="Arial" w:cs="Arial" w:eastAsia="Arial" w:hAnsi="Arial"/>
          <w:sz w:val="18"/>
          <w:szCs w:val="18"/>
          <w:color w:val="auto"/>
        </w:rPr>
      </w:pPr>
    </w:p>
    <w:p>
      <w:pPr>
        <w:ind w:left="-20" w:firstLine="1305"/>
        <w:spacing w:after="0" w:line="285" w:lineRule="auto"/>
        <w:tabs>
          <w:tab w:leader="none" w:pos="193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Piggyback Registration</w:t>
      </w:r>
      <w:r>
        <w:rPr>
          <w:rFonts w:ascii="Arial" w:cs="Arial" w:eastAsia="Arial" w:hAnsi="Arial"/>
          <w:sz w:val="16"/>
          <w:szCs w:val="16"/>
          <w:color w:val="auto"/>
        </w:rPr>
        <w:t>. Prior to filing a registration statement under the Securities Act for the registration of any Common Shares for its own account (other than a registration statement on a Form S-4 or S-8 or filed in connection with an exchange offer, an offering of securities solely to the Company’s existing stockholders, or a registration statement registering Common Shares that is issuable solely upon conversion of debt securities or a registration statement solely with respect to an equity compensation plan) in a manner that would also permit the registration of Registrable Securities, the Company will each such time promptly give each Investor written notice of its intent to file such registration statement, setting forth the date on which the Company intends to file such registration statement (or prospectus filed pursuant to Rule 424 under the Securities Act relating to an effective shelf registration statement), which date shall be no earlier than ten Business Days from the date of such notice, and advising the Investors of their right to have Registrable Securities included in such registration. Upon the written request of an Investor received by the Company no later than five Business Days after the date of the Company’s notice to such Investor, the Company shall use its reasonable best efforts to cause to be registered under the Securities Act pursuant to such registration statement (or included in such prospectus) all of the Registrable Securities that each such Investor has so requested to be registered or included, as applicable. If the managing underwriter or underwriters of any Underwritten Offering advises the Company in writing (or, in the case of a non-Underwritten Offering, if in the reasonable opinion of the Company, the Company determines) that the total amount of securities to be so registered or included, as applicable, including such Registrable Securities, will exceed the maximum amount of the Company’s securities that can be sold in such offering without adversely affecting the marketability or the price per share of the Common Shares proposed to be sold in such offering, then the Company shall be entitled to reduce the number of shares of Registrable Securities to be sold in such offering among the Investors on a pro rata basis (based on the number of Registrable Securities proposed to be registered or included by the Investors in such offering).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 w:name="page16"/>
    <w:bookmarkEnd w:id="15"/>
    <w:p>
      <w:pPr>
        <w:ind w:left="-60" w:right="80" w:firstLine="1305"/>
        <w:spacing w:after="0" w:line="270" w:lineRule="auto"/>
        <w:tabs>
          <w:tab w:leader="none" w:pos="188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Lock-up Agreements</w:t>
      </w:r>
      <w:r>
        <w:rPr>
          <w:rFonts w:ascii="Arial" w:cs="Arial" w:eastAsia="Arial" w:hAnsi="Arial"/>
          <w:sz w:val="17"/>
          <w:szCs w:val="17"/>
          <w:color w:val="auto"/>
        </w:rPr>
        <w:t xml:space="preserve">. If requested by the managing underwriter or underwriters in an Underwritten Offering, whether or not such offering includes Registrable Securities, each Investor will, and will cause each member of its Investor Group to, not effect any public sale or distribution of Common Shares (except as part of such Underwritten Offering), including a sale pursuant to Rule 144 of the Securities Act or any swap or other economic arrangement that transfers to another Person any of the economic consequences of owning Common Shares, during the time reasonably requested by the managing underwriter or underwriters, not to exceed 90 days or such shorter period as the managing underwriter or underwriters shall agree to; </w:t>
      </w:r>
      <w:r>
        <w:rPr>
          <w:rFonts w:ascii="Arial" w:cs="Arial" w:eastAsia="Arial" w:hAnsi="Arial"/>
          <w:sz w:val="17"/>
          <w:szCs w:val="17"/>
          <w:u w:val="single" w:color="auto"/>
          <w:color w:val="auto"/>
        </w:rPr>
        <w:t>provided</w:t>
      </w:r>
      <w:r>
        <w:rPr>
          <w:rFonts w:ascii="Arial" w:cs="Arial" w:eastAsia="Arial" w:hAnsi="Arial"/>
          <w:sz w:val="17"/>
          <w:szCs w:val="17"/>
          <w:color w:val="auto"/>
        </w:rPr>
        <w:t>, that if a managing underwriter or underwriters of an offering releases any Investor of its similar obligations, each other Investor shall be released from its obligations under this Section 4.1(e), on a pro rata basis, in accordance with the number of Registrable Securities held by them at such time. In the event that a managing underwriter or underwriters requests that members of the Investor Groups not make public sales or distributions pursuant to this Section 4.1(e), each Investor will, and will cause applicable members of its Investor Group to, enter into a written agreement memorializing such obligations, which agreement will otherwise be on customary terms.</w:t>
      </w:r>
    </w:p>
    <w:p>
      <w:pPr>
        <w:spacing w:after="0" w:line="177" w:lineRule="exact"/>
        <w:rPr>
          <w:rFonts w:ascii="Arial" w:cs="Arial" w:eastAsia="Arial" w:hAnsi="Arial"/>
          <w:sz w:val="17"/>
          <w:szCs w:val="17"/>
          <w:color w:val="auto"/>
        </w:rPr>
      </w:pPr>
    </w:p>
    <w:p>
      <w:pPr>
        <w:ind w:left="-60" w:right="140" w:firstLine="1305"/>
        <w:spacing w:after="0" w:line="277" w:lineRule="auto"/>
        <w:tabs>
          <w:tab w:leader="none" w:pos="19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Investor shall promptly, and in any event within ten Business Days thereafter, provide written notice to the Company in the event that it ceases to beneficially own any Registrable Securities.</w:t>
      </w:r>
    </w:p>
    <w:p>
      <w:pPr>
        <w:spacing w:after="0" w:line="17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Section 4.1 to effect the registration of any Registrable Securities, the Company will:</w:t>
      </w:r>
    </w:p>
    <w:p>
      <w:pPr>
        <w:spacing w:after="0" w:line="225" w:lineRule="exact"/>
        <w:rPr>
          <w:sz w:val="20"/>
          <w:szCs w:val="20"/>
          <w:color w:val="auto"/>
        </w:rPr>
      </w:pPr>
    </w:p>
    <w:p>
      <w:pPr>
        <w:ind w:left="-60" w:firstLine="1305"/>
        <w:spacing w:after="0" w:line="287" w:lineRule="auto"/>
        <w:tabs>
          <w:tab w:leader="none" w:pos="18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its reasonable best efforts to cause such registration statement to become effective and remain continuously effective under the Securities Act, subject to any Blackout Periods (</w:t>
      </w:r>
      <w:r>
        <w:rPr>
          <w:rFonts w:ascii="Arial" w:cs="Arial" w:eastAsia="Arial" w:hAnsi="Arial"/>
          <w:sz w:val="16"/>
          <w:szCs w:val="16"/>
          <w:u w:val="single" w:color="auto"/>
          <w:color w:val="auto"/>
        </w:rPr>
        <w:t>provided</w:t>
      </w:r>
      <w:r>
        <w:rPr>
          <w:rFonts w:ascii="Arial" w:cs="Arial" w:eastAsia="Arial" w:hAnsi="Arial"/>
          <w:sz w:val="16"/>
          <w:szCs w:val="16"/>
          <w:color w:val="auto"/>
        </w:rPr>
        <w:t>, that, as far in advance as reasonably practicable before filing a registration statement or prospectus or any amendments or supplements thereto (other than any deemed amendment of a registration statement or prospectus by means of a document filed by the Company under the Exchange Act), or any free writing prospectus related thereto, or before sending a response to an SEC comment letter prior to any such filing, the Company will furnish to counsel for the Investors with Registrable Securities included in such registration statement or prospectus copies of reasonably complete drafts of all such documents proposed to be filed (including all exhibits thereto), which documents will be subject to the reasonable review and reasonable comment of such counsel and the Company shall consider in good faith any comments from such counsel (including any reasonable objections to any information pertaining to any such Investor and its plan of distribution and otherwise to the extent necessary, if at all, to complete the filing or maintain the effectiveness thereof), and make the Company’s representatives reasonably available for discussion of such document prior to the filing thereof as counsel for the Investors or underwriters may reasonably request, and the Company shall consider in good faith the changes reasonably and timely requested by such counsel;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16" w:name="page17"/>
    <w:bookmarkEnd w:id="16"/>
    <w:p>
      <w:pPr>
        <w:ind w:left="-40" w:right="120" w:firstLine="1305"/>
        <w:spacing w:after="0" w:line="264" w:lineRule="auto"/>
        <w:tabs>
          <w:tab w:leader="none" w:pos="19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 without charge, to the Investors and to any underwriters such number of copies of a prospectus, including a preliminary prospectus, as required by the Securities Act, and such other documents as the Investors and/or underwriters may reasonably request in order to facilitate the disposition of Registrable Securities;</w:t>
      </w:r>
    </w:p>
    <w:p>
      <w:pPr>
        <w:spacing w:after="0" w:line="181" w:lineRule="exact"/>
        <w:rPr>
          <w:rFonts w:ascii="Arial" w:cs="Arial" w:eastAsia="Arial" w:hAnsi="Arial"/>
          <w:sz w:val="18"/>
          <w:szCs w:val="18"/>
          <w:color w:val="auto"/>
        </w:rPr>
      </w:pPr>
    </w:p>
    <w:p>
      <w:pPr>
        <w:ind w:left="1920" w:hanging="655"/>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promptly following its actual knowledge thereof, notify the Investors:</w:t>
      </w:r>
    </w:p>
    <w:p>
      <w:pPr>
        <w:spacing w:after="0" w:line="225" w:lineRule="exact"/>
        <w:rPr>
          <w:rFonts w:ascii="Arial" w:cs="Arial" w:eastAsia="Arial" w:hAnsi="Arial"/>
          <w:sz w:val="18"/>
          <w:szCs w:val="18"/>
          <w:color w:val="auto"/>
        </w:rPr>
      </w:pPr>
    </w:p>
    <w:p>
      <w:pPr>
        <w:ind w:left="620" w:right="160" w:firstLine="1293"/>
        <w:spacing w:after="0" w:line="264" w:lineRule="auto"/>
        <w:tabs>
          <w:tab w:leader="none" w:pos="25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of the time when such registration statement has been declared effective or when a supplement or amendment to any prospectus forming a part of such registration statement has been filed (other than any deemed amendment of such registration statement by means of a document filed by the Company under the Exchange Act);</w:t>
      </w:r>
    </w:p>
    <w:p>
      <w:pPr>
        <w:spacing w:after="0" w:line="181" w:lineRule="exact"/>
        <w:rPr>
          <w:rFonts w:ascii="Arial" w:cs="Arial" w:eastAsia="Arial" w:hAnsi="Arial"/>
          <w:sz w:val="18"/>
          <w:szCs w:val="18"/>
          <w:color w:val="auto"/>
        </w:rPr>
      </w:pPr>
    </w:p>
    <w:p>
      <w:pPr>
        <w:ind w:left="620" w:right="280" w:firstLine="1293"/>
        <w:spacing w:after="0" w:line="277" w:lineRule="auto"/>
        <w:tabs>
          <w:tab w:leader="none" w:pos="25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of any request by the SEC that the Company amend or supplement such registration statement or prospectus forming a part of such registration statement or for additional information;</w:t>
      </w:r>
    </w:p>
    <w:p>
      <w:pPr>
        <w:spacing w:after="0" w:line="170" w:lineRule="exact"/>
        <w:rPr>
          <w:rFonts w:ascii="Arial" w:cs="Arial" w:eastAsia="Arial" w:hAnsi="Arial"/>
          <w:sz w:val="18"/>
          <w:szCs w:val="18"/>
          <w:color w:val="auto"/>
        </w:rPr>
      </w:pPr>
    </w:p>
    <w:p>
      <w:pPr>
        <w:ind w:left="620" w:right="300" w:firstLine="1293"/>
        <w:spacing w:after="0" w:line="277" w:lineRule="auto"/>
        <w:tabs>
          <w:tab w:leader="none" w:pos="25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of the issuance by the SEC or any other governmental authority of any stop order suspending the effectiveness of such registration statement or the initiation of any proceeding for such purpose; and</w:t>
      </w:r>
    </w:p>
    <w:p>
      <w:pPr>
        <w:spacing w:after="0" w:line="170" w:lineRule="exact"/>
        <w:rPr>
          <w:rFonts w:ascii="Arial" w:cs="Arial" w:eastAsia="Arial" w:hAnsi="Arial"/>
          <w:sz w:val="18"/>
          <w:szCs w:val="18"/>
          <w:color w:val="auto"/>
        </w:rPr>
      </w:pPr>
    </w:p>
    <w:p>
      <w:pPr>
        <w:ind w:left="620" w:right="40" w:firstLine="1293"/>
        <w:spacing w:after="0" w:line="279" w:lineRule="auto"/>
        <w:tabs>
          <w:tab w:leader="none" w:pos="2536" w:val="left"/>
        </w:tabs>
        <w:numPr>
          <w:ilvl w:val="1"/>
          <w:numId w:val="19"/>
        </w:numPr>
        <w:rPr>
          <w:rFonts w:ascii="Arial" w:cs="Arial" w:eastAsia="Arial" w:hAnsi="Arial"/>
          <w:sz w:val="17"/>
          <w:szCs w:val="17"/>
          <w:color w:val="auto"/>
        </w:rPr>
      </w:pPr>
      <w:r>
        <w:rPr>
          <w:rFonts w:ascii="Arial" w:cs="Arial" w:eastAsia="Arial" w:hAnsi="Arial"/>
          <w:sz w:val="17"/>
          <w:szCs w:val="17"/>
          <w:color w:val="auto"/>
        </w:rPr>
        <w:t>of the occurrence of any event that makes any statement made in the registration statement or any prospectus forming a part of such registration statement untrue in any material respect or which requires the making of any changes in such registration statement or prospectus so that it will not include an untrue statement of a material fact or omit to state any material fact required to be stated therein or necessary to make the statements therein not misleading in light of the circumstances under which they were made;</w:t>
      </w:r>
    </w:p>
    <w:p>
      <w:pPr>
        <w:spacing w:after="0" w:line="171" w:lineRule="exact"/>
        <w:rPr>
          <w:rFonts w:ascii="Arial" w:cs="Arial" w:eastAsia="Arial" w:hAnsi="Arial"/>
          <w:sz w:val="17"/>
          <w:szCs w:val="17"/>
          <w:color w:val="auto"/>
        </w:rPr>
      </w:pPr>
    </w:p>
    <w:p>
      <w:pPr>
        <w:ind w:left="-40" w:right="20" w:firstLine="1305"/>
        <w:spacing w:after="0" w:line="259" w:lineRule="auto"/>
        <w:tabs>
          <w:tab w:leader="none" w:pos="19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the extent required, use its reasonable best efforts to register and qualify the Registrable Securities covered by such registration statement under the securities or blue-sky laws of such jurisdictions within the United States as may be reasonably requested by an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not be required in connection therewith or as a condition thereto to qualify to do business or otherwise become subject to taxation or service of process in suits in any such jurisdictions where it is not already so qualified or subject;</w:t>
      </w:r>
    </w:p>
    <w:p>
      <w:pPr>
        <w:spacing w:after="0" w:line="186" w:lineRule="exact"/>
        <w:rPr>
          <w:rFonts w:ascii="Arial" w:cs="Arial" w:eastAsia="Arial" w:hAnsi="Arial"/>
          <w:sz w:val="18"/>
          <w:szCs w:val="18"/>
          <w:color w:val="auto"/>
        </w:rPr>
      </w:pPr>
    </w:p>
    <w:p>
      <w:pPr>
        <w:ind w:left="-40" w:firstLine="1305"/>
        <w:spacing w:after="0" w:line="255" w:lineRule="auto"/>
        <w:tabs>
          <w:tab w:leader="none" w:pos="19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of any Underwritten Offering of Registrable Securities, (i) enter into and perform its obligations under an underwriting agreement, in usual and customary form, with the underwriter(s) of such offering, including requesting that its counsel provide customary legal opinions and that its independent public accountants provide customary comfort letters, and (ii) have members of its management participate in (and make documents available for) a reasonable number of due diligence sessions and, in the case of marketed offerings and investor calls and “road shows” (to the extent reasonably determined by the managing underwriter or underwriters to be a reasonable number necessary or desirable for a successful offering of the Registrable Securities);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7" w:name="page18"/>
    <w:bookmarkEnd w:id="17"/>
    <w:p>
      <w:pPr>
        <w:ind w:left="-20" w:right="280" w:firstLine="1305"/>
        <w:spacing w:after="0" w:line="277" w:lineRule="auto"/>
        <w:tabs>
          <w:tab w:leader="none" w:pos="19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its reasonable best efforts to cause all such Registrable Securities covered by such registration statement to be listed on each national securities exchange or trading system on which the Common Shares are then listed;</w:t>
      </w:r>
    </w:p>
    <w:p>
      <w:pPr>
        <w:spacing w:after="0" w:line="170" w:lineRule="exact"/>
        <w:rPr>
          <w:rFonts w:ascii="Arial" w:cs="Arial" w:eastAsia="Arial" w:hAnsi="Arial"/>
          <w:sz w:val="18"/>
          <w:szCs w:val="18"/>
          <w:color w:val="auto"/>
        </w:rPr>
      </w:pPr>
    </w:p>
    <w:p>
      <w:pPr>
        <w:ind w:left="-20" w:firstLine="1305"/>
        <w:spacing w:after="0" w:line="277" w:lineRule="auto"/>
        <w:tabs>
          <w:tab w:leader="none" w:pos="19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and provide a CUSIP number for all such Registrable Securities, in each case not later than the effective date of such registration statement;</w:t>
      </w:r>
    </w:p>
    <w:p>
      <w:pPr>
        <w:spacing w:after="0" w:line="170" w:lineRule="exact"/>
        <w:rPr>
          <w:rFonts w:ascii="Arial" w:cs="Arial" w:eastAsia="Arial" w:hAnsi="Arial"/>
          <w:sz w:val="18"/>
          <w:szCs w:val="18"/>
          <w:color w:val="auto"/>
        </w:rPr>
      </w:pPr>
    </w:p>
    <w:p>
      <w:pPr>
        <w:ind w:left="-20" w:firstLine="1305"/>
        <w:spacing w:after="0" w:line="271" w:lineRule="auto"/>
        <w:tabs>
          <w:tab w:leader="none" w:pos="19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at any time (i) any event or development shall occur or condition shall exist as a result of which the registration statement or prospectus, as then amended or supplemented, would include any untrue statement of a material fact or omit to state any material fact necessary in order to make the statements therein, in the light of the circumstances existing when the registration statement or prospectus is delivered to a purchaser, not misleading or (ii) it is necessary to amend or supplement the registration statement or prospectus to comply with applicable law, promptly notify the Investors and, subject to any Blackout Period, promptly prepare and file with the SEC (to the extent required) and furnish to the Investors such amendments or supplements to the registration statement or prospectus as may be necessary so that the statements in the registration statement or prospectus, as so amended or supplemented, will not, in the light of the circumstances existing when the registration statement or prospectus is delivered to a purchaser, be misleading, or so that the registration statement or prospectus will comply with law;</w:t>
      </w:r>
    </w:p>
    <w:p>
      <w:pPr>
        <w:spacing w:after="0" w:line="178" w:lineRule="exact"/>
        <w:rPr>
          <w:rFonts w:ascii="Arial" w:cs="Arial" w:eastAsia="Arial" w:hAnsi="Arial"/>
          <w:sz w:val="17"/>
          <w:szCs w:val="17"/>
          <w:color w:val="auto"/>
        </w:rPr>
      </w:pPr>
    </w:p>
    <w:p>
      <w:pPr>
        <w:ind w:left="-20" w:right="120" w:firstLine="1305"/>
        <w:spacing w:after="0" w:line="264" w:lineRule="auto"/>
        <w:tabs>
          <w:tab w:leader="none" w:pos="19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generally available to its security holders, as soon as reasonably practicable, an earnings statement covering the period of at least 12 months beginning with the first day of the Company’s first full calendar quarter after the effective date of a registration statement, which earnings statement shall satisfy the provisions of Section 11(a) of the Securities Act and Rule 158;</w:t>
      </w:r>
    </w:p>
    <w:p>
      <w:pPr>
        <w:spacing w:after="0" w:line="181" w:lineRule="exact"/>
        <w:rPr>
          <w:rFonts w:ascii="Arial" w:cs="Arial" w:eastAsia="Arial" w:hAnsi="Arial"/>
          <w:sz w:val="18"/>
          <w:szCs w:val="18"/>
          <w:color w:val="auto"/>
        </w:rPr>
      </w:pPr>
    </w:p>
    <w:p>
      <w:pPr>
        <w:ind w:left="-20" w:right="120" w:firstLine="1305"/>
        <w:spacing w:after="0" w:line="264" w:lineRule="auto"/>
        <w:tabs>
          <w:tab w:leader="none" w:pos="19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cooperate with the managing underwriter or underwriters, if any, the Investors and their respective counsel in connection with the preparation and filing of any applications, notices, registrations and responses to requests for additional information with FINRA, the New York Stock Exchange or any other national securities exchange on which the Common Shares are listed;</w:t>
      </w:r>
    </w:p>
    <w:p>
      <w:pPr>
        <w:spacing w:after="0" w:line="181" w:lineRule="exact"/>
        <w:rPr>
          <w:rFonts w:ascii="Arial" w:cs="Arial" w:eastAsia="Arial" w:hAnsi="Arial"/>
          <w:sz w:val="18"/>
          <w:szCs w:val="18"/>
          <w:color w:val="auto"/>
        </w:rPr>
      </w:pPr>
    </w:p>
    <w:p>
      <w:pPr>
        <w:ind w:left="1940" w:hanging="655"/>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the applicable filing fees covering the Registrable Securities in compliance with the SEC rules;</w:t>
      </w:r>
    </w:p>
    <w:p>
      <w:pPr>
        <w:spacing w:after="0" w:line="225" w:lineRule="exact"/>
        <w:rPr>
          <w:rFonts w:ascii="Arial" w:cs="Arial" w:eastAsia="Arial" w:hAnsi="Arial"/>
          <w:sz w:val="18"/>
          <w:szCs w:val="18"/>
          <w:color w:val="auto"/>
        </w:rPr>
      </w:pPr>
    </w:p>
    <w:p>
      <w:pPr>
        <w:ind w:left="-20" w:right="20" w:firstLine="1305"/>
        <w:spacing w:after="0" w:line="272" w:lineRule="auto"/>
        <w:tabs>
          <w:tab w:leader="none" w:pos="1941"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deliver book-entry shares or certificates not bearing any restrictive legends representing the Registrable Securities to be sold, and cause such Registrable Securities to be issued in such denominations and registered in such names in accordance with the underwriting agreement or, if not an Underwritten Offering, in accordance with the instructions of the Investors at least two Business Days prior to any sale of Registrable Securities and instruct any transfer agent and registrar of Registrable Securities to release any stop transfer orders in respect thereof and, in the case of Registrable Securities registered on an Automatic Shelf Registration Statement, at the request of the Investors, prepare and deliver book-entry shares or certificates representing such Registrable Securities not bearing any restrictive legends and deliver or cause to be delivered an opinion or instructions to the transfer agent in order to allow such Registrable Securities to be sold from time to time;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8" w:name="page19"/>
    <w:bookmarkEnd w:id="18"/>
    <w:p>
      <w:pPr>
        <w:ind w:right="180" w:firstLine="1305"/>
        <w:spacing w:after="0" w:line="277" w:lineRule="auto"/>
        <w:tabs>
          <w:tab w:leader="none" w:pos="19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 all such other commercially reasonable actions as are necessary or advisable in order to expedite or facilitate the disposition of such Registrable Securities.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Obligations of the Investors and Other Members of the Investor Groups</w:t>
      </w:r>
      <w:r>
        <w:rPr>
          <w:rFonts w:ascii="Arial" w:cs="Arial" w:eastAsia="Arial" w:hAnsi="Arial"/>
          <w:sz w:val="18"/>
          <w:szCs w:val="18"/>
          <w:color w:val="auto"/>
        </w:rPr>
        <w:t>. Whenever an Investor has requested that the Company effect the registration of any Registrable Securities under Section 4.1:</w:t>
      </w:r>
    </w:p>
    <w:p>
      <w:pPr>
        <w:spacing w:after="0" w:line="170" w:lineRule="exact"/>
        <w:rPr>
          <w:sz w:val="20"/>
          <w:szCs w:val="20"/>
          <w:color w:val="auto"/>
        </w:rPr>
      </w:pPr>
    </w:p>
    <w:p>
      <w:pPr>
        <w:ind w:firstLine="1305"/>
        <w:spacing w:after="0" w:line="290" w:lineRule="auto"/>
        <w:tabs>
          <w:tab w:leader="none" w:pos="19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upon receipt of any notice from the Company of the occurrence of any event of the type described in Sections 4.2(c)(ii), 4.2(c)(iii) or 4.2(c)(iv), each Investor will, and will cause each other member of its applicable Investor Group whose Registrable Securities are included in a registration statement to, discontinue disposition of Registrable Securities covered by a registration statement and suspend use of such registration statement or prospectus forming a part of such registration statement until the Company has provided an amendment or supplement to such registration statement or prospectus or the Company has advised that the use of the registration statement or prospectus may be resumed;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Company gives any such notice, the period of time for which a registration statement must remain effective as set forth in Section 4.1 will be extended by the number of days during the time period from and including the date of the giving of such notice to and including the date on which the Company has either provided an amendment to such registration statement or prospectus or advised that the use of the registration statement or prospectus may be resumed;</w:t>
      </w:r>
    </w:p>
    <w:p>
      <w:pPr>
        <w:spacing w:after="0" w:line="166" w:lineRule="exact"/>
        <w:rPr>
          <w:rFonts w:ascii="Arial" w:cs="Arial" w:eastAsia="Arial" w:hAnsi="Arial"/>
          <w:sz w:val="16"/>
          <w:szCs w:val="16"/>
          <w:color w:val="auto"/>
        </w:rPr>
      </w:pPr>
    </w:p>
    <w:p>
      <w:pPr>
        <w:ind w:firstLine="1305"/>
        <w:spacing w:after="0" w:line="264" w:lineRule="auto"/>
        <w:tabs>
          <w:tab w:leader="none" w:pos="19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any Underwritten Offering of Registrable Securities, each Investor will, and will cause any applicable member of its Investor Group whose Registrable Securities are included in a registration statement to, enter into and perform its obligations under an underwriting agreement, in usual and customary form, with the underwriter(s) of such offering; and</w:t>
      </w:r>
    </w:p>
    <w:p>
      <w:pPr>
        <w:spacing w:after="0" w:line="181" w:lineRule="exact"/>
        <w:rPr>
          <w:rFonts w:ascii="Arial" w:cs="Arial" w:eastAsia="Arial" w:hAnsi="Arial"/>
          <w:sz w:val="18"/>
          <w:szCs w:val="18"/>
          <w:color w:val="auto"/>
        </w:rPr>
      </w:pPr>
    </w:p>
    <w:p>
      <w:pPr>
        <w:ind w:right="160" w:firstLine="1305"/>
        <w:spacing w:after="0" w:line="257" w:lineRule="auto"/>
        <w:tabs>
          <w:tab w:leader="none" w:pos="19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any Underwritten Offering of securities by the Company, the Investor will, and will cause any other member of its Investor Group whose Registrable Securities are included in a registration statement to, if requested by the Company and any managing underwriter or underwriters, not directly or indirectly offer, sell, contract to sell, sell any option or contract to purchase, purchase any option or contract to sell, grant any option, right or warrant for the sale of or otherwise dispose of or transfer any Common Share held by them for such period that the executive officers and directors of the Company agree to with the managing underwriter or underwriters.</w:t>
      </w:r>
    </w:p>
    <w:p>
      <w:pPr>
        <w:spacing w:after="0" w:line="18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this Section 4, including all registration, filing and qualification fees, printers’ and accounting fees and fees and disbursements of (i) counsel for the Company and (ii) reasonable and documented fees of one counsel for the Investors will be borne and paid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not be liable for any fees and expenses of such counsel for the Investors in excess of (A) $10,000 for any Shelf Registration Statement for which Registrable Securities are included and (B) $35,000 for any Underwritten Offering (including any Underwritten Block Trade). All Selling Expenses relating to Registrable Securities registered pursuant to this Section 4 will be borne and paid by the Investors on a pro rata basis.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40"/>
        <w:spacing w:after="0"/>
        <w:tabs>
          <w:tab w:leader="none" w:pos="12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 Section 4:</w:t>
      </w:r>
    </w:p>
    <w:p>
      <w:pPr>
        <w:spacing w:after="0" w:line="225" w:lineRule="exact"/>
        <w:rPr>
          <w:sz w:val="20"/>
          <w:szCs w:val="20"/>
          <w:color w:val="auto"/>
        </w:rPr>
      </w:pPr>
    </w:p>
    <w:p>
      <w:pPr>
        <w:ind w:left="-20" w:firstLine="1305"/>
        <w:spacing w:after="0" w:line="289" w:lineRule="auto"/>
        <w:tabs>
          <w:tab w:leader="none" w:pos="19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member of the Investor Group that has included Registrable Securities in a registration statement and such member’s officers, directors, managers, partners and shareholders, and each Person who controls such member (within the meaning of Section 15 of the Securities Act or Section 20 of the Exchange Act), against any Damages, and the Company will reimburse each such member of the Investor Group, controlling Person or other aforementioned Person for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Section 4.5(a) will not apply to amounts paid in settlement of any such claim or proceeding if such settlement is effected without the consent of the Company, which consent will not be unreasonably withheld, conditioned or delayed, nor will the Company be liable for any Damages to the extent that they arise out of or are based upon actions or omissions made in reliance upon and in strict conformity with written information furnished by or on behalf of any such member of the Investor Group expressly for use in connection with such registration statement.</w:t>
      </w:r>
    </w:p>
    <w:p>
      <w:pPr>
        <w:spacing w:after="0" w:line="166" w:lineRule="exact"/>
        <w:rPr>
          <w:rFonts w:ascii="Arial" w:cs="Arial" w:eastAsia="Arial" w:hAnsi="Arial"/>
          <w:sz w:val="16"/>
          <w:szCs w:val="16"/>
          <w:color w:val="auto"/>
        </w:rPr>
      </w:pPr>
    </w:p>
    <w:p>
      <w:pPr>
        <w:ind w:left="-20" w:right="20" w:firstLine="1305"/>
        <w:spacing w:after="0" w:line="270" w:lineRule="auto"/>
        <w:tabs>
          <w:tab w:leader="none" w:pos="1933"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Investor will indemnify and hold harmless the Company, its directors, its officers who have signed the registration statement and each Person who controls the Company (within the meaning of Section 15 of the Securities Act or Section 20 of the Exchange Act) against any Damages, and each Investor will reimburse the Company, controlling Person or other aforementioned Person for any legal or other expenses reasonably incurred thereby in connection with investigating or defending any claim or proceeding from which Damages may result, as such expenses are incurred, in each case only to the extent that such Damages arise out of or are based upon actions or omissions made in reliance upon and in strict conformity with written information furnished by or on behalf of any member of such Investor Group that has included Registrable Securities in a registration statement expressly for use in connection with such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indemnity agreement contained in this Section 4.5(b) will not apply to amounts paid in settlement of any such claim or proceeding if such settlement is effected without the consent of such Investor, which consent will not be unreasonably withheld, conditioned or delayed.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0" w:name="page21"/>
    <w:bookmarkEnd w:id="20"/>
    <w:p>
      <w:pPr>
        <w:ind w:right="20" w:firstLine="1305"/>
        <w:spacing w:after="0" w:line="267" w:lineRule="auto"/>
        <w:tabs>
          <w:tab w:leader="none" w:pos="194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4.5 of notice of the commencement of any action (including any governmental action) for which a party may be entitled to indemnification hereunder, such indemnified party will, if a claim in respect thereof is to be made against any indemnifying party under this Section 4.5, give the indemnifying party notice of the commencement thereof. In case any such action is brought against any indemnified party and such indemnified party seeks or intends to seek indemnity from an indemnifying party, the indemnifying party will be entitled to participate in, and, to the extent that it elects, jointly with all other indemnifying parties similarly notified, by written notice delivered to the indemnified party promptly after receiving the aforesaid notice from such indemnified party, to assume the defense thereof with counsel selected by the indemnifying party that is reasonably satisfactory to such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will have the right to retain one separate counsel, with the fees and expenses to be paid by the indemnifying party, if (i) representation of such indemnified party by the counsel retained by the indemnifying party would be inappropriate due to actual or potential differing interests between such indemnified party and any other party represented by such counsel in such action or (ii) if the indemnifying party fails to take reasonable steps necessary to defend diligently the action or proceeding within 30 days after receiving notice from such indemnified party that the indemnified party believes it has failed to do so.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4.5 for any legal or other expenses subsequently incurred by such indemnified party in connection with the defense thereof unless the indemnified party has employed separate counsel in accordance with the preceding sentence (it being understood, however, that the indemnifying party will not be liable for the fees and expenses of more than one separate firm of attorneys (together with local counsel), representing all of the indemnified parties who are parties to such action). The failure to give notice to the indemnifying party will not relieve it of any liability that it may have to any indemnified party otherwise than under this Section 4.5, except to the extent that the indemnifying party would be materially prejudiced as a proximate result of such failure to notify.</w:t>
      </w:r>
    </w:p>
    <w:p>
      <w:pPr>
        <w:spacing w:after="0" w:line="19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Reports Under Exchange Act by the Company</w:t>
      </w:r>
      <w:r>
        <w:rPr>
          <w:rFonts w:ascii="Arial" w:cs="Arial" w:eastAsia="Arial" w:hAnsi="Arial"/>
          <w:sz w:val="18"/>
          <w:szCs w:val="18"/>
          <w:color w:val="auto"/>
        </w:rPr>
        <w:t>. With a view to making available to each Investor Group the benefits of SEC Rule 144 and any other rule or regulation of the SEC that may at any time permit a member of an Investor Group to sell securities of the Company to the public without registration or pursuant to a registration on Form S-3, the Company will:</w:t>
      </w:r>
    </w:p>
    <w:p>
      <w:pPr>
        <w:spacing w:after="0" w:line="181" w:lineRule="exact"/>
        <w:rPr>
          <w:sz w:val="20"/>
          <w:szCs w:val="20"/>
          <w:color w:val="auto"/>
        </w:rPr>
      </w:pPr>
    </w:p>
    <w:p>
      <w:pPr>
        <w:ind w:left="1960" w:hanging="655"/>
        <w:spacing w:after="0"/>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make and keep available adequate current public information, as those terms are understood and defined in SEC Rule 144;</w:t>
      </w:r>
    </w:p>
    <w:p>
      <w:pPr>
        <w:spacing w:after="0" w:line="236" w:lineRule="exact"/>
        <w:rPr>
          <w:rFonts w:ascii="Arial" w:cs="Arial" w:eastAsia="Arial" w:hAnsi="Arial"/>
          <w:sz w:val="17"/>
          <w:szCs w:val="17"/>
          <w:color w:val="auto"/>
        </w:rPr>
      </w:pPr>
    </w:p>
    <w:p>
      <w:pPr>
        <w:ind w:right="40" w:firstLine="1305"/>
        <w:spacing w:after="0" w:line="277" w:lineRule="auto"/>
        <w:tabs>
          <w:tab w:leader="none" w:pos="19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use reasonable best efforts to file with the SEC in a timely manner all reports and other documents required of the Company under the Securities Act and the Exchange Act; and</w:t>
      </w:r>
    </w:p>
    <w:p>
      <w:pPr>
        <w:spacing w:after="0" w:line="170" w:lineRule="exact"/>
        <w:rPr>
          <w:rFonts w:ascii="Arial" w:cs="Arial" w:eastAsia="Arial" w:hAnsi="Arial"/>
          <w:sz w:val="18"/>
          <w:szCs w:val="18"/>
          <w:color w:val="auto"/>
        </w:rPr>
      </w:pPr>
    </w:p>
    <w:p>
      <w:pPr>
        <w:ind w:firstLine="1305"/>
        <w:spacing w:after="0" w:line="288" w:lineRule="auto"/>
        <w:tabs>
          <w:tab w:leader="none" w:pos="1946" w:val="left"/>
        </w:tabs>
        <w:numPr>
          <w:ilvl w:val="1"/>
          <w:numId w:val="25"/>
        </w:numPr>
        <w:rPr>
          <w:rFonts w:ascii="Arial" w:cs="Arial" w:eastAsia="Arial" w:hAnsi="Arial"/>
          <w:sz w:val="16"/>
          <w:szCs w:val="16"/>
          <w:color w:val="auto"/>
        </w:rPr>
      </w:pPr>
      <w:r>
        <w:rPr>
          <w:rFonts w:ascii="Arial" w:cs="Arial" w:eastAsia="Arial" w:hAnsi="Arial"/>
          <w:sz w:val="16"/>
          <w:szCs w:val="16"/>
          <w:color w:val="auto"/>
        </w:rPr>
        <w:t>furnish upon request (i) to the extent accurate, a written statement by the Company that it has complied with the reporting requirements of SEC Rule 144, the Securities Act and the Exchange Act, or that it qualifies as a registrant whose securities may be resold pursuant to Form S-3, (ii) a copy of the most recent annual or quarterly report of the Company and such other reports and documents filed by the Company with the SEC, and</w:t>
      </w:r>
    </w:p>
    <w:p>
      <w:pPr>
        <w:ind w:right="240" w:firstLine="8"/>
        <w:spacing w:after="0" w:line="26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other information as may be reasonably requested in availing any member of the Investor Group of any rule or regulation of the SEC that permits the selling of any such securities without registration.</w:t>
      </w:r>
    </w:p>
    <w:p>
      <w:pPr>
        <w:spacing w:after="0" w:line="18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Reports Under Exchange Act by the Investor and Other Members of the Investor Group</w:t>
      </w:r>
      <w:r>
        <w:rPr>
          <w:rFonts w:ascii="Arial" w:cs="Arial" w:eastAsia="Arial" w:hAnsi="Arial"/>
          <w:sz w:val="18"/>
          <w:szCs w:val="18"/>
          <w:color w:val="auto"/>
        </w:rPr>
        <w:t>. The Investor acknowledges and agrees that the Investor and the other members of the Investor Group will be solely responsible for any required filings under Sections 13 and 16 of the Exchange Act in connection with any acquisition or disposition of Common Shares.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left="1240" w:hanging="584"/>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Resale Limitations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Resale Limitations</w:t>
      </w:r>
      <w:r>
        <w:rPr>
          <w:rFonts w:ascii="Arial" w:cs="Arial" w:eastAsia="Arial" w:hAnsi="Arial"/>
          <w:sz w:val="18"/>
          <w:szCs w:val="18"/>
          <w:color w:val="auto"/>
        </w:rPr>
        <w:t xml:space="preserve">. Each Investor hereby agrees, and will cause each member of its Investor Group, not to, directly or indirectly, in one or more transactions, sell, assign or transfer or otherwise encumber, whether by pledge or otherwise, through swap or hedging transactions or otherwise, any Common Shares during the period commencing on the date hereof and ending on the six-month anniversary of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members of an Investor Group may transfer Common Shares (i) to Affiliates of that same Investor Group without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Affiliate agrees in writing to be bound by the terms and conditions of this Agreement, (ii) in connection with a Change of Control, and (iii) with respect solely to any GS Account, to the beneficiaries of such GS Account.</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Limitations on Resales to Non-Passive Stockholders and Competitors</w:t>
      </w:r>
      <w:r>
        <w:rPr>
          <w:rFonts w:ascii="Arial" w:cs="Arial" w:eastAsia="Arial" w:hAnsi="Arial"/>
          <w:sz w:val="17"/>
          <w:szCs w:val="17"/>
          <w:color w:val="auto"/>
        </w:rPr>
        <w:t xml:space="preserve">. No Investor will, and each will cause each member of its Investor Group not to, sell or transfer, directly or indirectly, in one or more privately negotiated sale or sales, without the prior written consent of the Company, (A) Common Shares to any Person or group that, together with its Affiliates, would be the beneficial owner, together with its Affiliates, of more than 5% of the then-outstanding Common Shares following such transfer(s), (B) Common Shares that constitute more than 4.5% of the then-outstanding Common Shares to any Person or group, or (C) Common Shares to any Person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any Affiliate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sales or transfers referred to in the foregoing clauses (A) and (B) will be permitted to the extent (1) the purchasing Persons are “passive investors” (within the meaning of Rule 13(d)-1(c)) and file a Schedule 13G in respect of such Common Shares with the SEC or (2) the purchasing Persons are subject to a standstill agreement with the Company at least as restrictive to the purchasing Persons as the standstill obligations applicable to the Investor Group set forth in Section 3. Notwithstanding the foregoing, the restrictions set forth in this Section 5.2 will not apply (x) following a Change of Control, (y) to any transfer of Common Shares into a tender or exchange offer made by a third party that would result in a Change of Control, or (z) for the avoidance of doubt, to any public offering of Registrable Securities or any Underwritten Block Trade, or any broker-directed sale conducted over a securities exchange and/or pursuant to SEC Rule 144.</w:t>
      </w:r>
    </w:p>
    <w:p>
      <w:pPr>
        <w:spacing w:after="0" w:line="180" w:lineRule="exact"/>
        <w:rPr>
          <w:sz w:val="20"/>
          <w:szCs w:val="20"/>
          <w:color w:val="auto"/>
        </w:rPr>
      </w:pPr>
    </w:p>
    <w:p>
      <w:pPr>
        <w:ind w:left="1240" w:hanging="584"/>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0" w:lineRule="auto"/>
        <w:tabs>
          <w:tab w:leader="none" w:pos="1946"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Any assignment of this Agreement or any of the rights or obligations under this Agreement (whether by operation of law or otherwise) by either the Company, on the one hand, or an Investor, on the other hand, will be void, invalid and of no effect without the prior written consent of the Investors (in the case of the Company) or the Company (in the case of an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rights under this Agreement may be assigned (but only with all related obligations) by an Investor to one or more member(s) of the Investor Group so long as the assignee(s) agree in writing to be bound by the terms and conditions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assignment will not release, or be construed to release, the Investor from its duties and obligations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left="-20" w:right="40" w:firstLine="1305"/>
        <w:spacing w:after="0" w:line="253" w:lineRule="auto"/>
        <w:tabs>
          <w:tab w:leader="none" w:pos="193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Wider GS Activities</w:t>
      </w:r>
      <w:r>
        <w:rPr>
          <w:rFonts w:ascii="Arial" w:cs="Arial" w:eastAsia="Arial" w:hAnsi="Arial"/>
          <w:sz w:val="18"/>
          <w:szCs w:val="18"/>
          <w:color w:val="auto"/>
        </w:rPr>
        <w:t>. Notwithstanding anything to the contrary in this Agreement, nothing in this Agreement will restrict or prohibit any activities (including activities such as engaging in brokerage, investment advisory, financial advisory, anti-raid advisory, merger advisory, financing, asset management, trading, market making, arbitrage, investing activity and other similar activities or any other activities conducted in the ordinary course of business) by The Goldman Sachs Group, Inc. or its affiliates (including Goldman Sachs &amp; Co. LLC, except in respect of the GS Accounts to the extent restricted hereby) or its or their representatives (other than the applicable Investor Group and any Person acting at their express direction) (collectively, “</w:t>
      </w:r>
      <w:r>
        <w:rPr>
          <w:rFonts w:ascii="Arial" w:cs="Arial" w:eastAsia="Arial" w:hAnsi="Arial"/>
          <w:sz w:val="18"/>
          <w:szCs w:val="18"/>
          <w:u w:val="single" w:color="auto"/>
          <w:color w:val="auto"/>
        </w:rPr>
        <w:t>Wider GS</w:t>
      </w:r>
      <w:r>
        <w:rPr>
          <w:rFonts w:ascii="Arial" w:cs="Arial" w:eastAsia="Arial" w:hAnsi="Arial"/>
          <w:sz w:val="18"/>
          <w:szCs w:val="18"/>
          <w:color w:val="auto"/>
        </w:rPr>
        <w:t>”), or require Wider GS to take any action (including procuring any restriction on any person), and further for the avoidance of doubt, Goldman Sachs &amp; Co. LLC is part of Wider GS and is not a “GS Investor” hereunder and the obligations in this Agreement applicable to the GS Accounts are applicable solely to Goldman Sachs &amp; Co. LLC acting for and on behalf of such GS Accounts, and any action or inaction by Wider GS shall not result in the breach of this Agreement by the GS Investors.</w:t>
      </w:r>
    </w:p>
    <w:p>
      <w:pPr>
        <w:spacing w:after="0" w:line="197" w:lineRule="exact"/>
        <w:rPr>
          <w:rFonts w:ascii="Arial" w:cs="Arial" w:eastAsia="Arial" w:hAnsi="Arial"/>
          <w:sz w:val="18"/>
          <w:szCs w:val="18"/>
          <w:color w:val="auto"/>
        </w:rPr>
      </w:pPr>
    </w:p>
    <w:p>
      <w:pPr>
        <w:ind w:left="-20" w:right="20" w:firstLine="1305"/>
        <w:spacing w:after="0" w:line="257" w:lineRule="auto"/>
        <w:tabs>
          <w:tab w:leader="none" w:pos="192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will automatically terminate with respect to an Investor at such time as such Investor, together with its Affiliates, or any assignee of such Investor pursuant to Section 6(a) of this Agreement, together with such assignee’s Affiliates, no longer beneficially owns at least 1% of the outstanding Common Shares. Upon such termination, neither the Company nor the applicable Investor will have any further obligations or liabilities to each other hereunder other than pursuant Section 4.5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will not relieve any party from liability for any breach of this Agreement prior to such termination.</w:t>
      </w:r>
    </w:p>
    <w:p>
      <w:pPr>
        <w:spacing w:after="0" w:line="188" w:lineRule="exact"/>
        <w:rPr>
          <w:rFonts w:ascii="Arial" w:cs="Arial" w:eastAsia="Arial" w:hAnsi="Arial"/>
          <w:sz w:val="18"/>
          <w:szCs w:val="18"/>
          <w:color w:val="auto"/>
        </w:rPr>
      </w:pPr>
    </w:p>
    <w:p>
      <w:pPr>
        <w:ind w:left="-20" w:right="120" w:firstLine="1305"/>
        <w:spacing w:after="0" w:line="259" w:lineRule="auto"/>
        <w:tabs>
          <w:tab w:leader="none" w:pos="193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controversy arising out of or relating to this Agreement will be governed by and construed in accordance with the laws of the State of Delaware as to matters within the scope thereof, and as to all other matters will be governed by and construed in accordance with the internal laws of Delaware, without regard to conflict of laws principles that would result in the application of any law other than the law of the State of Delaware.</w:t>
      </w:r>
    </w:p>
    <w:p>
      <w:pPr>
        <w:spacing w:after="0" w:line="186" w:lineRule="exact"/>
        <w:rPr>
          <w:rFonts w:ascii="Arial" w:cs="Arial" w:eastAsia="Arial" w:hAnsi="Arial"/>
          <w:sz w:val="18"/>
          <w:szCs w:val="18"/>
          <w:color w:val="auto"/>
        </w:rPr>
      </w:pPr>
    </w:p>
    <w:p>
      <w:pPr>
        <w:ind w:left="-20" w:right="80" w:firstLine="1305"/>
        <w:spacing w:after="0" w:line="312" w:lineRule="auto"/>
        <w:tabs>
          <w:tab w:leader="none" w:pos="192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Counterparts; Facsimile</w:t>
      </w:r>
      <w:r>
        <w:rPr>
          <w:rFonts w:ascii="Arial" w:cs="Arial" w:eastAsia="Arial" w:hAnsi="Arial"/>
          <w:sz w:val="16"/>
          <w:szCs w:val="16"/>
          <w:color w:val="auto"/>
        </w:rPr>
        <w:t>. This Agreement may be executed in two or more counterparts, each of which will be deemed an original, but all of which together will constitute one and the same instrument. This Agreement may also be executed and delivered by portable document format (pdf) and in two or more counterparts, each of which will be deemed an original, but all of which together will constitute one and the same instrument.</w:t>
      </w:r>
    </w:p>
    <w:p>
      <w:pPr>
        <w:spacing w:after="0" w:line="146" w:lineRule="exact"/>
        <w:rPr>
          <w:rFonts w:ascii="Arial" w:cs="Arial" w:eastAsia="Arial" w:hAnsi="Arial"/>
          <w:sz w:val="16"/>
          <w:szCs w:val="16"/>
          <w:color w:val="auto"/>
        </w:rPr>
      </w:pPr>
    </w:p>
    <w:p>
      <w:pPr>
        <w:ind w:left="-20" w:firstLine="1305"/>
        <w:spacing w:after="0" w:line="276" w:lineRule="auto"/>
        <w:tabs>
          <w:tab w:leader="none" w:pos="190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The titles and subtitles used in this Agreement are for convenience only and are not to be considered in construing or interpreting this Agreement. The use of the words “include” or “including” in this Agreement will be deemed to be followed by the words “without limitation.” The use of the words “or,” “either” or “any” will not be exclusive. References to statutes will include all regulations promulgated thereunder, and references to statutes will be construed to include all statutory and regulatory provisions consolidating, amending or replacing the statute or regulation as of the date hereof. The parties have participated jointly in the negotiation and drafting of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3" w:name="page24"/>
    <w:bookmarkEnd w:id="23"/>
    <w:p>
      <w:pPr>
        <w:ind w:left="-160" w:firstLine="1305"/>
        <w:spacing w:after="0" w:line="264" w:lineRule="auto"/>
        <w:tabs>
          <w:tab w:leader="none" w:pos="179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hereunder will be in writing (which will include communications by e-mail) and will be delivered (i) in person or by courier or overnight service or (ii) by e-mail with a copy delivered as provided in clause (i), as follows: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Liberty Plaza, 7th Floor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Fax: (866) 787-7495</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 Andrea.Newborn@abm.com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250 Vesey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10281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Andrew M. Levine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Benjamin L. Stulberg</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 (212) 326-8319</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 amlevine@jonesday.com; blstulberg@jonesday.com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GS or THL:</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Thomas H. Lee Partners, L.P.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100 Federal St., 35th Floor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Josh Bresler, Jeff Swenson &amp; Shari Wolkon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Fax: (617) 227-3514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 jbresler@thl.com</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jswenson@thl.com</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u w:val="single" w:color="auto"/>
          <w:color w:val="auto"/>
        </w:rPr>
        <w:t>swolkon@thl.com</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10282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Chris Crampton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Fax: (212) 902-3000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 chris.crampton@gs.com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(which will not constitute notice)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400" w:top="908" w:right="379" w:bottom="1440" w:gutter="0" w:footer="0" w:header="0"/>
        </w:sectPr>
      </w:pPr>
    </w:p>
    <w:bookmarkStart w:id="24" w:name="page25"/>
    <w:bookmarkEnd w:id="24"/>
    <w:p>
      <w:pPr>
        <w:ind w:left="122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300 North LaSalle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Attention: Neal J. Reenan, P.C.</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Telephone: (312) 862-2195</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neal.reenan@kirkland.com</w:t>
      </w:r>
    </w:p>
    <w:p>
      <w:pPr>
        <w:spacing w:after="0" w:line="211" w:lineRule="exact"/>
        <w:rPr>
          <w:sz w:val="20"/>
          <w:szCs w:val="20"/>
          <w:color w:val="auto"/>
        </w:rPr>
      </w:pPr>
    </w:p>
    <w:p>
      <w:pPr>
        <w:ind w:left="-80" w:firstLine="1305"/>
        <w:spacing w:after="0" w:line="257" w:lineRule="auto"/>
        <w:tabs>
          <w:tab w:leader="none" w:pos="18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THL Investors holding a majority of the Common Shares held by the THL Investors and GS Investors holding a majority of the Common Shares held by the GS Investors. No waivers of or exceptions to any term, condition or provision of this Agreement, in any one or more instances, will be deemed to be or construed as a further or continuing waiver of any such term, condition or provision.</w:t>
      </w:r>
    </w:p>
    <w:p>
      <w:pPr>
        <w:spacing w:after="0" w:line="188" w:lineRule="exact"/>
        <w:rPr>
          <w:rFonts w:ascii="Arial" w:cs="Arial" w:eastAsia="Arial" w:hAnsi="Arial"/>
          <w:sz w:val="18"/>
          <w:szCs w:val="18"/>
          <w:color w:val="auto"/>
        </w:rPr>
      </w:pPr>
    </w:p>
    <w:p>
      <w:pPr>
        <w:jc w:val="both"/>
        <w:ind w:left="-80" w:right="140" w:firstLine="1305"/>
        <w:spacing w:after="0" w:line="312" w:lineRule="auto"/>
        <w:tabs>
          <w:tab w:leader="none" w:pos="183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will not affect any other provision of this Agreement, and such invalid, illegal or unenforceable provision will be reformed and construed so that it will be valid, legal and enforceable to the maximum extent permitted by law.</w:t>
      </w:r>
    </w:p>
    <w:p>
      <w:pPr>
        <w:spacing w:after="0" w:line="146" w:lineRule="exact"/>
        <w:rPr>
          <w:rFonts w:ascii="Arial" w:cs="Arial" w:eastAsia="Arial" w:hAnsi="Arial"/>
          <w:sz w:val="16"/>
          <w:szCs w:val="16"/>
          <w:color w:val="auto"/>
        </w:rPr>
      </w:pPr>
    </w:p>
    <w:p>
      <w:pPr>
        <w:jc w:val="both"/>
        <w:ind w:left="-80" w:right="180" w:firstLine="1305"/>
        <w:spacing w:after="0" w:line="264" w:lineRule="auto"/>
        <w:tabs>
          <w:tab w:leader="none" w:pos="183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full and entire understanding and agreement among the parties with respect to the subject matter hereof, and any other written or oral agreement relating to the subject matter hereof existing between the parties is expressly superseded 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908"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ABM INDUSTRIES INCORPORATED</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Salmirs</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Scott Salmirs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6" w:name="page27"/>
    <w:bookmarkEnd w:id="26"/>
    <w:p>
      <w:pPr>
        <w:ind w:left="4500"/>
        <w:spacing w:after="0"/>
        <w:rPr>
          <w:sz w:val="20"/>
          <w:szCs w:val="20"/>
          <w:color w:val="auto"/>
        </w:rPr>
      </w:pPr>
      <w:r>
        <w:rPr>
          <w:rFonts w:ascii="Arial" w:cs="Arial" w:eastAsia="Arial" w:hAnsi="Arial"/>
          <w:sz w:val="18"/>
          <w:szCs w:val="18"/>
          <w:b w:val="1"/>
          <w:bCs w:val="1"/>
          <w:color w:val="auto"/>
        </w:rPr>
        <w:t>THL INVESTORS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THOMAS H. LEE EQUITY FUND VII, L.P.</w:t>
      </w:r>
    </w:p>
    <w:p>
      <w:pPr>
        <w:spacing w:after="0" w:line="22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Equity Advisors VII,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Partners, L.P.</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Advisors,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Holdco,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Managing Member</w:t>
      </w:r>
    </w:p>
    <w:p>
      <w:pPr>
        <w:spacing w:after="0" w:line="211"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8"/>
          <w:szCs w:val="18"/>
          <w:color w:val="auto"/>
        </w:rPr>
        <w:t>By:</w:t>
        <w:tab/>
        <w:t>/s/ Charles P. Holden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THOMAS H. LEE PARALLEL FUND VII, L.P.</w:t>
      </w:r>
    </w:p>
    <w:p>
      <w:pPr>
        <w:spacing w:after="0" w:line="22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Equity Advisors VII,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Partners, L.P.</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Advisors,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Holdco,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Managing Member</w:t>
      </w:r>
    </w:p>
    <w:p>
      <w:pPr>
        <w:spacing w:after="0" w:line="211"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8"/>
          <w:szCs w:val="18"/>
          <w:color w:val="auto"/>
        </w:rPr>
        <w:t>By:</w:t>
        <w:tab/>
        <w:t>/s/ Charles P. Holden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 w:name="page28"/>
    <w:bookmarkEnd w:id="27"/>
    <w:p>
      <w:pPr>
        <w:ind w:left="4500"/>
        <w:spacing w:after="0"/>
        <w:rPr>
          <w:sz w:val="20"/>
          <w:szCs w:val="20"/>
          <w:color w:val="auto"/>
        </w:rPr>
      </w:pPr>
      <w:r>
        <w:rPr>
          <w:rFonts w:ascii="Arial" w:cs="Arial" w:eastAsia="Arial" w:hAnsi="Arial"/>
          <w:sz w:val="18"/>
          <w:szCs w:val="18"/>
          <w:b w:val="1"/>
          <w:bCs w:val="1"/>
          <w:color w:val="auto"/>
        </w:rPr>
        <w:t>THOMAS H. LEE PARALLEL (CAYMAN) FUND VII, L.P.</w:t>
      </w:r>
    </w:p>
    <w:p>
      <w:pPr>
        <w:spacing w:after="0" w:line="22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Equity Advisors VII,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Partners, L.P.</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Advisors,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Holdco,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Managing Member</w:t>
      </w:r>
    </w:p>
    <w:p>
      <w:pPr>
        <w:spacing w:after="0" w:line="211"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8"/>
          <w:szCs w:val="18"/>
          <w:color w:val="auto"/>
        </w:rPr>
        <w:t>By:</w:t>
        <w:tab/>
        <w:t>/s/ Charles P. Holden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THL EXECUTIVE FUND VII, L.P.</w:t>
      </w:r>
    </w:p>
    <w:p>
      <w:pPr>
        <w:spacing w:after="0" w:line="22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Equity Advisors VII,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Partners, L.P.</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Advisors,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Holdco,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Managing Member</w:t>
      </w:r>
    </w:p>
    <w:p>
      <w:pPr>
        <w:spacing w:after="0" w:line="211"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8"/>
          <w:szCs w:val="18"/>
          <w:color w:val="auto"/>
        </w:rPr>
        <w:t>By:</w:t>
        <w:tab/>
        <w:t>/s/ Charles P. Holden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60"/>
          </w:cols>
          <w:pgMar w:left="1440" w:top="904" w:right="1299" w:bottom="1440" w:gutter="0" w:footer="0" w:header="0"/>
        </w:sectPr>
      </w:pPr>
    </w:p>
    <w:bookmarkStart w:id="28" w:name="page29"/>
    <w:bookmarkEnd w:id="28"/>
    <w:p>
      <w:pPr>
        <w:ind w:left="4500"/>
        <w:spacing w:after="0"/>
        <w:rPr>
          <w:sz w:val="20"/>
          <w:szCs w:val="20"/>
          <w:color w:val="auto"/>
        </w:rPr>
      </w:pPr>
      <w:r>
        <w:rPr>
          <w:rFonts w:ascii="Arial" w:cs="Arial" w:eastAsia="Arial" w:hAnsi="Arial"/>
          <w:sz w:val="18"/>
          <w:szCs w:val="18"/>
          <w:b w:val="1"/>
          <w:bCs w:val="1"/>
          <w:color w:val="auto"/>
        </w:rPr>
        <w:t>THL FUND VII COINVESTMENT PARTNERS, L.P.</w:t>
      </w:r>
    </w:p>
    <w:p>
      <w:pPr>
        <w:spacing w:after="0" w:line="22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Partners, L.P.</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Thomas H. Lee Advisors,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THL Holdco, LLC</w:t>
      </w:r>
    </w:p>
    <w:p>
      <w:pPr>
        <w:spacing w:after="0" w:line="2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Its:</w:t>
        <w:tab/>
        <w:t>Managing Member</w:t>
      </w:r>
    </w:p>
    <w:p>
      <w:pPr>
        <w:spacing w:after="0" w:line="211"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8"/>
          <w:szCs w:val="18"/>
          <w:color w:val="auto"/>
        </w:rPr>
        <w:t>By:</w:t>
        <w:tab/>
        <w:t>/s/ Charles P. Holden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 w:name="page30"/>
    <w:bookmarkEnd w:id="29"/>
    <w:p>
      <w:pPr>
        <w:ind w:left="4440"/>
        <w:spacing w:after="0"/>
        <w:rPr>
          <w:sz w:val="20"/>
          <w:szCs w:val="20"/>
          <w:color w:val="auto"/>
        </w:rPr>
      </w:pPr>
      <w:r>
        <w:rPr>
          <w:rFonts w:ascii="Arial" w:cs="Arial" w:eastAsia="Arial" w:hAnsi="Arial"/>
          <w:sz w:val="18"/>
          <w:szCs w:val="18"/>
          <w:b w:val="1"/>
          <w:bCs w:val="1"/>
          <w:color w:val="auto"/>
        </w:rPr>
        <w:t>GS INVESTORS</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BROAD STREET PRINCIPAL INVESTMENTS HOLDINGS, L.P.</w:t>
      </w:r>
    </w:p>
    <w:p>
      <w:pPr>
        <w:spacing w:after="0" w:line="229" w:lineRule="exact"/>
        <w:rPr>
          <w:sz w:val="20"/>
          <w:szCs w:val="20"/>
          <w:color w:val="auto"/>
        </w:rPr>
      </w:pPr>
    </w:p>
    <w:tbl>
      <w:tblPr>
        <w:tblLayout w:type="fixed"/>
        <w:tblInd w:w="444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Bridge Street Opportunity Advisors, L.L.C.</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Crampton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Christopher Crampton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BRIDGE STREET 2015,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Bridge Street Opportunity Advisors, L.L.C.</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Crampton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Christopher Crampton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MBD 2015,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MBD Advisors, L.L.C.</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Crampton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Christopher Crampton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STONE STREET 2015,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Bridge Street Opportunity Advisors, L.L.C.</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Crampton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Christopher Crampton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b w:val="1"/>
          <w:bCs w:val="1"/>
          <w:color w:val="auto"/>
        </w:rPr>
        <w:t>2015 EMPLOYEE OFFSHORE AGGREGATOR,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Bridge Street Opportunity Advisors,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Crampton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Christopher Crampton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right="300"/>
        <w:spacing w:after="0" w:line="282" w:lineRule="auto"/>
        <w:rPr>
          <w:sz w:val="20"/>
          <w:szCs w:val="20"/>
          <w:color w:val="auto"/>
        </w:rPr>
      </w:pPr>
      <w:r>
        <w:rPr>
          <w:rFonts w:ascii="Arial" w:cs="Arial" w:eastAsia="Arial" w:hAnsi="Arial"/>
          <w:sz w:val="18"/>
          <w:szCs w:val="18"/>
          <w:b w:val="1"/>
          <w:bCs w:val="1"/>
          <w:color w:val="auto"/>
        </w:rPr>
        <w:t>GOLDMAN SACHS &amp; CO. LLC, for the benefit of Managed Account Nos. 046-46898-9, 046-52146-4 and 042-78997-4</w:t>
      </w:r>
    </w:p>
    <w:p>
      <w:pPr>
        <w:spacing w:after="0" w:line="166"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Goldman Sachs &amp; Co.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Crampton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Christopher Crampton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540" w:type="dxa"/>
            <w:vAlign w:val="bottom"/>
            <w:gridSpan w:val="3"/>
          </w:tcPr>
          <w:p>
            <w:pPr>
              <w:jc w:val="center"/>
              <w:ind w:right="3790"/>
              <w:spacing w:after="0"/>
              <w:rPr>
                <w:sz w:val="20"/>
                <w:szCs w:val="20"/>
                <w:color w:val="auto"/>
              </w:rPr>
            </w:pPr>
            <w:r>
              <w:rPr>
                <w:rFonts w:ascii="Arial" w:cs="Arial" w:eastAsia="Arial" w:hAnsi="Arial"/>
                <w:sz w:val="18"/>
                <w:szCs w:val="18"/>
                <w:b w:val="1"/>
                <w:bCs w:val="1"/>
                <w:color w:val="auto"/>
              </w:rPr>
              <w:t>EXHIBIT A</w:t>
            </w:r>
          </w:p>
        </w:tc>
      </w:tr>
      <w:tr>
        <w:trPr>
          <w:trHeight w:val="43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540" w:type="dxa"/>
            <w:vAlign w:val="bottom"/>
            <w:gridSpan w:val="3"/>
          </w:tcPr>
          <w:p>
            <w:pPr>
              <w:jc w:val="center"/>
              <w:ind w:right="3790"/>
              <w:spacing w:after="0"/>
              <w:rPr>
                <w:sz w:val="20"/>
                <w:szCs w:val="20"/>
                <w:color w:val="auto"/>
              </w:rPr>
            </w:pPr>
            <w:r>
              <w:rPr>
                <w:rFonts w:ascii="Arial" w:cs="Arial" w:eastAsia="Arial" w:hAnsi="Arial"/>
                <w:sz w:val="18"/>
                <w:szCs w:val="18"/>
                <w:b w:val="1"/>
                <w:bCs w:val="1"/>
                <w:color w:val="auto"/>
                <w:w w:val="90"/>
              </w:rPr>
              <w:t>Investor Share Ownership</w:t>
            </w: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Investor</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jc w:val="right"/>
              <w:ind w:right="2010"/>
              <w:spacing w:after="0"/>
              <w:rPr>
                <w:sz w:val="20"/>
                <w:szCs w:val="20"/>
                <w:color w:val="auto"/>
              </w:rPr>
            </w:pPr>
            <w:r>
              <w:rPr>
                <w:rFonts w:ascii="Arial" w:cs="Arial" w:eastAsia="Arial" w:hAnsi="Arial"/>
                <w:sz w:val="18"/>
                <w:szCs w:val="18"/>
                <w:b w:val="1"/>
                <w:bCs w:val="1"/>
                <w:color w:val="auto"/>
              </w:rPr>
              <w:t>Common Shares</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THL Fund VII</w:t>
            </w:r>
          </w:p>
        </w:tc>
        <w:tc>
          <w:tcPr>
            <w:tcW w:w="1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Borders>
              <w:top w:val="single" w:sz="8" w:color="auto"/>
            </w:tcBorders>
          </w:tcPr>
          <w:p>
            <w:pPr>
              <w:jc w:val="right"/>
              <w:ind w:right="4650"/>
              <w:spacing w:after="0" w:line="195" w:lineRule="exact"/>
              <w:rPr>
                <w:sz w:val="20"/>
                <w:szCs w:val="20"/>
                <w:color w:val="auto"/>
              </w:rPr>
            </w:pPr>
            <w:r>
              <w:rPr>
                <w:rFonts w:ascii="Arial" w:cs="Arial" w:eastAsia="Arial" w:hAnsi="Arial"/>
                <w:sz w:val="18"/>
                <w:szCs w:val="18"/>
                <w:color w:val="auto"/>
                <w:w w:val="87"/>
              </w:rPr>
              <w:t>1,465,574</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THL Parallel Fund</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1,156,397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THL Cayman Fund</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1,549,934</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THL Executive Fund</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128,465</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THL Coinvest Fund</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223,500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2015 Employee Offshore Aggregator, L.P.</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142,074</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Broad Street</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3,075,166</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Bridge Street</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242,880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MBD 2015</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62,454</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Stone Street</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71,035</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GS Account 046-46898-9</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450,127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GS Account 046-52146-4</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330,093</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GS Account 042-78997-4</w:t>
            </w:r>
          </w:p>
        </w:tc>
        <w:tc>
          <w:tcPr>
            <w:tcW w:w="7540" w:type="dxa"/>
            <w:vAlign w:val="bottom"/>
            <w:gridSpan w:val="3"/>
          </w:tcPr>
          <w:p>
            <w:pPr>
              <w:ind w:left="2080"/>
              <w:spacing w:after="0"/>
              <w:rPr>
                <w:sz w:val="20"/>
                <w:szCs w:val="20"/>
                <w:color w:val="auto"/>
              </w:rPr>
            </w:pPr>
            <w:r>
              <w:rPr>
                <w:rFonts w:ascii="Arial" w:cs="Arial" w:eastAsia="Arial" w:hAnsi="Arial"/>
                <w:sz w:val="18"/>
                <w:szCs w:val="18"/>
                <w:color w:val="auto"/>
              </w:rPr>
              <w:t>150,042</w:t>
            </w:r>
          </w:p>
        </w:tc>
      </w:tr>
      <w:tr>
        <w:trPr>
          <w:trHeight w:val="648"/>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1510"/>
              <w:spacing w:after="0"/>
              <w:rPr>
                <w:sz w:val="20"/>
                <w:szCs w:val="20"/>
                <w:color w:val="auto"/>
              </w:rPr>
            </w:pPr>
            <w:r>
              <w:rPr>
                <w:rFonts w:ascii="Arial" w:cs="Arial" w:eastAsia="Arial" w:hAnsi="Arial"/>
                <w:sz w:val="18"/>
                <w:szCs w:val="18"/>
                <w:color w:val="auto"/>
                <w:w w:val="95"/>
              </w:rPr>
              <w:t>- 23 -</w:t>
            </w: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jc w:val="center"/>
        <w:ind w:right="-12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color w:val="auto"/>
        </w:rPr>
        <w:t>Company Competitors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Sodexo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Compass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Jones Lang LaSalle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CBRE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C&amp;W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GDI Integrated Facility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 Plus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Emcor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Mitie Group</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189230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September 1,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CERTAIN SUBSIDIARIES,</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CAPITAL ONE, NATIONAL ASSOCIATION, CITIZENS BANK, N.A.,</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HSBC BANK USA, N.A., KEYBANK NATIONAL ASSOCIATION,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PNC CAPITAL MARKETS LLC, SUNTRUST BANK,</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BANK OF TOKYO-MITSUBISHI UFJ, LTD., U.S. BANK NATIONAL ASSOCIATION</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280035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 MERRILL LYNCH, PIERCE, FENNER &amp; SMITH</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INCORPORATED, PNC CAPITAL MARKETS LLC, THE BANK OF TOKYO-MITSUBISHI</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UFJ, LTD., U.S. BANK NATIONAL ASSOCIATION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as Joint Lead Arrangers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left="1060" w:right="2260"/>
        <w:spacing w:after="0" w:line="264" w:lineRule="auto"/>
        <w:rPr>
          <w:sz w:val="20"/>
          <w:szCs w:val="20"/>
          <w:color w:val="auto"/>
        </w:rPr>
      </w:pPr>
      <w:r>
        <w:rPr>
          <w:rFonts w:ascii="Arial" w:cs="Arial" w:eastAsia="Arial" w:hAnsi="Arial"/>
          <w:sz w:val="18"/>
          <w:szCs w:val="18"/>
          <w:color w:val="auto"/>
        </w:rPr>
        <w:t>JPMORGAN CHASE BANK, N.A. and MERRILL LYNCH, PIERCE, FENNER &amp; SMITH INCORPORATED as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124460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141605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604520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4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Article I</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4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7"/>
              </w:rPr>
              <w:t>Definitions</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Defined Terms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1.02</w:t>
            </w:r>
          </w:p>
        </w:tc>
        <w:tc>
          <w:tcPr>
            <w:tcW w:w="7460" w:type="dxa"/>
            <w:vAlign w:val="bottom"/>
          </w:tcPr>
          <w:p>
            <w:pPr>
              <w:ind w:left="580"/>
              <w:spacing w:after="0"/>
              <w:rPr>
                <w:sz w:val="20"/>
                <w:szCs w:val="20"/>
                <w:color w:val="auto"/>
              </w:rPr>
            </w:pPr>
            <w:r>
              <w:rPr>
                <w:rFonts w:ascii="Arial" w:cs="Arial" w:eastAsia="Arial" w:hAnsi="Arial"/>
                <w:sz w:val="18"/>
                <w:szCs w:val="18"/>
                <w:color w:val="auto"/>
              </w:rPr>
              <w:t>Classification of Loans and Borrowings</w:t>
            </w:r>
          </w:p>
        </w:tc>
        <w:tc>
          <w:tcPr>
            <w:tcW w:w="22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1.03</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Terms Generally</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1.04</w:t>
            </w:r>
          </w:p>
        </w:tc>
        <w:tc>
          <w:tcPr>
            <w:tcW w:w="7460" w:type="dxa"/>
            <w:vAlign w:val="bottom"/>
          </w:tcPr>
          <w:p>
            <w:pPr>
              <w:ind w:left="580"/>
              <w:spacing w:after="0"/>
              <w:rPr>
                <w:sz w:val="20"/>
                <w:szCs w:val="20"/>
                <w:color w:val="auto"/>
              </w:rPr>
            </w:pPr>
            <w:r>
              <w:rPr>
                <w:rFonts w:ascii="Arial" w:cs="Arial" w:eastAsia="Arial" w:hAnsi="Arial"/>
                <w:sz w:val="18"/>
                <w:szCs w:val="18"/>
                <w:color w:val="auto"/>
              </w:rPr>
              <w:t>Accounting Terms; GAAP; Pro Forma Calculations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1.05</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Excluded Swap Obligations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1.06</w:t>
            </w:r>
          </w:p>
        </w:tc>
        <w:tc>
          <w:tcPr>
            <w:tcW w:w="7460" w:type="dxa"/>
            <w:vAlign w:val="bottom"/>
          </w:tcPr>
          <w:p>
            <w:pPr>
              <w:ind w:left="580"/>
              <w:spacing w:after="0"/>
              <w:rPr>
                <w:sz w:val="20"/>
                <w:szCs w:val="20"/>
                <w:color w:val="auto"/>
              </w:rPr>
            </w:pPr>
            <w:r>
              <w:rPr>
                <w:rFonts w:ascii="Arial" w:cs="Arial" w:eastAsia="Arial" w:hAnsi="Arial"/>
                <w:sz w:val="18"/>
                <w:szCs w:val="18"/>
                <w:color w:val="auto"/>
              </w:rPr>
              <w:t>Limited Condition Acquisitions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1.07</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Exchange Rates; Currency Equivalents; Rates.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1.08</w:t>
            </w:r>
          </w:p>
        </w:tc>
        <w:tc>
          <w:tcPr>
            <w:tcW w:w="7460" w:type="dxa"/>
            <w:vAlign w:val="bottom"/>
          </w:tcPr>
          <w:p>
            <w:pPr>
              <w:ind w:left="580"/>
              <w:spacing w:after="0"/>
              <w:rPr>
                <w:sz w:val="20"/>
                <w:szCs w:val="20"/>
                <w:color w:val="auto"/>
              </w:rPr>
            </w:pPr>
            <w:r>
              <w:rPr>
                <w:rFonts w:ascii="Arial" w:cs="Arial" w:eastAsia="Arial" w:hAnsi="Arial"/>
                <w:sz w:val="18"/>
                <w:szCs w:val="18"/>
                <w:color w:val="auto"/>
              </w:rPr>
              <w:t>Additional Alternative Currencies.</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1.09</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Change of Currency.</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1.10</w:t>
            </w:r>
          </w:p>
        </w:tc>
        <w:tc>
          <w:tcPr>
            <w:tcW w:w="7460" w:type="dxa"/>
            <w:vAlign w:val="bottom"/>
          </w:tcPr>
          <w:p>
            <w:pPr>
              <w:ind w:left="580"/>
              <w:spacing w:after="0"/>
              <w:rPr>
                <w:sz w:val="20"/>
                <w:szCs w:val="20"/>
                <w:color w:val="auto"/>
              </w:rPr>
            </w:pPr>
            <w:r>
              <w:rPr>
                <w:rFonts w:ascii="Arial" w:cs="Arial" w:eastAsia="Arial" w:hAnsi="Arial"/>
                <w:sz w:val="18"/>
                <w:szCs w:val="18"/>
                <w:color w:val="auto"/>
              </w:rPr>
              <w:t>Times of Day</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1.11</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Letter of Credit Amounts.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4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Article II</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4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The Credits</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Commitments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2.02</w:t>
            </w:r>
          </w:p>
        </w:tc>
        <w:tc>
          <w:tcPr>
            <w:tcW w:w="7460" w:type="dxa"/>
            <w:vAlign w:val="bottom"/>
          </w:tcPr>
          <w:p>
            <w:pPr>
              <w:ind w:left="580"/>
              <w:spacing w:after="0"/>
              <w:rPr>
                <w:sz w:val="20"/>
                <w:szCs w:val="20"/>
                <w:color w:val="auto"/>
              </w:rPr>
            </w:pPr>
            <w:r>
              <w:rPr>
                <w:rFonts w:ascii="Arial" w:cs="Arial" w:eastAsia="Arial" w:hAnsi="Arial"/>
                <w:sz w:val="18"/>
                <w:szCs w:val="18"/>
                <w:color w:val="auto"/>
              </w:rPr>
              <w:t>Loans and Borrowings</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Requests for Borrowings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2.04</w:t>
            </w:r>
          </w:p>
        </w:tc>
        <w:tc>
          <w:tcPr>
            <w:tcW w:w="7460" w:type="dxa"/>
            <w:vAlign w:val="bottom"/>
          </w:tcPr>
          <w:p>
            <w:pPr>
              <w:ind w:left="580"/>
              <w:spacing w:after="0"/>
              <w:rPr>
                <w:sz w:val="20"/>
                <w:szCs w:val="20"/>
                <w:color w:val="auto"/>
              </w:rPr>
            </w:pPr>
            <w:r>
              <w:rPr>
                <w:rFonts w:ascii="Arial" w:cs="Arial" w:eastAsia="Arial" w:hAnsi="Arial"/>
                <w:sz w:val="18"/>
                <w:szCs w:val="18"/>
                <w:color w:val="auto"/>
              </w:rPr>
              <w:t>Swingline Commitments</w:t>
            </w:r>
          </w:p>
        </w:tc>
        <w:tc>
          <w:tcPr>
            <w:tcW w:w="22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Procedure for Swingline Borrowing; Refunding of Swingline Loans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2.06</w:t>
            </w:r>
          </w:p>
        </w:tc>
        <w:tc>
          <w:tcPr>
            <w:tcW w:w="7460" w:type="dxa"/>
            <w:vAlign w:val="bottom"/>
          </w:tcPr>
          <w:p>
            <w:pPr>
              <w:ind w:left="580"/>
              <w:spacing w:after="0"/>
              <w:rPr>
                <w:sz w:val="20"/>
                <w:szCs w:val="20"/>
                <w:color w:val="auto"/>
              </w:rPr>
            </w:pPr>
            <w:r>
              <w:rPr>
                <w:rFonts w:ascii="Arial" w:cs="Arial" w:eastAsia="Arial" w:hAnsi="Arial"/>
                <w:sz w:val="18"/>
                <w:szCs w:val="18"/>
                <w:color w:val="auto"/>
              </w:rPr>
              <w:t>Letters of Credit</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Funding of Borrowings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2.08</w:t>
            </w:r>
          </w:p>
        </w:tc>
        <w:tc>
          <w:tcPr>
            <w:tcW w:w="7460" w:type="dxa"/>
            <w:vAlign w:val="bottom"/>
          </w:tcPr>
          <w:p>
            <w:pPr>
              <w:ind w:left="580"/>
              <w:spacing w:after="0"/>
              <w:rPr>
                <w:sz w:val="20"/>
                <w:szCs w:val="20"/>
                <w:color w:val="auto"/>
              </w:rPr>
            </w:pPr>
            <w:r>
              <w:rPr>
                <w:rFonts w:ascii="Arial" w:cs="Arial" w:eastAsia="Arial" w:hAnsi="Arial"/>
                <w:sz w:val="18"/>
                <w:szCs w:val="18"/>
                <w:color w:val="auto"/>
              </w:rPr>
              <w:t>Interest Elections</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Termination and Reduction of Commitments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2.10</w:t>
            </w:r>
          </w:p>
        </w:tc>
        <w:tc>
          <w:tcPr>
            <w:tcW w:w="7460" w:type="dxa"/>
            <w:vAlign w:val="bottom"/>
          </w:tcPr>
          <w:p>
            <w:pPr>
              <w:ind w:left="580"/>
              <w:spacing w:after="0"/>
              <w:rPr>
                <w:sz w:val="20"/>
                <w:szCs w:val="20"/>
                <w:color w:val="auto"/>
              </w:rPr>
            </w:pPr>
            <w:r>
              <w:rPr>
                <w:rFonts w:ascii="Arial" w:cs="Arial" w:eastAsia="Arial" w:hAnsi="Arial"/>
                <w:sz w:val="18"/>
                <w:szCs w:val="18"/>
                <w:color w:val="auto"/>
              </w:rPr>
              <w:t>Repayment of Loans; Evidence of Debt</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Amortization of Term Loans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2.12</w:t>
            </w:r>
          </w:p>
        </w:tc>
        <w:tc>
          <w:tcPr>
            <w:tcW w:w="7460" w:type="dxa"/>
            <w:vAlign w:val="bottom"/>
          </w:tcPr>
          <w:p>
            <w:pPr>
              <w:ind w:left="580"/>
              <w:spacing w:after="0"/>
              <w:rPr>
                <w:sz w:val="20"/>
                <w:szCs w:val="20"/>
                <w:color w:val="auto"/>
              </w:rPr>
            </w:pPr>
            <w:r>
              <w:rPr>
                <w:rFonts w:ascii="Arial" w:cs="Arial" w:eastAsia="Arial" w:hAnsi="Arial"/>
                <w:sz w:val="18"/>
                <w:szCs w:val="18"/>
                <w:color w:val="auto"/>
              </w:rPr>
              <w:t>Prepayment of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Fees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2.14</w:t>
            </w:r>
          </w:p>
        </w:tc>
        <w:tc>
          <w:tcPr>
            <w:tcW w:w="7460" w:type="dxa"/>
            <w:vAlign w:val="bottom"/>
          </w:tcPr>
          <w:p>
            <w:pPr>
              <w:ind w:left="580"/>
              <w:spacing w:after="0"/>
              <w:rPr>
                <w:sz w:val="20"/>
                <w:szCs w:val="20"/>
                <w:color w:val="auto"/>
              </w:rPr>
            </w:pPr>
            <w:r>
              <w:rPr>
                <w:rFonts w:ascii="Arial" w:cs="Arial" w:eastAsia="Arial" w:hAnsi="Arial"/>
                <w:sz w:val="18"/>
                <w:szCs w:val="18"/>
                <w:color w:val="auto"/>
              </w:rPr>
              <w:t>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2.15</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Inability to Determine Rates.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2.16</w:t>
            </w:r>
          </w:p>
        </w:tc>
        <w:tc>
          <w:tcPr>
            <w:tcW w:w="7460" w:type="dxa"/>
            <w:vAlign w:val="bottom"/>
          </w:tcPr>
          <w:p>
            <w:pPr>
              <w:ind w:left="580"/>
              <w:spacing w:after="0"/>
              <w:rPr>
                <w:sz w:val="20"/>
                <w:szCs w:val="20"/>
                <w:color w:val="auto"/>
              </w:rPr>
            </w:pPr>
            <w:r>
              <w:rPr>
                <w:rFonts w:ascii="Arial" w:cs="Arial" w:eastAsia="Arial" w:hAnsi="Arial"/>
                <w:sz w:val="18"/>
                <w:szCs w:val="18"/>
                <w:color w:val="auto"/>
              </w:rPr>
              <w:t>Increased Costs; Reserves on Eurocurrency Rate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2.17</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Break Funding Payments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2.18</w:t>
            </w:r>
          </w:p>
        </w:tc>
        <w:tc>
          <w:tcPr>
            <w:tcW w:w="7460" w:type="dxa"/>
            <w:vAlign w:val="bottom"/>
          </w:tcPr>
          <w:p>
            <w:pPr>
              <w:ind w:left="580"/>
              <w:spacing w:after="0"/>
              <w:rPr>
                <w:sz w:val="20"/>
                <w:szCs w:val="20"/>
                <w:color w:val="auto"/>
              </w:rPr>
            </w:pPr>
            <w:r>
              <w:rPr>
                <w:rFonts w:ascii="Arial" w:cs="Arial" w:eastAsia="Arial" w:hAnsi="Arial"/>
                <w:sz w:val="18"/>
                <w:szCs w:val="18"/>
                <w:color w:val="auto"/>
              </w:rPr>
              <w:t>Taxes</w:t>
            </w:r>
          </w:p>
        </w:tc>
        <w:tc>
          <w:tcPr>
            <w:tcW w:w="22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2.19</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Payments Generally; Pro Rata Treatment; Sharing of Setoffs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2.20</w:t>
            </w:r>
          </w:p>
        </w:tc>
        <w:tc>
          <w:tcPr>
            <w:tcW w:w="7460" w:type="dxa"/>
            <w:vAlign w:val="bottom"/>
          </w:tcPr>
          <w:p>
            <w:pPr>
              <w:ind w:left="580"/>
              <w:spacing w:after="0"/>
              <w:rPr>
                <w:sz w:val="20"/>
                <w:szCs w:val="20"/>
                <w:color w:val="auto"/>
              </w:rPr>
            </w:pPr>
            <w:r>
              <w:rPr>
                <w:rFonts w:ascii="Arial" w:cs="Arial" w:eastAsia="Arial" w:hAnsi="Arial"/>
                <w:sz w:val="18"/>
                <w:szCs w:val="18"/>
                <w:color w:val="auto"/>
              </w:rPr>
              <w:t>Mitigation Obligations; Replacement of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2.21</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Defaulting Lenders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2.22</w:t>
            </w:r>
          </w:p>
        </w:tc>
        <w:tc>
          <w:tcPr>
            <w:tcW w:w="7460" w:type="dxa"/>
            <w:vAlign w:val="bottom"/>
          </w:tcPr>
          <w:p>
            <w:pPr>
              <w:ind w:left="580"/>
              <w:spacing w:after="0"/>
              <w:rPr>
                <w:sz w:val="20"/>
                <w:szCs w:val="20"/>
                <w:color w:val="auto"/>
              </w:rPr>
            </w:pPr>
            <w:r>
              <w:rPr>
                <w:rFonts w:ascii="Arial" w:cs="Arial" w:eastAsia="Arial" w:hAnsi="Arial"/>
                <w:sz w:val="18"/>
                <w:szCs w:val="18"/>
                <w:color w:val="auto"/>
              </w:rPr>
              <w:t>Incremental Facilities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2.23</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Refinancing Facilities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2.24</w:t>
            </w:r>
          </w:p>
        </w:tc>
        <w:tc>
          <w:tcPr>
            <w:tcW w:w="7460" w:type="dxa"/>
            <w:vAlign w:val="bottom"/>
          </w:tcPr>
          <w:p>
            <w:pPr>
              <w:ind w:left="580"/>
              <w:spacing w:after="0"/>
              <w:rPr>
                <w:sz w:val="20"/>
                <w:szCs w:val="20"/>
                <w:color w:val="auto"/>
              </w:rPr>
            </w:pPr>
            <w:r>
              <w:rPr>
                <w:rFonts w:ascii="Arial" w:cs="Arial" w:eastAsia="Arial" w:hAnsi="Arial"/>
                <w:sz w:val="18"/>
                <w:szCs w:val="18"/>
                <w:color w:val="auto"/>
              </w:rPr>
              <w:t>Loan Modification Offers</w:t>
            </w:r>
          </w:p>
        </w:tc>
        <w:tc>
          <w:tcPr>
            <w:tcW w:w="224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2.25</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Illegality</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2.26</w:t>
            </w:r>
          </w:p>
        </w:tc>
        <w:tc>
          <w:tcPr>
            <w:tcW w:w="7460" w:type="dxa"/>
            <w:vAlign w:val="bottom"/>
          </w:tcPr>
          <w:p>
            <w:pPr>
              <w:ind w:left="580"/>
              <w:spacing w:after="0"/>
              <w:rPr>
                <w:sz w:val="20"/>
                <w:szCs w:val="20"/>
                <w:color w:val="auto"/>
              </w:rPr>
            </w:pPr>
            <w:r>
              <w:rPr>
                <w:rFonts w:ascii="Arial" w:cs="Arial" w:eastAsia="Arial" w:hAnsi="Arial"/>
                <w:sz w:val="18"/>
                <w:szCs w:val="18"/>
                <w:color w:val="auto"/>
              </w:rPr>
              <w:t>Designated Borrowers.</w:t>
            </w:r>
          </w:p>
        </w:tc>
        <w:tc>
          <w:tcPr>
            <w:tcW w:w="22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2.27</w:t>
            </w:r>
          </w:p>
        </w:tc>
        <w:tc>
          <w:tcPr>
            <w:tcW w:w="7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Designated Lenders.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7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rPr>
              <w:t>Article III</w:t>
            </w: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7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Representations and Warranties</w:t>
            </w: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Organization; Powers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3.02</w:t>
            </w:r>
          </w:p>
        </w:tc>
        <w:tc>
          <w:tcPr>
            <w:tcW w:w="7700" w:type="dxa"/>
            <w:vAlign w:val="bottom"/>
          </w:tcPr>
          <w:p>
            <w:pPr>
              <w:ind w:left="580"/>
              <w:spacing w:after="0"/>
              <w:rPr>
                <w:sz w:val="20"/>
                <w:szCs w:val="20"/>
                <w:color w:val="auto"/>
              </w:rPr>
            </w:pPr>
            <w:r>
              <w:rPr>
                <w:rFonts w:ascii="Arial" w:cs="Arial" w:eastAsia="Arial" w:hAnsi="Arial"/>
                <w:sz w:val="18"/>
                <w:szCs w:val="18"/>
                <w:color w:val="auto"/>
              </w:rPr>
              <w:t>Authorization; Enforceability</w:t>
            </w:r>
          </w:p>
        </w:tc>
        <w:tc>
          <w:tcPr>
            <w:tcW w:w="200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Governmental Approvals; No Conflicts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3.04</w:t>
            </w:r>
          </w:p>
        </w:tc>
        <w:tc>
          <w:tcPr>
            <w:tcW w:w="7700" w:type="dxa"/>
            <w:vAlign w:val="bottom"/>
          </w:tcPr>
          <w:p>
            <w:pPr>
              <w:ind w:left="580"/>
              <w:spacing w:after="0"/>
              <w:rPr>
                <w:sz w:val="20"/>
                <w:szCs w:val="20"/>
                <w:color w:val="auto"/>
              </w:rPr>
            </w:pPr>
            <w:r>
              <w:rPr>
                <w:rFonts w:ascii="Arial" w:cs="Arial" w:eastAsia="Arial" w:hAnsi="Arial"/>
                <w:sz w:val="18"/>
                <w:szCs w:val="18"/>
                <w:color w:val="auto"/>
              </w:rPr>
              <w:t>Financial Condition; No Material Adverse Change</w:t>
            </w:r>
          </w:p>
        </w:tc>
        <w:tc>
          <w:tcPr>
            <w:tcW w:w="200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Properties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3.06</w:t>
            </w:r>
          </w:p>
        </w:tc>
        <w:tc>
          <w:tcPr>
            <w:tcW w:w="7700" w:type="dxa"/>
            <w:vAlign w:val="bottom"/>
          </w:tcPr>
          <w:p>
            <w:pPr>
              <w:ind w:left="580"/>
              <w:spacing w:after="0"/>
              <w:rPr>
                <w:sz w:val="20"/>
                <w:szCs w:val="20"/>
                <w:color w:val="auto"/>
              </w:rPr>
            </w:pPr>
            <w:r>
              <w:rPr>
                <w:rFonts w:ascii="Arial" w:cs="Arial" w:eastAsia="Arial" w:hAnsi="Arial"/>
                <w:sz w:val="18"/>
                <w:szCs w:val="18"/>
                <w:color w:val="auto"/>
              </w:rPr>
              <w:t>Litigation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3.07</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Environmental Matters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3.08</w:t>
            </w:r>
          </w:p>
        </w:tc>
        <w:tc>
          <w:tcPr>
            <w:tcW w:w="7700" w:type="dxa"/>
            <w:vAlign w:val="bottom"/>
          </w:tcPr>
          <w:p>
            <w:pPr>
              <w:ind w:left="580"/>
              <w:spacing w:after="0"/>
              <w:rPr>
                <w:sz w:val="20"/>
                <w:szCs w:val="20"/>
                <w:color w:val="auto"/>
              </w:rPr>
            </w:pPr>
            <w:r>
              <w:rPr>
                <w:rFonts w:ascii="Arial" w:cs="Arial" w:eastAsia="Arial" w:hAnsi="Arial"/>
                <w:sz w:val="18"/>
                <w:szCs w:val="18"/>
                <w:color w:val="auto"/>
              </w:rPr>
              <w:t>Compliance with Laws and Agreements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Investment Company Status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3.10</w:t>
            </w:r>
          </w:p>
        </w:tc>
        <w:tc>
          <w:tcPr>
            <w:tcW w:w="7700" w:type="dxa"/>
            <w:vAlign w:val="bottom"/>
          </w:tcPr>
          <w:p>
            <w:pPr>
              <w:ind w:left="580"/>
              <w:spacing w:after="0"/>
              <w:rPr>
                <w:sz w:val="20"/>
                <w:szCs w:val="20"/>
                <w:color w:val="auto"/>
              </w:rPr>
            </w:pPr>
            <w:r>
              <w:rPr>
                <w:rFonts w:ascii="Arial" w:cs="Arial" w:eastAsia="Arial" w:hAnsi="Arial"/>
                <w:sz w:val="18"/>
                <w:szCs w:val="18"/>
                <w:color w:val="auto"/>
              </w:rPr>
              <w:t>Taxes</w:t>
            </w:r>
          </w:p>
        </w:tc>
        <w:tc>
          <w:tcPr>
            <w:tcW w:w="20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ERISA and Labor Matters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3.12</w:t>
            </w:r>
          </w:p>
        </w:tc>
        <w:tc>
          <w:tcPr>
            <w:tcW w:w="7700" w:type="dxa"/>
            <w:vAlign w:val="bottom"/>
          </w:tcPr>
          <w:p>
            <w:pPr>
              <w:ind w:left="580"/>
              <w:spacing w:after="0"/>
              <w:rPr>
                <w:sz w:val="20"/>
                <w:szCs w:val="20"/>
                <w:color w:val="auto"/>
              </w:rPr>
            </w:pPr>
            <w:r>
              <w:rPr>
                <w:rFonts w:ascii="Arial" w:cs="Arial" w:eastAsia="Arial" w:hAnsi="Arial"/>
                <w:sz w:val="18"/>
                <w:szCs w:val="18"/>
                <w:color w:val="auto"/>
              </w:rPr>
              <w:t>Subsidiaries</w:t>
            </w:r>
          </w:p>
        </w:tc>
        <w:tc>
          <w:tcPr>
            <w:tcW w:w="20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Insurance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3.14</w:t>
            </w:r>
          </w:p>
        </w:tc>
        <w:tc>
          <w:tcPr>
            <w:tcW w:w="7700" w:type="dxa"/>
            <w:vAlign w:val="bottom"/>
          </w:tcPr>
          <w:p>
            <w:pPr>
              <w:ind w:left="580"/>
              <w:spacing w:after="0"/>
              <w:rPr>
                <w:sz w:val="20"/>
                <w:szCs w:val="20"/>
                <w:color w:val="auto"/>
              </w:rPr>
            </w:pPr>
            <w:r>
              <w:rPr>
                <w:rFonts w:ascii="Arial" w:cs="Arial" w:eastAsia="Arial" w:hAnsi="Arial"/>
                <w:sz w:val="18"/>
                <w:szCs w:val="18"/>
                <w:color w:val="auto"/>
              </w:rPr>
              <w:t>Solvency</w:t>
            </w:r>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Disclosure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3.16</w:t>
            </w:r>
          </w:p>
        </w:tc>
        <w:tc>
          <w:tcPr>
            <w:tcW w:w="7700" w:type="dxa"/>
            <w:vAlign w:val="bottom"/>
          </w:tcPr>
          <w:p>
            <w:pPr>
              <w:ind w:left="580"/>
              <w:spacing w:after="0"/>
              <w:rPr>
                <w:sz w:val="20"/>
                <w:szCs w:val="20"/>
                <w:color w:val="auto"/>
              </w:rPr>
            </w:pPr>
            <w:r>
              <w:rPr>
                <w:rFonts w:ascii="Arial" w:cs="Arial" w:eastAsia="Arial" w:hAnsi="Arial"/>
                <w:sz w:val="18"/>
                <w:szCs w:val="18"/>
                <w:color w:val="auto"/>
              </w:rPr>
              <w:t>Collateral Matters</w:t>
            </w:r>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3.17</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Federal Reserve Regulations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3.18</w:t>
            </w:r>
          </w:p>
        </w:tc>
        <w:tc>
          <w:tcPr>
            <w:tcW w:w="7700" w:type="dxa"/>
            <w:vAlign w:val="bottom"/>
          </w:tcPr>
          <w:p>
            <w:pPr>
              <w:ind w:left="580"/>
              <w:spacing w:after="0"/>
              <w:rPr>
                <w:sz w:val="20"/>
                <w:szCs w:val="20"/>
                <w:color w:val="auto"/>
              </w:rPr>
            </w:pPr>
            <w:r>
              <w:rPr>
                <w:rFonts w:ascii="Arial" w:cs="Arial" w:eastAsia="Arial" w:hAnsi="Arial"/>
                <w:sz w:val="18"/>
                <w:szCs w:val="18"/>
                <w:color w:val="auto"/>
              </w:rPr>
              <w:t>Anti-Corruption Laws and Sanctions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3.19</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Use of Proceeds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3.20</w:t>
            </w:r>
          </w:p>
        </w:tc>
        <w:tc>
          <w:tcPr>
            <w:tcW w:w="7700" w:type="dxa"/>
            <w:vAlign w:val="bottom"/>
          </w:tcPr>
          <w:p>
            <w:pPr>
              <w:ind w:left="580"/>
              <w:spacing w:after="0"/>
              <w:rPr>
                <w:sz w:val="20"/>
                <w:szCs w:val="20"/>
                <w:color w:val="auto"/>
              </w:rPr>
            </w:pPr>
            <w:r>
              <w:rPr>
                <w:rFonts w:ascii="Arial" w:cs="Arial" w:eastAsia="Arial" w:hAnsi="Arial"/>
                <w:sz w:val="18"/>
                <w:szCs w:val="18"/>
                <w:color w:val="auto"/>
              </w:rPr>
              <w:t>USA PATRIOT Act</w:t>
            </w:r>
          </w:p>
        </w:tc>
        <w:tc>
          <w:tcPr>
            <w:tcW w:w="200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3.21</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Representations as to Foreign Obligors.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3.22</w:t>
            </w:r>
          </w:p>
        </w:tc>
        <w:tc>
          <w:tcPr>
            <w:tcW w:w="7700" w:type="dxa"/>
            <w:vAlign w:val="bottom"/>
          </w:tcPr>
          <w:p>
            <w:pPr>
              <w:ind w:left="580"/>
              <w:spacing w:after="0"/>
              <w:rPr>
                <w:sz w:val="20"/>
                <w:szCs w:val="20"/>
                <w:color w:val="auto"/>
              </w:rPr>
            </w:pPr>
            <w:r>
              <w:rPr>
                <w:rFonts w:ascii="Arial" w:cs="Arial" w:eastAsia="Arial" w:hAnsi="Arial"/>
                <w:sz w:val="18"/>
                <w:szCs w:val="18"/>
                <w:color w:val="auto"/>
              </w:rPr>
              <w:t>Regulation H</w:t>
            </w:r>
          </w:p>
        </w:tc>
        <w:tc>
          <w:tcPr>
            <w:tcW w:w="20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3.23</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EEA Financial Institutions. No Loan Party is an EEA Financial Institution.</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7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rPr>
              <w:t>Article IV</w:t>
            </w: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7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Conditions</w:t>
            </w: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Conditions to Closing Date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4.02</w:t>
            </w:r>
          </w:p>
        </w:tc>
        <w:tc>
          <w:tcPr>
            <w:tcW w:w="7700" w:type="dxa"/>
            <w:vAlign w:val="bottom"/>
          </w:tcPr>
          <w:p>
            <w:pPr>
              <w:ind w:left="580"/>
              <w:spacing w:after="0"/>
              <w:rPr>
                <w:sz w:val="20"/>
                <w:szCs w:val="20"/>
                <w:color w:val="auto"/>
              </w:rPr>
            </w:pPr>
            <w:r>
              <w:rPr>
                <w:rFonts w:ascii="Arial" w:cs="Arial" w:eastAsia="Arial" w:hAnsi="Arial"/>
                <w:sz w:val="18"/>
                <w:szCs w:val="18"/>
                <w:color w:val="auto"/>
              </w:rPr>
              <w:t>Conditions to Each Extension of Credit after the Closing Date</w:t>
            </w:r>
          </w:p>
        </w:tc>
        <w:tc>
          <w:tcPr>
            <w:tcW w:w="20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jc w:val="center"/>
              <w:ind w:left="210"/>
              <w:spacing w:after="0"/>
              <w:rPr>
                <w:sz w:val="20"/>
                <w:szCs w:val="20"/>
                <w:color w:val="auto"/>
              </w:rPr>
            </w:pPr>
            <w:r>
              <w:rPr>
                <w:rFonts w:ascii="Arial" w:cs="Arial" w:eastAsia="Arial" w:hAnsi="Arial"/>
                <w:sz w:val="18"/>
                <w:szCs w:val="18"/>
                <w:color w:val="auto"/>
              </w:rPr>
              <w:t>Article V</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jc w:val="center"/>
              <w:ind w:left="190"/>
              <w:spacing w:after="0"/>
              <w:rPr>
                <w:sz w:val="20"/>
                <w:szCs w:val="20"/>
                <w:color w:val="auto"/>
              </w:rPr>
            </w:pPr>
            <w:r>
              <w:rPr>
                <w:rFonts w:ascii="Arial" w:cs="Arial" w:eastAsia="Arial" w:hAnsi="Arial"/>
                <w:sz w:val="18"/>
                <w:szCs w:val="18"/>
                <w:color w:val="auto"/>
                <w:w w:val="94"/>
              </w:rPr>
              <w:t>Affirmative Covenants</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5.01</w:t>
            </w:r>
          </w:p>
        </w:tc>
        <w:tc>
          <w:tcPr>
            <w:tcW w:w="7700" w:type="dxa"/>
            <w:vAlign w:val="bottom"/>
          </w:tcPr>
          <w:p>
            <w:pPr>
              <w:ind w:left="580"/>
              <w:spacing w:after="0"/>
              <w:rPr>
                <w:sz w:val="20"/>
                <w:szCs w:val="20"/>
                <w:color w:val="auto"/>
              </w:rPr>
            </w:pPr>
            <w:r>
              <w:rPr>
                <w:rFonts w:ascii="Arial" w:cs="Arial" w:eastAsia="Arial" w:hAnsi="Arial"/>
                <w:sz w:val="18"/>
                <w:szCs w:val="18"/>
                <w:color w:val="auto"/>
              </w:rPr>
              <w:t>Financial Statements and Other Information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5.02</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Notices of Material Events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5.03</w:t>
            </w:r>
          </w:p>
        </w:tc>
        <w:tc>
          <w:tcPr>
            <w:tcW w:w="7700" w:type="dxa"/>
            <w:vAlign w:val="bottom"/>
          </w:tcPr>
          <w:p>
            <w:pPr>
              <w:ind w:left="580"/>
              <w:spacing w:after="0"/>
              <w:rPr>
                <w:sz w:val="20"/>
                <w:szCs w:val="20"/>
                <w:color w:val="auto"/>
              </w:rPr>
            </w:pPr>
            <w:r>
              <w:rPr>
                <w:rFonts w:ascii="Arial" w:cs="Arial" w:eastAsia="Arial" w:hAnsi="Arial"/>
                <w:sz w:val="18"/>
                <w:szCs w:val="18"/>
                <w:color w:val="auto"/>
              </w:rPr>
              <w:t>Information Regarding Collateral</w:t>
            </w:r>
          </w:p>
        </w:tc>
        <w:tc>
          <w:tcPr>
            <w:tcW w:w="200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5.04</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Existence; Conduct of Business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5.05</w:t>
            </w:r>
          </w:p>
        </w:tc>
        <w:tc>
          <w:tcPr>
            <w:tcW w:w="7700" w:type="dxa"/>
            <w:vAlign w:val="bottom"/>
          </w:tcPr>
          <w:p>
            <w:pPr>
              <w:ind w:left="580"/>
              <w:spacing w:after="0"/>
              <w:rPr>
                <w:sz w:val="20"/>
                <w:szCs w:val="20"/>
                <w:color w:val="auto"/>
              </w:rPr>
            </w:pPr>
            <w:r>
              <w:rPr>
                <w:rFonts w:ascii="Arial" w:cs="Arial" w:eastAsia="Arial" w:hAnsi="Arial"/>
                <w:sz w:val="18"/>
                <w:szCs w:val="18"/>
                <w:color w:val="auto"/>
              </w:rPr>
              <w:t>Payment of Taxes</w:t>
            </w:r>
          </w:p>
        </w:tc>
        <w:tc>
          <w:tcPr>
            <w:tcW w:w="200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5.06</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Maintenance of Properties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5.07</w:t>
            </w:r>
          </w:p>
        </w:tc>
        <w:tc>
          <w:tcPr>
            <w:tcW w:w="7700" w:type="dxa"/>
            <w:vAlign w:val="bottom"/>
          </w:tcPr>
          <w:p>
            <w:pPr>
              <w:ind w:left="580"/>
              <w:spacing w:after="0"/>
              <w:rPr>
                <w:sz w:val="20"/>
                <w:szCs w:val="20"/>
                <w:color w:val="auto"/>
              </w:rPr>
            </w:pPr>
            <w:r>
              <w:rPr>
                <w:rFonts w:ascii="Arial" w:cs="Arial" w:eastAsia="Arial" w:hAnsi="Arial"/>
                <w:sz w:val="18"/>
                <w:szCs w:val="18"/>
                <w:color w:val="auto"/>
              </w:rPr>
              <w:t>Insurance</w:t>
            </w:r>
          </w:p>
        </w:tc>
        <w:tc>
          <w:tcPr>
            <w:tcW w:w="200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5.08</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Books and Records; Inspection and Audit Rights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5.09</w:t>
            </w:r>
          </w:p>
        </w:tc>
        <w:tc>
          <w:tcPr>
            <w:tcW w:w="7700" w:type="dxa"/>
            <w:vAlign w:val="bottom"/>
          </w:tcPr>
          <w:p>
            <w:pPr>
              <w:ind w:left="580"/>
              <w:spacing w:after="0"/>
              <w:rPr>
                <w:sz w:val="20"/>
                <w:szCs w:val="20"/>
                <w:color w:val="auto"/>
              </w:rPr>
            </w:pPr>
            <w:r>
              <w:rPr>
                <w:rFonts w:ascii="Arial" w:cs="Arial" w:eastAsia="Arial" w:hAnsi="Arial"/>
                <w:sz w:val="18"/>
                <w:szCs w:val="18"/>
                <w:color w:val="auto"/>
              </w:rPr>
              <w:t>Compliance with Laws</w:t>
            </w:r>
          </w:p>
        </w:tc>
        <w:tc>
          <w:tcPr>
            <w:tcW w:w="20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5.10</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Use of Proceeds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5.11</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Additional Subsidiaries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5.12</w:t>
            </w:r>
          </w:p>
        </w:tc>
        <w:tc>
          <w:tcPr>
            <w:tcW w:w="7620" w:type="dxa"/>
            <w:vAlign w:val="bottom"/>
          </w:tcPr>
          <w:p>
            <w:pPr>
              <w:ind w:left="580"/>
              <w:spacing w:after="0"/>
              <w:rPr>
                <w:sz w:val="20"/>
                <w:szCs w:val="20"/>
                <w:color w:val="auto"/>
              </w:rPr>
            </w:pPr>
            <w:r>
              <w:rPr>
                <w:rFonts w:ascii="Arial" w:cs="Arial" w:eastAsia="Arial" w:hAnsi="Arial"/>
                <w:sz w:val="18"/>
                <w:szCs w:val="18"/>
                <w:color w:val="auto"/>
              </w:rPr>
              <w:t>Further Assurances</w:t>
            </w:r>
          </w:p>
        </w:tc>
        <w:tc>
          <w:tcPr>
            <w:tcW w:w="20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5.13</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After-Acquired Real Property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5.14</w:t>
            </w:r>
          </w:p>
        </w:tc>
        <w:tc>
          <w:tcPr>
            <w:tcW w:w="7620" w:type="dxa"/>
            <w:vAlign w:val="bottom"/>
          </w:tcPr>
          <w:p>
            <w:pPr>
              <w:ind w:left="580"/>
              <w:spacing w:after="0"/>
              <w:rPr>
                <w:sz w:val="20"/>
                <w:szCs w:val="20"/>
                <w:color w:val="auto"/>
              </w:rPr>
            </w:pPr>
            <w:r>
              <w:rPr>
                <w:rFonts w:ascii="Arial" w:cs="Arial" w:eastAsia="Arial" w:hAnsi="Arial"/>
                <w:sz w:val="18"/>
                <w:szCs w:val="18"/>
                <w:color w:val="auto"/>
              </w:rPr>
              <w:t>Environmental Compliance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5.15</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Designation of Subsidiaries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5.16</w:t>
            </w:r>
          </w:p>
        </w:tc>
        <w:tc>
          <w:tcPr>
            <w:tcW w:w="7620" w:type="dxa"/>
            <w:vAlign w:val="bottom"/>
          </w:tcPr>
          <w:p>
            <w:pPr>
              <w:ind w:left="580"/>
              <w:spacing w:after="0"/>
              <w:rPr>
                <w:sz w:val="20"/>
                <w:szCs w:val="20"/>
                <w:color w:val="auto"/>
              </w:rPr>
            </w:pPr>
            <w:r>
              <w:rPr>
                <w:rFonts w:ascii="Arial" w:cs="Arial" w:eastAsia="Arial" w:hAnsi="Arial"/>
                <w:sz w:val="18"/>
                <w:szCs w:val="18"/>
                <w:color w:val="auto"/>
              </w:rPr>
              <w:t>Certain Post-Closing Collateral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5.17</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Collateral Release Event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Article VI</w:t>
            </w: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Negative Covenants</w:t>
            </w: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Indebtedness; Certain Equity Securities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6.02</w:t>
            </w:r>
          </w:p>
        </w:tc>
        <w:tc>
          <w:tcPr>
            <w:tcW w:w="7620" w:type="dxa"/>
            <w:vAlign w:val="bottom"/>
          </w:tcPr>
          <w:p>
            <w:pPr>
              <w:ind w:left="580"/>
              <w:spacing w:after="0"/>
              <w:rPr>
                <w:sz w:val="20"/>
                <w:szCs w:val="20"/>
                <w:color w:val="auto"/>
              </w:rPr>
            </w:pPr>
            <w:r>
              <w:rPr>
                <w:rFonts w:ascii="Arial" w:cs="Arial" w:eastAsia="Arial" w:hAnsi="Arial"/>
                <w:sz w:val="18"/>
                <w:szCs w:val="18"/>
                <w:color w:val="auto"/>
              </w:rPr>
              <w:t>Liens</w:t>
            </w:r>
          </w:p>
        </w:tc>
        <w:tc>
          <w:tcPr>
            <w:tcW w:w="208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6.03</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Fundamental Changes.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6.04</w:t>
            </w:r>
          </w:p>
        </w:tc>
        <w:tc>
          <w:tcPr>
            <w:tcW w:w="7620" w:type="dxa"/>
            <w:vAlign w:val="bottom"/>
          </w:tcPr>
          <w:p>
            <w:pPr>
              <w:ind w:left="580"/>
              <w:spacing w:after="0"/>
              <w:rPr>
                <w:sz w:val="20"/>
                <w:szCs w:val="20"/>
                <w:color w:val="auto"/>
              </w:rPr>
            </w:pPr>
            <w:r>
              <w:rPr>
                <w:rFonts w:ascii="Arial" w:cs="Arial" w:eastAsia="Arial" w:hAnsi="Arial"/>
                <w:sz w:val="18"/>
                <w:szCs w:val="18"/>
                <w:color w:val="auto"/>
              </w:rPr>
              <w:t>Investments, Loans, Advances, Guarantees and Acquisitions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6.05</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Asset Sales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6.06</w:t>
            </w:r>
          </w:p>
        </w:tc>
        <w:tc>
          <w:tcPr>
            <w:tcW w:w="7620" w:type="dxa"/>
            <w:vAlign w:val="bottom"/>
          </w:tcPr>
          <w:p>
            <w:pPr>
              <w:ind w:left="580"/>
              <w:spacing w:after="0"/>
              <w:rPr>
                <w:sz w:val="20"/>
                <w:szCs w:val="20"/>
                <w:color w:val="auto"/>
              </w:rPr>
            </w:pPr>
            <w:r>
              <w:rPr>
                <w:rFonts w:ascii="Arial" w:cs="Arial" w:eastAsia="Arial" w:hAnsi="Arial"/>
                <w:sz w:val="18"/>
                <w:szCs w:val="18"/>
                <w:color w:val="auto"/>
              </w:rPr>
              <w:t>Sale/Leaseback Transactions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6.07</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Hedging Agreements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6.08</w:t>
            </w:r>
          </w:p>
        </w:tc>
        <w:tc>
          <w:tcPr>
            <w:tcW w:w="7620" w:type="dxa"/>
            <w:vAlign w:val="bottom"/>
          </w:tcPr>
          <w:p>
            <w:pPr>
              <w:ind w:left="580"/>
              <w:spacing w:after="0"/>
              <w:rPr>
                <w:sz w:val="20"/>
                <w:szCs w:val="20"/>
                <w:color w:val="auto"/>
              </w:rPr>
            </w:pPr>
            <w:r>
              <w:rPr>
                <w:rFonts w:ascii="Arial" w:cs="Arial" w:eastAsia="Arial" w:hAnsi="Arial"/>
                <w:sz w:val="18"/>
                <w:szCs w:val="18"/>
                <w:color w:val="auto"/>
              </w:rPr>
              <w:t>Restricted Payments; Certain Payments of Indebtedness</w:t>
            </w:r>
          </w:p>
        </w:tc>
        <w:tc>
          <w:tcPr>
            <w:tcW w:w="208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6.09</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Transactions with Affiliates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6.10</w:t>
            </w:r>
          </w:p>
        </w:tc>
        <w:tc>
          <w:tcPr>
            <w:tcW w:w="7620" w:type="dxa"/>
            <w:vAlign w:val="bottom"/>
          </w:tcPr>
          <w:p>
            <w:pPr>
              <w:ind w:left="580"/>
              <w:spacing w:after="0"/>
              <w:rPr>
                <w:sz w:val="20"/>
                <w:szCs w:val="20"/>
                <w:color w:val="auto"/>
              </w:rPr>
            </w:pPr>
            <w:r>
              <w:rPr>
                <w:rFonts w:ascii="Arial" w:cs="Arial" w:eastAsia="Arial" w:hAnsi="Arial"/>
                <w:sz w:val="18"/>
                <w:szCs w:val="18"/>
                <w:color w:val="auto"/>
              </w:rPr>
              <w:t>Restrictive Agreements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6.11</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Amendment of Material Documents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6.12</w:t>
            </w:r>
          </w:p>
        </w:tc>
        <w:tc>
          <w:tcPr>
            <w:tcW w:w="7620" w:type="dxa"/>
            <w:vAlign w:val="bottom"/>
          </w:tcPr>
          <w:p>
            <w:pPr>
              <w:ind w:left="580"/>
              <w:spacing w:after="0"/>
              <w:rPr>
                <w:sz w:val="20"/>
                <w:szCs w:val="20"/>
                <w:color w:val="auto"/>
              </w:rPr>
            </w:pPr>
            <w:r>
              <w:rPr>
                <w:rFonts w:ascii="Arial" w:cs="Arial" w:eastAsia="Arial" w:hAnsi="Arial"/>
                <w:sz w:val="18"/>
                <w:szCs w:val="18"/>
                <w:color w:val="auto"/>
              </w:rPr>
              <w:t>Fiscal Year</w:t>
            </w:r>
          </w:p>
        </w:tc>
        <w:tc>
          <w:tcPr>
            <w:tcW w:w="208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6.13</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Financial Covenants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rPr>
              <w:t>Article VII</w:t>
            </w: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Events of Default</w:t>
            </w: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Article VIII</w:t>
            </w: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4"/>
              </w:rPr>
              <w:t>The Administrative Agent</w:t>
            </w: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Appointment and Authority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8.02</w:t>
            </w:r>
          </w:p>
        </w:tc>
        <w:tc>
          <w:tcPr>
            <w:tcW w:w="7620" w:type="dxa"/>
            <w:vAlign w:val="bottom"/>
          </w:tcPr>
          <w:p>
            <w:pPr>
              <w:ind w:left="580"/>
              <w:spacing w:after="0"/>
              <w:rPr>
                <w:sz w:val="20"/>
                <w:szCs w:val="20"/>
                <w:color w:val="auto"/>
              </w:rPr>
            </w:pPr>
            <w:r>
              <w:rPr>
                <w:rFonts w:ascii="Arial" w:cs="Arial" w:eastAsia="Arial" w:hAnsi="Arial"/>
                <w:sz w:val="18"/>
                <w:szCs w:val="18"/>
                <w:color w:val="auto"/>
              </w:rPr>
              <w:t>Rights as a Lender</w:t>
            </w:r>
          </w:p>
        </w:tc>
        <w:tc>
          <w:tcPr>
            <w:tcW w:w="208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8.03</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Exculpatory Provisions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8.04</w:t>
            </w:r>
          </w:p>
        </w:tc>
        <w:tc>
          <w:tcPr>
            <w:tcW w:w="7620" w:type="dxa"/>
            <w:vAlign w:val="bottom"/>
          </w:tcPr>
          <w:p>
            <w:pPr>
              <w:ind w:left="580"/>
              <w:spacing w:after="0"/>
              <w:rPr>
                <w:sz w:val="20"/>
                <w:szCs w:val="20"/>
                <w:color w:val="auto"/>
              </w:rPr>
            </w:pPr>
            <w:r>
              <w:rPr>
                <w:rFonts w:ascii="Arial" w:cs="Arial" w:eastAsia="Arial" w:hAnsi="Arial"/>
                <w:sz w:val="18"/>
                <w:szCs w:val="18"/>
                <w:color w:val="auto"/>
              </w:rPr>
              <w:t>Reliance by Administrative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8.05</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Delegation of Duties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8.06</w:t>
            </w:r>
          </w:p>
        </w:tc>
        <w:tc>
          <w:tcPr>
            <w:tcW w:w="7620" w:type="dxa"/>
            <w:vAlign w:val="bottom"/>
          </w:tcPr>
          <w:p>
            <w:pPr>
              <w:ind w:left="580"/>
              <w:spacing w:after="0"/>
              <w:rPr>
                <w:sz w:val="20"/>
                <w:szCs w:val="20"/>
                <w:color w:val="auto"/>
              </w:rPr>
            </w:pPr>
            <w:r>
              <w:rPr>
                <w:rFonts w:ascii="Arial" w:cs="Arial" w:eastAsia="Arial" w:hAnsi="Arial"/>
                <w:sz w:val="18"/>
                <w:szCs w:val="18"/>
                <w:color w:val="auto"/>
              </w:rPr>
              <w:t>Resignation of Administrative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8.07</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Non-Reliance on Administrative Agent and Other Lenders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8.08</w:t>
            </w:r>
          </w:p>
        </w:tc>
        <w:tc>
          <w:tcPr>
            <w:tcW w:w="7620" w:type="dxa"/>
            <w:vAlign w:val="bottom"/>
          </w:tcPr>
          <w:p>
            <w:pPr>
              <w:ind w:left="580"/>
              <w:spacing w:after="0"/>
              <w:rPr>
                <w:sz w:val="20"/>
                <w:szCs w:val="20"/>
                <w:color w:val="auto"/>
              </w:rPr>
            </w:pPr>
            <w:r>
              <w:rPr>
                <w:rFonts w:ascii="Arial" w:cs="Arial" w:eastAsia="Arial" w:hAnsi="Arial"/>
                <w:sz w:val="18"/>
                <w:szCs w:val="18"/>
                <w:color w:val="auto"/>
              </w:rPr>
              <w:t>No Other Duties, Etc</w:t>
            </w:r>
          </w:p>
        </w:tc>
        <w:tc>
          <w:tcPr>
            <w:tcW w:w="20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8.09</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Administrative Agent May File Proofs of Claim; Credit Bidding</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SECTION 8.10</w:t>
            </w:r>
          </w:p>
        </w:tc>
        <w:tc>
          <w:tcPr>
            <w:tcW w:w="7620" w:type="dxa"/>
            <w:vAlign w:val="bottom"/>
          </w:tcPr>
          <w:p>
            <w:pPr>
              <w:ind w:left="580"/>
              <w:spacing w:after="0"/>
              <w:rPr>
                <w:sz w:val="20"/>
                <w:szCs w:val="20"/>
                <w:color w:val="auto"/>
              </w:rPr>
            </w:pPr>
            <w:r>
              <w:rPr>
                <w:rFonts w:ascii="Arial" w:cs="Arial" w:eastAsia="Arial" w:hAnsi="Arial"/>
                <w:sz w:val="18"/>
                <w:szCs w:val="18"/>
                <w:color w:val="auto"/>
              </w:rPr>
              <w:t>Collateral and Guaranty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SECTION 8.11</w:t>
            </w:r>
          </w:p>
        </w:tc>
        <w:tc>
          <w:tcPr>
            <w:tcW w:w="7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Secured Cash Management Agreements and Secured Hedge Agreements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Article IX</w:t>
            </w:r>
          </w:p>
        </w:tc>
        <w:tc>
          <w:tcPr>
            <w:tcW w:w="2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Miscellaneous</w:t>
            </w:r>
          </w:p>
        </w:tc>
        <w:tc>
          <w:tcPr>
            <w:tcW w:w="2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9.01</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9.02</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Waivers; Amendments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9.03</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Expenses; Indemnity; Damage Waiver</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9.04</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21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9.05</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Survival</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9.06</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Counterparts; Integration; Effectiveness</w:t>
            </w:r>
          </w:p>
        </w:tc>
        <w:tc>
          <w:tcPr>
            <w:tcW w:w="210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9.07</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Severability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9.08</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Right of Setoff</w:t>
            </w:r>
          </w:p>
        </w:tc>
        <w:tc>
          <w:tcPr>
            <w:tcW w:w="210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9.09</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 Jurisdiction; Consent to Service of Process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9.10</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10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9.11</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Headings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9.12</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10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9.13</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Limitation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9.14</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Release of Liens and Guarantees</w:t>
            </w:r>
          </w:p>
        </w:tc>
        <w:tc>
          <w:tcPr>
            <w:tcW w:w="21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9.15</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USA PATRIOT Act Notice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9.16</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No Advisory or Fiduciary Relationship</w:t>
            </w:r>
          </w:p>
        </w:tc>
        <w:tc>
          <w:tcPr>
            <w:tcW w:w="210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9.17</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Non-Public Information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9.18</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Judgment Currency</w:t>
            </w:r>
          </w:p>
        </w:tc>
        <w:tc>
          <w:tcPr>
            <w:tcW w:w="210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9.19</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9.20</w:t>
            </w:r>
          </w:p>
        </w:tc>
        <w:tc>
          <w:tcPr>
            <w:tcW w:w="58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9.21</w:t>
            </w:r>
          </w:p>
        </w:tc>
        <w:tc>
          <w:tcPr>
            <w:tcW w:w="580" w:type="dxa"/>
            <w:vAlign w:val="bottom"/>
            <w:shd w:val="clear" w:color="auto" w:fill="CCEEFF"/>
          </w:tcPr>
          <w:p>
            <w:pPr>
              <w:spacing w:after="0"/>
              <w:rPr>
                <w:sz w:val="18"/>
                <w:szCs w:val="18"/>
                <w:color w:val="auto"/>
              </w:rPr>
            </w:pP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Lender Representation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SECTION 9.22</w:t>
            </w:r>
          </w:p>
        </w:tc>
        <w:tc>
          <w:tcPr>
            <w:tcW w:w="580" w:type="dxa"/>
            <w:vAlign w:val="bottom"/>
          </w:tcPr>
          <w:p>
            <w:pPr>
              <w:spacing w:after="0"/>
              <w:rPr>
                <w:sz w:val="20"/>
                <w:szCs w:val="20"/>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MIRE Events</w:t>
            </w:r>
          </w:p>
        </w:tc>
        <w:tc>
          <w:tcPr>
            <w:tcW w:w="210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SCHEDULES: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48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Commitments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2.06</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Existing Letters of Credit</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Subsidiaries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3.13</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5.16</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Post-Closing Actions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Existing Indebtedness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Existing Liens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6.04</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Existing Investments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3"/>
          </w:tcPr>
          <w:p>
            <w:pPr>
              <w:spacing w:after="0"/>
              <w:rPr>
                <w:sz w:val="20"/>
                <w:szCs w:val="20"/>
                <w:color w:val="auto"/>
              </w:rPr>
            </w:pPr>
            <w:r>
              <w:rPr>
                <w:rFonts w:ascii="Arial" w:cs="Arial" w:eastAsia="Arial" w:hAnsi="Arial"/>
                <w:sz w:val="18"/>
                <w:szCs w:val="18"/>
                <w:color w:val="auto"/>
              </w:rPr>
              <w:t>Schedule 6.10</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Existing Restrictions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gridSpan w:val="3"/>
          </w:tcPr>
          <w:p>
            <w:pPr>
              <w:spacing w:after="0"/>
              <w:rPr>
                <w:sz w:val="20"/>
                <w:szCs w:val="20"/>
                <w:color w:val="auto"/>
              </w:rPr>
            </w:pPr>
            <w:r>
              <w:rPr>
                <w:rFonts w:ascii="Arial" w:cs="Arial" w:eastAsia="Arial" w:hAnsi="Arial"/>
                <w:sz w:val="18"/>
                <w:szCs w:val="18"/>
                <w:color w:val="auto"/>
              </w:rPr>
              <w:t>Schedule 9.01</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7260" w:type="dxa"/>
            <w:vAlign w:val="bottom"/>
          </w:tcPr>
          <w:p>
            <w:pPr>
              <w:ind w:left="240"/>
              <w:spacing w:after="0"/>
              <w:rPr>
                <w:sz w:val="20"/>
                <w:szCs w:val="20"/>
                <w:color w:val="auto"/>
              </w:rPr>
            </w:pPr>
            <w:r>
              <w:rPr>
                <w:rFonts w:ascii="Arial" w:cs="Arial" w:eastAsia="Arial" w:hAnsi="Arial"/>
                <w:sz w:val="18"/>
                <w:szCs w:val="18"/>
                <w:color w:val="auto"/>
              </w:rPr>
              <w:t>Administrative Agent’s Office</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EXHIBITS:</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38"/>
        </w:trPr>
        <w:tc>
          <w:tcPr>
            <w:tcW w:w="130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Borrowing Request</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Swingline Borrowing Request</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Notice of Loan Prepayment</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Interest Election Request</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Perfection Certificate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Supplemental Perfection Certificate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I-1</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w w:val="97"/>
              </w:rPr>
              <w:t>Form of U.S. Tax Compliance Certificate for Non-U.S. Lenders that are not Partnerships for U.S. Federal Income Tax</w:t>
            </w: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Purposes</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I-2</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w w:val="92"/>
              </w:rPr>
              <w:t>Form of U.S. Tax Compliance Certificate for Non-U.S. Lenders that are Partnerships for U.S. Federal Income Tax Purposes</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I-3</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w w:val="94"/>
              </w:rPr>
              <w:t>Form of U.S. Tax Compliance Certificate for Non-U.S. Participants that are not Partnerships for U.S. Federal Income Tax</w:t>
            </w: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Purposes</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I-4</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w w:val="97"/>
              </w:rPr>
              <w:t>Form of U.S. Tax Compliance Certificate for Non-U.S. Participants that are Partnerships for U.S. Federal Income Tax</w:t>
            </w: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Purposes</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J-1</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Closing Certificate (Designated Borrower)</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J-2</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Closing Certificate (Company)</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K</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Designated Borrower Request and Assumption Agreement</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L</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Designated Borrower Notice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M</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Intercompany Note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N</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Letter of Credit Report</w:t>
            </w: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Exhibit O</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Notice of Additional Issuing Lender</w:t>
            </w:r>
          </w:p>
        </w:tc>
      </w:tr>
      <w:tr>
        <w:trPr>
          <w:trHeight w:val="675"/>
        </w:trPr>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580"/>
              <w:spacing w:after="0"/>
              <w:rPr>
                <w:sz w:val="20"/>
                <w:szCs w:val="20"/>
                <w:color w:val="auto"/>
              </w:rPr>
            </w:pPr>
            <w:r>
              <w:rPr>
                <w:rFonts w:ascii="Arial" w:cs="Arial" w:eastAsia="Arial" w:hAnsi="Arial"/>
                <w:sz w:val="22"/>
                <w:szCs w:val="22"/>
                <w:color w:val="auto"/>
              </w:rPr>
              <w:t>v</w:t>
            </w:r>
          </w:p>
        </w:tc>
      </w:tr>
    </w:tbl>
    <w:p>
      <w:pPr>
        <w:sectPr>
          <w:pgSz w:w="11900" w:h="16838" w:orient="portrait"/>
          <w:cols w:equalWidth="0" w:num="1">
            <w:col w:w="11420"/>
          </w:cols>
          <w:pgMar w:left="240" w:top="891" w:right="239" w:bottom="1440" w:gutter="0" w:footer="0" w:header="0"/>
        </w:sectPr>
      </w:pPr>
    </w:p>
    <w:bookmarkStart w:id="39" w:name="page40"/>
    <w:bookmarkEnd w:id="39"/>
    <w:p>
      <w:pPr>
        <w:jc w:val="both"/>
        <w:ind w:firstLine="1297"/>
        <w:spacing w:after="0" w:line="255" w:lineRule="auto"/>
        <w:rPr>
          <w:sz w:val="20"/>
          <w:szCs w:val="20"/>
          <w:color w:val="auto"/>
        </w:rPr>
      </w:pPr>
      <w:r>
        <w:rPr>
          <w:rFonts w:ascii="Arial" w:cs="Arial" w:eastAsia="Arial" w:hAnsi="Arial"/>
          <w:sz w:val="18"/>
          <w:szCs w:val="18"/>
          <w:color w:val="auto"/>
        </w:rPr>
        <w:t>CREDIT AGREEMENT dated as of September 1, 2017,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certain Subsidiaries of the Company party hereto pursuant to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BANK OF AMERICA, N.A., as Administrative Agent, JPMORGAN CHASE BANK, N.A., as Syndication Agent and CAPITAL ONE, NATIONAL ASSOCIATION, CITIZENS BANK, N.A., HSBC BANK USA, N.A., KEYBANK NATIONAL ASSOCIATION, PNC CAPITAL MARKETS LLC, SUNTRUST BANK, THE BANK OF TOKYO-MITSUBISHI UFJ, LTD., U.S. BANK NATIONAL ASSOCIATION and WELLS FARGO SECURITIES, LLC, as Co-Documentation Agents.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Above-Threshold Prepayment Events</w:t>
      </w:r>
      <w:r>
        <w:rPr>
          <w:rFonts w:ascii="Arial" w:cs="Arial" w:eastAsia="Arial" w:hAnsi="Arial"/>
          <w:sz w:val="18"/>
          <w:szCs w:val="18"/>
          <w:color w:val="auto"/>
        </w:rPr>
        <w:t xml:space="preserve">” means any Prepayment Event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definition thereof the Net Proceeds of which (together with any series of related Prepayment Events) are equal to or exceed $10,000,000.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EBITDAR</w:t>
      </w:r>
      <w:r>
        <w:rPr>
          <w:rFonts w:ascii="Arial" w:cs="Arial" w:eastAsia="Arial" w:hAnsi="Arial"/>
          <w:sz w:val="18"/>
          <w:szCs w:val="18"/>
          <w:color w:val="auto"/>
        </w:rPr>
        <w:t xml:space="preserve">” means, for any period, the sum of (a) Consolidated EBITDA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Adjusted Rental Expense for such period.</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Rental Expense</w:t>
      </w:r>
      <w:r>
        <w:rPr>
          <w:rFonts w:ascii="Arial" w:cs="Arial" w:eastAsia="Arial" w:hAnsi="Arial"/>
          <w:sz w:val="18"/>
          <w:szCs w:val="18"/>
          <w:color w:val="auto"/>
        </w:rPr>
        <w:t>” means, for any period, rental expense for such period, adjusted and calculated in the same manner as Consolidated EBITDA for such period.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has the meaning set forth in the Applicable Pricing Grid.</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N.A. (including its branches and Affiliates), in its capacity as administrative agent hereunder and under the other Loan Documents, and its successors in such capacity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9.01</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the Revolving Commitments of all the Lenders.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Term Commitments</w:t>
      </w:r>
      <w:r>
        <w:rPr>
          <w:rFonts w:ascii="Arial" w:cs="Arial" w:eastAsia="Arial" w:hAnsi="Arial"/>
          <w:sz w:val="18"/>
          <w:szCs w:val="18"/>
          <w:color w:val="auto"/>
        </w:rPr>
        <w:t>” means the Term Commitments of all the Lenders.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the same may be modified, amended or supplemented from time to time.</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w:t>
      </w:r>
      <w:r>
        <w:rPr>
          <w:rFonts w:ascii="Arial" w:cs="Arial" w:eastAsia="Arial" w:hAnsi="Arial"/>
          <w:sz w:val="17"/>
          <w:szCs w:val="17"/>
          <w:color w:val="auto"/>
        </w:rPr>
        <w:t xml:space="preserve">” means each of the following currencies: Euro and Sterling, together with each other currency (other than Dollars) that is approved in accordance with </w:t>
      </w:r>
      <w:r>
        <w:rPr>
          <w:rFonts w:ascii="Arial" w:cs="Arial" w:eastAsia="Arial" w:hAnsi="Arial"/>
          <w:sz w:val="17"/>
          <w:szCs w:val="17"/>
          <w:u w:val="single" w:color="auto"/>
          <w:color w:val="auto"/>
        </w:rPr>
        <w:t>Section 1.08; provided</w:t>
      </w:r>
      <w:r>
        <w:rPr>
          <w:rFonts w:ascii="Arial" w:cs="Arial" w:eastAsia="Arial" w:hAnsi="Arial"/>
          <w:sz w:val="17"/>
          <w:szCs w:val="17"/>
          <w:color w:val="auto"/>
        </w:rPr>
        <w:t xml:space="preserve"> that for each Alternative Currency, such requested currency is an Eligible Currency.</w:t>
      </w:r>
    </w:p>
    <w:p>
      <w:pPr>
        <w:spacing w:after="0" w:line="14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means, at any time, with respect to any amount denominated in Dollars, the equivalent amount thereof in the applicable Alternative Currency as determined by the Administrative Agent or the applicable Issuing Lender, as the case may be, at such time on the basis of the Spot Rate (determined in respect of the most recent Revaluation Date) for the purchase of such Alternative Currency with Dollars.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an amount equal to the lesser of the Aggregate Revolving Commitments and $200,000,000. The Alternative Currency Sublimit is part of, and not in addition to, the Aggregate Revolving Commitments.</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any of its Subsidiaries from time to time concerning or relating to bribery or corruption.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9.18(b)</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Funding Account</w:t>
      </w:r>
      <w:r>
        <w:rPr>
          <w:rFonts w:ascii="Arial" w:cs="Arial" w:eastAsia="Arial" w:hAnsi="Arial"/>
          <w:sz w:val="18"/>
          <w:szCs w:val="18"/>
          <w:color w:val="auto"/>
        </w:rPr>
        <w:t>” means the applicable account of the applicable Borrower that shall be specified in a written notice signed by a Financial Officer with respect to the applicable Borrower and delivered to (and, in the case of any account located outside the United States, reasonably approved by) the Administrative Agent.</w:t>
      </w:r>
    </w:p>
    <w:p>
      <w:pPr>
        <w:spacing w:after="0" w:line="18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(a) with respect to Revolving Credit Extensions, such Lender’s Multicurrency Tranche Applicable Percentage (in the case of a Multicurrency Tranche Revolving Lender) or Dollar Tranche Applicable Percentage (in the case of a Dollar Tranche Revolving Lender) and (b) with respect to Term Loans, the percentage (carried out to the ninth decimal place) of the Aggregate Term Commitments represented by such Lender’s Term Commitment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Term Commitments have terminated or expired, the Applicable Percentages shall be determined based upon the outstanding principal amount of the Term Loans of such Lender and the denominator of which is the aggregate outstanding principal amount of the Term Loans of all Term Lenders. The initial Applicable Percentage of each Lender is set forth opposite the name of such Lender on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in the Assignment and Assumption pursuant to which such Lender becomes a party hereto, as applicable.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Applicable Rate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for</w:t>
            </w:r>
          </w:p>
        </w:tc>
        <w:tc>
          <w:tcPr>
            <w:tcW w:w="2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Applicable Rate</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Eurocurrency</w:t>
            </w:r>
          </w:p>
        </w:tc>
        <w:tc>
          <w:tcPr>
            <w:tcW w:w="2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for Base Rate</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12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Leverage Ratio</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Rate Loans</w:t>
            </w:r>
          </w:p>
        </w:tc>
        <w:tc>
          <w:tcPr>
            <w:tcW w:w="26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2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160" w:type="dxa"/>
            <w:vAlign w:val="bottom"/>
            <w:tcBorders>
              <w:bottom w:val="single" w:sz="8" w:color="CCEEFF"/>
            </w:tcBorders>
          </w:tcPr>
          <w:p>
            <w:pPr>
              <w:spacing w:after="0"/>
              <w:rPr>
                <w:sz w:val="20"/>
                <w:szCs w:val="20"/>
                <w:color w:val="auto"/>
              </w:rPr>
            </w:pPr>
          </w:p>
        </w:tc>
      </w:tr>
      <w:tr>
        <w:trPr>
          <w:trHeight w:val="210"/>
        </w:trPr>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3.25:1.00</w:t>
            </w: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r>
      <w:tr>
        <w:trPr>
          <w:trHeight w:val="216"/>
        </w:trPr>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 2.75:1.00 and &lt; 3.25:1.00</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r>
      <w:tr>
        <w:trPr>
          <w:trHeight w:val="216"/>
        </w:trPr>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III</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2.25:1.00 and &lt; 2.75:1.00</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0.275%</w:t>
            </w:r>
          </w:p>
        </w:tc>
      </w:tr>
      <w:tr>
        <w:trPr>
          <w:trHeight w:val="216"/>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rPr>
              <w:t>IV</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 1.75:1.00 and &lt; 2.25:1.00</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0.250%</w:t>
            </w:r>
          </w:p>
        </w:tc>
      </w:tr>
      <w:tr>
        <w:trPr>
          <w:trHeight w:val="216"/>
        </w:trPr>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1.25:1.00 and &lt; 1.75:1.00</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0.225%</w:t>
            </w:r>
          </w:p>
        </w:tc>
      </w:tr>
      <w:tr>
        <w:trPr>
          <w:trHeight w:val="230"/>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rPr>
              <w:t>VI</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&lt; 1.25:1.00</w:t>
            </w:r>
          </w:p>
        </w:tc>
        <w:tc>
          <w:tcPr>
            <w:tcW w:w="100" w:type="dxa"/>
            <w:vAlign w:val="bottom"/>
          </w:tcPr>
          <w:p>
            <w:pPr>
              <w:spacing w:after="0"/>
              <w:rPr>
                <w:sz w:val="20"/>
                <w:szCs w:val="20"/>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0.200%</w:t>
            </w:r>
          </w:p>
        </w:tc>
      </w:tr>
      <w:tr>
        <w:trPr>
          <w:trHeight w:val="634"/>
        </w:trPr>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1" w:name="page42"/>
    <w:bookmarkEnd w:id="41"/>
    <w:p>
      <w:pPr>
        <w:jc w:val="both"/>
        <w:ind w:firstLine="1297"/>
        <w:spacing w:after="0" w:line="255" w:lineRule="auto"/>
        <w:rPr>
          <w:sz w:val="20"/>
          <w:szCs w:val="20"/>
          <w:color w:val="auto"/>
        </w:rPr>
      </w:pPr>
      <w:r>
        <w:rPr>
          <w:rFonts w:ascii="Arial" w:cs="Arial" w:eastAsia="Arial" w:hAnsi="Arial"/>
          <w:sz w:val="18"/>
          <w:szCs w:val="18"/>
          <w:color w:val="auto"/>
        </w:rPr>
        <w:t>For the purposes of the Applicable Pricing Grid, changes in the Applicable Rate resulting from changes in the Total Leverage Ratio shall become effective on the date (the “</w:t>
      </w:r>
      <w:r>
        <w:rPr>
          <w:rFonts w:ascii="Arial" w:cs="Arial" w:eastAsia="Arial" w:hAnsi="Arial"/>
          <w:sz w:val="18"/>
          <w:szCs w:val="18"/>
          <w:u w:val="single" w:color="auto"/>
          <w:color w:val="auto"/>
        </w:rPr>
        <w:t>Adjustment Date</w:t>
      </w:r>
      <w:r>
        <w:rPr>
          <w:rFonts w:ascii="Arial" w:cs="Arial" w:eastAsia="Arial" w:hAnsi="Arial"/>
          <w:sz w:val="18"/>
          <w:szCs w:val="18"/>
          <w:color w:val="auto"/>
        </w:rPr>
        <w:t xml:space="preserve">”) that is three (3) Business Days after the date on which a Compliance Certificate is delivered to the Administrative Agent pursuant to </w:t>
      </w:r>
      <w:r>
        <w:rPr>
          <w:rFonts w:ascii="Arial" w:cs="Arial" w:eastAsia="Arial" w:hAnsi="Arial"/>
          <w:sz w:val="18"/>
          <w:szCs w:val="18"/>
          <w:u w:val="single" w:color="auto"/>
          <w:color w:val="auto"/>
        </w:rPr>
        <w:t>Section 5.01(d)</w:t>
      </w:r>
      <w:r>
        <w:rPr>
          <w:rFonts w:ascii="Arial" w:cs="Arial" w:eastAsia="Arial" w:hAnsi="Arial"/>
          <w:sz w:val="18"/>
          <w:szCs w:val="18"/>
          <w:color w:val="auto"/>
        </w:rPr>
        <w:t xml:space="preserve"> and shall remain in effect until the next change to be effected pursuant to this paragraph. If any Compliance Certificate referred to above is not delivered within the time period specified in </w:t>
      </w:r>
      <w:r>
        <w:rPr>
          <w:rFonts w:ascii="Arial" w:cs="Arial" w:eastAsia="Arial" w:hAnsi="Arial"/>
          <w:sz w:val="18"/>
          <w:szCs w:val="18"/>
          <w:u w:val="single" w:color="auto"/>
          <w:color w:val="auto"/>
        </w:rPr>
        <w:t>Section 5.01(d)</w:t>
      </w:r>
      <w:r>
        <w:rPr>
          <w:rFonts w:ascii="Arial" w:cs="Arial" w:eastAsia="Arial" w:hAnsi="Arial"/>
          <w:sz w:val="18"/>
          <w:szCs w:val="18"/>
          <w:color w:val="auto"/>
        </w:rPr>
        <w:t xml:space="preserve">, then, until the date that is three (3) Business Days after the date on which such Compliance Certificate is delivered, the highest rate set forth in each column of the Applicable Pricing Grid shall apply. Each determination of the Total Leverage Ratio pursuant to the Applicable Pricing Grid shall be made in a manner consistent with the determination thereof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w:t>
      </w:r>
    </w:p>
    <w:p>
      <w:pPr>
        <w:spacing w:after="0" w:line="225" w:lineRule="exact"/>
        <w:rPr>
          <w:sz w:val="20"/>
          <w:szCs w:val="20"/>
          <w:color w:val="auto"/>
        </w:rPr>
      </w:pPr>
    </w:p>
    <w:p>
      <w:pPr>
        <w:jc w:val="both"/>
        <w:ind w:firstLine="1305"/>
        <w:spacing w:after="0" w:line="257" w:lineRule="auto"/>
        <w:tabs>
          <w:tab w:leader="none" w:pos="20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case of Term Loans, (i) with respect to any Base Rate Loan or Eurocurrency Loan that is an Initial Term Loan, 1.25% per annum and 2.25% per annum,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and after the first Adjustment Date occurring after the delivery of a Compliance Certificate for the full fiscal quarter of the Company after the Closing Date, the Applicable Rate with respect to the Initial Term Loans will be determined pursuant to the Applicable Pricing Grid and (ii) with respect to any Incremental Term Loan of any Series, the rate per annum specified in the Incremental Facility Amendment establishing the Incremental Term Commitments of such Series; and</w:t>
      </w:r>
    </w:p>
    <w:p>
      <w:pPr>
        <w:spacing w:after="0" w:line="188" w:lineRule="exact"/>
        <w:rPr>
          <w:rFonts w:ascii="Arial" w:cs="Arial" w:eastAsia="Arial" w:hAnsi="Arial"/>
          <w:sz w:val="18"/>
          <w:szCs w:val="18"/>
          <w:color w:val="auto"/>
        </w:rPr>
      </w:pPr>
    </w:p>
    <w:p>
      <w:pPr>
        <w:jc w:val="both"/>
        <w:ind w:firstLine="1305"/>
        <w:spacing w:after="0" w:line="312" w:lineRule="auto"/>
        <w:tabs>
          <w:tab w:leader="none" w:pos="2113"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the case of Revolving Loans, with respect to any Base Rate Loan or Eurocurrency Loan, 1.25% per annum and 2.25% per annum,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and after the first Adjustment Date occurring after the delivery of a Compliance Certificate for the full fiscal quarter of the Company after the Closing Date, the Applicable Rate with respect to the Revolving Loans will be determined pursuant to the Applicable Pricing Grid.</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applicable Issuing Lender, as the case may be, to be necessary for timely settlement on the relevant date in accordance with normal banking procedures in the place of payment.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an application, in such form as the applicable Issuing Lender may specify from time to time, requesting such Issuing Lender to issue a Letter of Credit.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the Joint Lead Arrangers and the Joint Bookrunners.</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Person whose consent is required by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accepted by the Administrative Agent,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documentation generated by use of an electronic platform) approved by the Administrative Agent and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means, at any time, the principal amount of Indebtedness which (i) if a Permitted Receivables Facility is structured as a lending agreement or other similar agreement, constitutes the principal amount of such Indebtedness or (ii) if a Permitted Receivables Facility is structured as a purchase agreement or other similar agreement, would be outstanding at such time under the Permitted Receivables Facility if the same were structured as a lending agreement rather than a purchase agreement or such other similar agreement (whether such amount is described as “capital” or otherwise).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Augustus and Karapetvan Cases</w:t>
      </w:r>
      <w:r>
        <w:rPr>
          <w:rFonts w:ascii="Arial" w:cs="Arial" w:eastAsia="Arial" w:hAnsi="Arial"/>
          <w:sz w:val="18"/>
          <w:szCs w:val="18"/>
          <w:color w:val="auto"/>
        </w:rPr>
        <w:t>” has the meaning specified in the term “Consolidated EBITDA.”</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Officer</w:t>
      </w:r>
      <w:r>
        <w:rPr>
          <w:rFonts w:ascii="Arial" w:cs="Arial" w:eastAsia="Arial" w:hAnsi="Arial"/>
          <w:sz w:val="16"/>
          <w:szCs w:val="16"/>
          <w:color w:val="auto"/>
        </w:rPr>
        <w:t>” means the chief executive officer, president, chief financial officer or corporate vice president of finance (or any other officer with similar duties) of the Company or any other officer of the Company designated by it for such purpose; solely for purposes of the delivery of incumbency certificates pursuant to Section 4.01, the secretary or any assistant secretary of the Company; and solely for purposes of notices given pursuant to Article II, any other officer or employee of the Company so designated by any of the foregoing officers in a notice to the Administrative Agent or any other officer or employee of the Company designated in or pursuant to an agreement between the Company and the Administrative Agent. Any document delivered hereunder that is signed by an Authorized Officer of the Company shall be conclusively presumed to have been authorized by all necessary corporate, partnership and/or other action on the part of the Company and such Authorized Officer shall be conclusively presumed to have acted on behalf of the Company. To the extent requested by the Administrative Agent, each Authorized Officer will provide an incumbency certificate and to the extent requested by the Administrative Agent, appropriate authorization documentation, in form and substance satisfactory to the Administrative Agent.</w:t>
      </w:r>
    </w:p>
    <w:p>
      <w:pPr>
        <w:spacing w:after="0" w:line="16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Revolving Commitment</w:t>
      </w:r>
      <w:r>
        <w:rPr>
          <w:rFonts w:ascii="Arial" w:cs="Arial" w:eastAsia="Arial" w:hAnsi="Arial"/>
          <w:sz w:val="17"/>
          <w:szCs w:val="17"/>
          <w:color w:val="auto"/>
        </w:rPr>
        <w:t xml:space="preserve">” means, as to any Revolving Lender at any time, (a) in the case of a Multicurrency Tranche Revolving Lender, an amount equal to the excess, if any, of (i) such Lender’s Multicurrency Tranche Revolving Commitment then in effect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such Lender’s Revolving Extensions of Credit then outstanding under the Multicurrency Tranche Revolving Commitments and (b) in the case of a Dollar Tranche Revolving Lender, an amount equal to the excess, if any, of (i) such Lender’s Dollar Tranche Revolving Commitment then in effect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such Lender’s Revolving Extensions of Credit then outstanding under the Dollar Tranche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any Lender’s Revolving Extensions of Credit under the Dollar Tranche Revolving Commitments for the purpose of determining such Lender’s Available Revolving Commitment pursuant to </w:t>
      </w:r>
      <w:r>
        <w:rPr>
          <w:rFonts w:ascii="Arial" w:cs="Arial" w:eastAsia="Arial" w:hAnsi="Arial"/>
          <w:sz w:val="17"/>
          <w:szCs w:val="17"/>
          <w:u w:val="single" w:color="auto"/>
          <w:color w:val="auto"/>
        </w:rPr>
        <w:t>Section 2.13(b)</w:t>
      </w:r>
      <w:r>
        <w:rPr>
          <w:rFonts w:ascii="Arial" w:cs="Arial" w:eastAsia="Arial" w:hAnsi="Arial"/>
          <w:sz w:val="17"/>
          <w:szCs w:val="17"/>
          <w:color w:val="auto"/>
        </w:rPr>
        <w:t>, the aggregate principal amount of Swingline Loans then outstanding shall be deemed to be zero.</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entitled “Bankruptcy,” as now or hereafter in effect, or any successor thereto.</w:t>
      </w:r>
    </w:p>
    <w:p>
      <w:pPr>
        <w:spacing w:after="0" w:line="24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that such Person has become the subject of a bankruptcy or insolvency proceeding, or has had a receiver, conservator, liquidator, trustee, administrator, custodian, assignee for the benefit of creditors, officer for the implementation of reorganization process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Incremental Amount</w:t>
      </w:r>
      <w:r>
        <w:rPr>
          <w:rFonts w:ascii="Arial" w:cs="Arial" w:eastAsia="Arial" w:hAnsi="Arial"/>
          <w:sz w:val="18"/>
          <w:szCs w:val="18"/>
          <w:color w:val="auto"/>
        </w:rPr>
        <w:t xml:space="preserve">” means, as of any date, an amount equal to (a) $100,000,000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sum of (i) the aggregate amount of all Incremental Commitments extended prior to such date in reliance on the Base Incremental Amount and (ii) the aggregate principal amount of all Incremental Equivalent Debt incurred prior to such date in reliance on the Base Incremental Amount.</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 (b) the rate of interest in effect for such day as publicly announced from time to time by Bank of America as its “prime rate,” and (c) the Eurocurrency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Base Rate Loans shall be available only to the Company and to Designated Borrowers that are Domestic Subsidiaries. All Base Rate Loans shall be denominated in Dollars.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Below-Threshold Prepayment Events</w:t>
      </w:r>
      <w:r>
        <w:rPr>
          <w:rFonts w:ascii="Arial" w:cs="Arial" w:eastAsia="Arial" w:hAnsi="Arial"/>
          <w:sz w:val="18"/>
          <w:szCs w:val="18"/>
          <w:color w:val="auto"/>
        </w:rPr>
        <w:t xml:space="preserve">” means any Prepayment Event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definition thereof which is not an Above-Threshold Prepayment Event.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preamble hereto.</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Class and Type made, converted or continued on the same date and, in the case of Eurocurrency Loans, as to which a single Interest Period is in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Minimum</w:t>
      </w:r>
      <w:r>
        <w:rPr>
          <w:rFonts w:ascii="Arial" w:cs="Arial" w:eastAsia="Arial" w:hAnsi="Arial"/>
          <w:sz w:val="17"/>
          <w:szCs w:val="17"/>
          <w:color w:val="auto"/>
        </w:rPr>
        <w:t>” means $5,000,000 (or if any Borrowing is denominated in an Alternative Currency, 5,000,000 units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$1,000,000 (or if any Borrowing is denominated in an Alternative Currency, 1,000,000 units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any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shall be, in the case of any such written request,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or any other form approved by the Administrative Agent (including any form on an electronic platform or electronic transmission system as shall be approved by the Administrative Agent), appropriately completed and signed by an Authorized Officer of a Borrower.</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7" w:lineRule="exact"/>
        <w:rPr>
          <w:sz w:val="20"/>
          <w:szCs w:val="20"/>
          <w:color w:val="auto"/>
        </w:rPr>
      </w:pPr>
    </w:p>
    <w:p>
      <w:pPr>
        <w:jc w:val="both"/>
        <w:ind w:firstLine="1305"/>
        <w:spacing w:after="0" w:line="286" w:lineRule="auto"/>
        <w:tabs>
          <w:tab w:leader="none" w:pos="15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1305"/>
        <w:spacing w:after="0" w:line="264" w:lineRule="auto"/>
        <w:tabs>
          <w:tab w:leader="none" w:pos="15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567"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for any period, (a) the additions to property, plant and equipment and other capital expenditures of the Company and its Subsidiaries that are (or should be) set forth in a consolidated statement of cash flows of the Company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Capital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spacing w:after="0" w:line="18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(without giving effect to any subsequent changes in GAAP arising out of a change described in the Proposed Accounting Standards Update to Leases (Topic 840) dated August 17, 2010, or a substantially similar pronouncement). The amount of such obligations shall be the capitalized amount thereof determined in accordance with GAAP. For purposes of </w:t>
      </w:r>
      <w:r>
        <w:rPr>
          <w:rFonts w:ascii="Arial" w:cs="Arial" w:eastAsia="Arial" w:hAnsi="Arial"/>
          <w:sz w:val="16"/>
          <w:szCs w:val="16"/>
          <w:u w:val="single" w:color="auto"/>
          <w:color w:val="auto"/>
        </w:rPr>
        <w:t>Section 6.02</w:t>
      </w:r>
      <w:r>
        <w:rPr>
          <w:rFonts w:ascii="Arial" w:cs="Arial" w:eastAsia="Arial" w:hAnsi="Arial"/>
          <w:sz w:val="16"/>
          <w:szCs w:val="16"/>
          <w:color w:val="auto"/>
        </w:rPr>
        <w:t>, a Capital Lease Obligation shall be deemed to be secured by a Lien on the property being leased and such property shall be deemed to be owned by the lessee.</w:t>
      </w:r>
    </w:p>
    <w:p>
      <w:pPr>
        <w:spacing w:after="0" w:line="16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Company</w:t>
      </w:r>
      <w:r>
        <w:rPr>
          <w:rFonts w:ascii="Arial" w:cs="Arial" w:eastAsia="Arial" w:hAnsi="Arial"/>
          <w:sz w:val="18"/>
          <w:szCs w:val="18"/>
          <w:color w:val="auto"/>
        </w:rPr>
        <w:t xml:space="preserve">” means a wholly owned Subsidiary of the Company that (a) has no Subsidiaries and (b) engages in no business other than providing insurance for the benefit of the Company and its Subsidiaries with respect to workmen’s compensation, crime, general liability, auto liability, employee benefits and property risks in accordance with </w:t>
      </w:r>
      <w:r>
        <w:rPr>
          <w:rFonts w:ascii="Arial" w:cs="Arial" w:eastAsia="Arial" w:hAnsi="Arial"/>
          <w:sz w:val="18"/>
          <w:szCs w:val="18"/>
          <w:u w:val="single" w:color="auto"/>
          <w:color w:val="auto"/>
        </w:rPr>
        <w:t>Section 5.07</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one or more of the Issuing Lenders or the Lenders, as collateral for L/C Obligations or obligations of the Lenders to fund participations in respect of L/C Obligations, cash or deposit account balances or, if the Administrative Agent and the applicable Issuing Lender shall agree in their sole discretion, other credit support, in each case pursuant to documentation in form and substance satisfactory to the Administrative Agent and such Issuing Lender. “Cash Collateral” shall have a meaning correlative to the foregoing and shall include the proceeds of such cash collateral and other credit support.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Agreement</w:t>
      </w:r>
      <w:r>
        <w:rPr>
          <w:rFonts w:ascii="Arial" w:cs="Arial" w:eastAsia="Arial" w:hAnsi="Arial"/>
          <w:sz w:val="16"/>
          <w:szCs w:val="16"/>
          <w:color w:val="auto"/>
        </w:rPr>
        <w:t>” means an agreement pursuant to which a bank or other financial institution provides Cash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the Company or any Subsidiary and (b) commercial credit card and purchasing card services provided to the Company or any Subsidiary.</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each Person that is a “controlled foreign corporation” for purposes of Section 957 of the Code and (b) each Subsidiary of any such controlled foreign corporation.</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Holding Company</w:t>
      </w:r>
      <w:r>
        <w:rPr>
          <w:rFonts w:ascii="Arial" w:cs="Arial" w:eastAsia="Arial" w:hAnsi="Arial"/>
          <w:sz w:val="18"/>
          <w:szCs w:val="18"/>
          <w:color w:val="auto"/>
        </w:rPr>
        <w:t>” means a Subsidiary that has no material assets other than Equity Interests and, if any, Indebtedness of (a) one or more CFCs or (b) one or more CFC Holding Companies.</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Exchange Act and the rules of the SEC thereunder, but excluding any employee benefit plan of such Person or its Subsidiaries and any Person or entity acting in its capacity as trustee, agent or other fiduciary or administrator of any such plan unless such plan is party of a group) of Equity Interests in the Company representing more than 35% of either the aggregate ordinary voting power or the aggregate equity value represented by the issued and outstanding Equity Interests in the Company or (b) any Borrower (other than the Company) shall cease to be a wholly-owned direct Subsidiary of the Company or another Loan Party that is a wholly-owned Subsidiary of the Company.</w:t>
      </w:r>
    </w:p>
    <w:p>
      <w:pPr>
        <w:spacing w:after="0" w:line="17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including the entry into any agreement with such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 any Loan or Borrowing, refers to whether such Loan, or the Loans comprising such Borrowing, are Initial Term Loans, Incremental Term Loans of any Series, Dollar Tranche Revolving Loans, Multicurrency Tranche Revolving Loans or Swingline Loans,</w:t>
      </w:r>
    </w:p>
    <w:p>
      <w:pPr>
        <w:jc w:val="both"/>
        <w:ind w:firstLine="8"/>
        <w:spacing w:after="0" w:line="254" w:lineRule="auto"/>
        <w:tabs>
          <w:tab w:leader="none" w:pos="2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any Commitment, refers to whether such Commitment is an Initial Term Loan Commitment, an Incremental Term Commitment of any Series, a Dollar Tranche Revolving Commitment or a Multicurrency Tranche Revolving Commitment and (c) any Lender, refers to whether such Lender has a Loan or Commitment of a particular Class. Additional Classes of Loans, Borrowings, Commitments and Lenders may be established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2.24</w:t>
      </w:r>
      <w:r>
        <w:rPr>
          <w:rFonts w:ascii="Arial" w:cs="Arial" w:eastAsia="Arial" w:hAnsi="Arial"/>
          <w:sz w:val="18"/>
          <w:szCs w:val="18"/>
          <w:color w:val="auto"/>
        </w:rPr>
        <w: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and the Initial Term Loans are funded.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 means Capital One, National Association, Citizens Bank, N.A., HSBC Bank USA, N.A., KeyBank National Association, PNC Capital Markets LLC, SunTrust Bank, The Bank of Tokyo-Mitsubishi UFJ, Ltd., U.S. Bank National Association and Wells Fargo Securities, LLC in their capacity as co- documentation agents for the Facilities provided for herein.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from time to time.</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Obligations.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means the Collateral Agreement dated as of the Closing Date among the Company, the other Loan Parties and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xml:space="preserve">” means, at any time, the requirement, subject to </w:t>
      </w:r>
      <w:r>
        <w:rPr>
          <w:rFonts w:ascii="Arial" w:cs="Arial" w:eastAsia="Arial" w:hAnsi="Arial"/>
          <w:sz w:val="18"/>
          <w:szCs w:val="18"/>
          <w:u w:val="single" w:color="auto"/>
          <w:color w:val="auto"/>
        </w:rPr>
        <w:t>Section 5.17</w:t>
      </w:r>
      <w:r>
        <w:rPr>
          <w:rFonts w:ascii="Arial" w:cs="Arial" w:eastAsia="Arial" w:hAnsi="Arial"/>
          <w:sz w:val="18"/>
          <w:szCs w:val="18"/>
          <w:color w:val="auto"/>
        </w:rPr>
        <w:t>, that:</w:t>
      </w:r>
    </w:p>
    <w:p>
      <w:pPr>
        <w:spacing w:after="0" w:line="225" w:lineRule="exact"/>
        <w:rPr>
          <w:sz w:val="20"/>
          <w:szCs w:val="20"/>
          <w:color w:val="auto"/>
        </w:rPr>
      </w:pPr>
    </w:p>
    <w:p>
      <w:pPr>
        <w:jc w:val="both"/>
        <w:ind w:firstLine="1305"/>
        <w:spacing w:after="0" w:line="270" w:lineRule="auto"/>
        <w:tabs>
          <w:tab w:leader="none" w:pos="19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from the Company and each Designated Subsidiary either (i) counterparts of (A) the Guarantee Agreement duly executed and delivered on behalf of such Person and (B) the Collateral Agreement duly executed and delivered on behalf of such Person, together with such other applications, consents and ancillary documentation as detailed in the Collateral Agreement or (ii) in the case of any Person that becomes a Designated Subsidiary after the Closing Date, (A) a supplement to the Guarantee Agreement, substantially in the form specified therein (or as otherwise agreed by the Administrative Agent) and (B) a supplement to the Collateral Agreement, substantially in the form specified therein (or as otherwise agreed by the Administrative Agent), or, to the extent reasonably required by the Administrative Agent, additional Security Documents, duly executed and delivered on behalf of such Person, together with documents of the type referred to in </w:t>
      </w:r>
      <w:r>
        <w:rPr>
          <w:rFonts w:ascii="Arial" w:cs="Arial" w:eastAsia="Arial" w:hAnsi="Arial"/>
          <w:sz w:val="17"/>
          <w:szCs w:val="17"/>
          <w:u w:val="single" w:color="auto"/>
          <w:color w:val="auto"/>
        </w:rPr>
        <w:t>clauses (a)(i)(B)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definition of the term “Collateral and Guarantee Requirement” and, to the extent reasonably requested by the Administrative Agent, opinions of the type referred to in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with respect to such Designated Subsidiary;</w:t>
      </w:r>
    </w:p>
    <w:p>
      <w:pPr>
        <w:spacing w:after="0" w:line="181" w:lineRule="exact"/>
        <w:rPr>
          <w:rFonts w:ascii="Arial" w:cs="Arial" w:eastAsia="Arial" w:hAnsi="Arial"/>
          <w:sz w:val="17"/>
          <w:szCs w:val="17"/>
          <w:color w:val="auto"/>
        </w:rPr>
      </w:pPr>
    </w:p>
    <w:p>
      <w:pPr>
        <w:jc w:val="both"/>
        <w:ind w:firstLine="1305"/>
        <w:spacing w:after="0" w:line="259" w:lineRule="auto"/>
        <w:tabs>
          <w:tab w:leader="none" w:pos="21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all outstanding Equity Interests in any Significant Subsidiary (other than Excluded Equity Interests), in each case directly owned by any Loan Party, shall have been pledged pursuant to the Collateral Agreement and (ii) the Administrative Agent shall, to the extent required by the Collateral Agreement, have received certificates or other instruments representing all such Equity Interests, together with undated stock powers or other instruments of transfer with respect thereto endorsed in blank;</w:t>
      </w:r>
    </w:p>
    <w:p>
      <w:pPr>
        <w:spacing w:after="0" w:line="186" w:lineRule="exact"/>
        <w:rPr>
          <w:rFonts w:ascii="Arial" w:cs="Arial" w:eastAsia="Arial" w:hAnsi="Arial"/>
          <w:sz w:val="18"/>
          <w:szCs w:val="18"/>
          <w:color w:val="auto"/>
        </w:rPr>
      </w:pPr>
    </w:p>
    <w:p>
      <w:pPr>
        <w:jc w:val="both"/>
        <w:ind w:firstLine="1305"/>
        <w:spacing w:after="0" w:line="291" w:lineRule="auto"/>
        <w:tabs>
          <w:tab w:leader="none" w:pos="209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(i) Indebtedness of the Company and each Subsidiary that is owing to any Loan Party in an aggregate principal amount in excess of $20,000,000 shall be evidenced by the Intercompany Note or a promissory note and shall have been pledged pursuant to the Collateral Agreement or a supplement to the Collateral Agreement, and the Administrative Agent shall have received all such Intercompany Notes or promissory notes, as applicable, together with undated instruments of transfer with respect thereto endorsed in blank, except that Indebtedness of the Company and each Subsidiary that is owing to any Loan Party and is incurred from time to time in the ordinary course of business shall not be required to be evidenced by an Intercompany Note or promissory note and the ancillary documentation referred to above (irrespective of the amount of such Indebtedness), to the extent that such Indebtedness is repaid or reduced to or below the aforementioned $20,000,000, in each case, within forty-five (45) days of the date incurred;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1305"/>
        <w:spacing w:after="0" w:line="257" w:lineRule="auto"/>
        <w:tabs>
          <w:tab w:leader="none" w:pos="230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documents and instruments, including Uniform Commercial Code financing statements, in each case, as required by Requirements of Law or reasonably requested by the Administrative Agent to be filed or recorded to evidence the Liens intended to be created by the Security Documents and perfect such Liens to the extent required by, and with the priority required by, the Security Documents and the other provisions of the definition of the term “Collateral and Guarantee Requirement,” shall have been filed or recorded or delivered to the Administrative Agent for filing or recording; and</w:t>
      </w:r>
    </w:p>
    <w:p>
      <w:pPr>
        <w:spacing w:after="0" w:line="188" w:lineRule="exact"/>
        <w:rPr>
          <w:rFonts w:ascii="Arial" w:cs="Arial" w:eastAsia="Arial" w:hAnsi="Arial"/>
          <w:sz w:val="18"/>
          <w:szCs w:val="18"/>
          <w:color w:val="auto"/>
        </w:rPr>
      </w:pPr>
    </w:p>
    <w:p>
      <w:pPr>
        <w:jc w:val="both"/>
        <w:ind w:firstLine="1305"/>
        <w:spacing w:after="0" w:line="283" w:lineRule="auto"/>
        <w:tabs>
          <w:tab w:leader="none" w:pos="1955"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(for distribution to the Lenders (at least twenty (20) days in advance of execution and delivery of any Mortgage in the case of the items described in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below)) (i) counterparts of a Mortgage with respect to each Mortgaged Property duly executed and delivered by the Loan Party that is the record owner of such Mortgaged Property, (ii) a policy or policies of title insurance issued by a nationally recognized title insurance company insuring the Lien of each such Mortgage as a valid and enforceable first Lien on the Mortgaged Property described therein, free of any other Liens except as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together with such endorsements and affirmative coverage as the Administrative Agent may reasonably request, (iii) a completed “Life-of-Loan” Federal Emergency Management Agency Standard Flood Hazard Determination with respect to each Mortgaged Property (together with a notice about special flood hazard area status and flood disaster assistance duly executed by each Loan Party relating thereto), (iv) if any such “Life-of-Loan” Federal Emergency Management Agency Standard Flood Hazard Determination shows that a Mortgaged Property is located in an area determined by the Federal Emergency Management Agency to have special flood hazards, prior to the delivery of a counterpart to the Mortgage for such Mortgaged Property: (A) notices to (and confirmations of receipt by) such Loan Party as to the existence of a special flood hazard and, if applicable, the unavailability of flood hazard insurance under the National Flood Insurance Program and</w:t>
      </w:r>
    </w:p>
    <w:p>
      <w:pPr>
        <w:spacing w:after="0" w:line="4" w:lineRule="exact"/>
        <w:rPr>
          <w:rFonts w:ascii="Arial" w:cs="Arial" w:eastAsia="Arial" w:hAnsi="Arial"/>
          <w:sz w:val="16"/>
          <w:szCs w:val="16"/>
          <w:color w:val="auto"/>
        </w:rPr>
      </w:pPr>
    </w:p>
    <w:p>
      <w:pPr>
        <w:jc w:val="both"/>
        <w:ind w:firstLine="8"/>
        <w:spacing w:after="0" w:line="253" w:lineRule="auto"/>
        <w:tabs>
          <w:tab w:leader="none" w:pos="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 of applicable flood insurance, if available, in each case in such form, on such terms and in such amounts as required by Flood Insurance Regulations or otherwise required by the Administrative Agent (but at a minimum in amounts and otherwise in compliance with Flood Insurance Regulations), (v) a survey as may exist and in the possession of a Loan Party at such time with respect to any such Mortgaged Property and (vi) legal opinions as the Administrative Agent may reasonably request with respect to any such Mortgage and with respect to the enforceability, due authorization, execution and delivery of such Mortgage.</w:t>
      </w:r>
    </w:p>
    <w:p>
      <w:pPr>
        <w:spacing w:after="0" w:line="19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Notwithstanding the foregoing provisions of this definition or anything in this Agreement or any other Loan Document to the contrary, (a) the Loan Parties shall have the time periods specified in (x)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to satisfy the Collateral and Guarantee Requirement with respect to the items specified in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and (y)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to satisfy the Collateral and Collateral Requirement with respect to Designated Subsidiaries newly acquired or formed (or which first become Designated Subsidiaries) after the Closing Date or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to satisfy the Collateral and Guarantee Requirement with respect to any Material Real Property acquired by any Loan Party after the Closing Date, (b)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in each case as to which the Administrative Agent and the Company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the Company and the Subsidiaries (including the imposition of withholding or other material taxes or as the result of the operation of Section 956 of the Code or any similar law or regulation in any applicable jurisdiction)), shall be excessive in relation to the benefits to be obtained by the Lenders therefrom, (c) Liens required to be granted from time to time pursuant to the definition of the term “Collateral and Guarantee Requirement” shall be subject to exceptions and limitations set forth in the Security Documents and, to the extent appropriate in the applicable jurisdiction, as reasonably agreed between the Administrative Agent and the Company, (d) in no event shall the Collateral (directly or indirectly, including by way of an offset or otherwise) include any Excluded Assets. The Administrative Agent may, without the consent of any Lender, grant extensions of time for the creation and perfection of security interests in or the obtaining of title insurance, legal opinions or other deliverables with respect to particular assets or the provision of any Guarantee by any Designated Subsidiary (including extensions beyond the Closing Date and the time periods set forth in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or in connection with assets acquired, or Designated Subsidiaries formed or acquired, after the Closing Date) if it and the Company reasonably agree that such action cannot be accomplished without undue effort or expense by the time or times at which it would otherwise be required to be accomplished by this Agreement or the Security Documents. In addition, in no event shall (a) control agreements or control or similar arrangements be required with respect to cash deposit, securities accounts or commodity accounts, (b) notice be required to be sent to account debtors or other contractual third parties prior to the occurrence and absent the continuance of an Event of Default, (c) landlord lien waivers, estoppels or collateral access letters be required to be delivered, (d) perfection be required with respect to letter of credit rights and commercial tort claims (except to the extent perfected through the filing of Uniform Commercial Code financing statements) or (e) security documents governed by the laws of a jurisdiction other than the United States or any State thereof or the District of Columbia be required.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Release Conditions</w:t>
      </w:r>
      <w:r>
        <w:rPr>
          <w:rFonts w:ascii="Arial" w:cs="Arial" w:eastAsia="Arial" w:hAnsi="Arial"/>
          <w:sz w:val="16"/>
          <w:szCs w:val="16"/>
          <w:color w:val="auto"/>
        </w:rPr>
        <w:t xml:space="preserve">” means each of the following conditions: (a) the Total Leverage Ratio shall be less than 3.00 to 1.00 as of the end of the most recent two (2) consecutive fiscal quarters of the Company and (b) no secured Incremental Equivalent Debt, no secured Refinancing Term Loans, no secured Refinancing Commitments, no Permitted First Priority Refinancing Indebtedness, no Permitted Second Priority Refinancing Indebtedness and, except to the extent secured by a Lien otherwise permitted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 no secured Material Indebtedness shall be outstanding.</w:t>
      </w:r>
    </w:p>
    <w:p>
      <w:pPr>
        <w:spacing w:after="0" w:line="15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Release Event</w:t>
      </w:r>
      <w:r>
        <w:rPr>
          <w:rFonts w:ascii="Arial" w:cs="Arial" w:eastAsia="Arial" w:hAnsi="Arial"/>
          <w:sz w:val="18"/>
          <w:szCs w:val="18"/>
          <w:color w:val="auto"/>
        </w:rPr>
        <w:t>” means a date following the Closing Date on which the Company certifies pursuant to Section 5.17 that (a) no Default or Event of Default has occurred and is continuing and (b) the Collateral Release Conditions are satisfied.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any Lender, such Lender’s Initial Term Loan Commitment, Incremental Term Commitment of any Series, Dollar Tranche Revolving Commitment, Multicurrency Tranche Revolving Commitment or any combination thereof (as the context requires). Additional Revolving Commitments may be established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2.23</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Fee Rate</w:t>
      </w:r>
      <w:r>
        <w:rPr>
          <w:rFonts w:ascii="Arial" w:cs="Arial" w:eastAsia="Arial" w:hAnsi="Arial"/>
          <w:sz w:val="17"/>
          <w:szCs w:val="17"/>
          <w:color w:val="auto"/>
        </w:rPr>
        <w:t xml:space="preserve">” means 0.35% per annum; </w:t>
      </w:r>
      <w:r>
        <w:rPr>
          <w:rFonts w:ascii="Arial" w:cs="Arial" w:eastAsia="Arial" w:hAnsi="Arial"/>
          <w:sz w:val="17"/>
          <w:szCs w:val="17"/>
          <w:u w:val="single" w:color="auto"/>
          <w:color w:val="auto"/>
        </w:rPr>
        <w:t>provided</w:t>
      </w:r>
      <w:r>
        <w:rPr>
          <w:rFonts w:ascii="Arial" w:cs="Arial" w:eastAsia="Arial" w:hAnsi="Arial"/>
          <w:sz w:val="17"/>
          <w:szCs w:val="17"/>
          <w:color w:val="auto"/>
        </w:rPr>
        <w:t>, that on and after the first Adjustment Date occurring after the completion of one full fiscal quarter of the Company after the Closing Date, the Commitment Fee Rate will be determined pursuant to the Applicable Pricing Grid.</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plus without duplication and (other than in the case of </w:t>
      </w:r>
      <w:r>
        <w:rPr>
          <w:rFonts w:ascii="Arial" w:cs="Arial" w:eastAsia="Arial" w:hAnsi="Arial"/>
          <w:sz w:val="18"/>
          <w:szCs w:val="18"/>
          <w:u w:val="single" w:color="auto"/>
          <w:color w:val="auto"/>
        </w:rPr>
        <w:t>clauses (a)(x)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(a)(xi)</w:t>
      </w:r>
      <w:r>
        <w:rPr>
          <w:rFonts w:ascii="Arial" w:cs="Arial" w:eastAsia="Arial" w:hAnsi="Arial"/>
          <w:sz w:val="18"/>
          <w:szCs w:val="18"/>
          <w:color w:val="auto"/>
        </w:rPr>
        <w:t>) to the extent deducted in determining such Consolidated Net Income, the sum 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2940" w:hanging="987"/>
        <w:spacing w:after="0"/>
        <w:tabs>
          <w:tab w:leader="none" w:pos="2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Consolidated Interest Expense for such period (including imputed interest expense in respect of Capital Lease</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10" w:lineRule="exact"/>
        <w:rPr>
          <w:rFonts w:ascii="Arial" w:cs="Arial" w:eastAsia="Arial" w:hAnsi="Arial"/>
          <w:sz w:val="17"/>
          <w:szCs w:val="17"/>
          <w:color w:val="auto"/>
        </w:rPr>
      </w:pPr>
    </w:p>
    <w:p>
      <w:pPr>
        <w:jc w:val="both"/>
        <w:ind w:left="1300" w:right="60" w:firstLine="653"/>
        <w:spacing w:after="0" w:line="264" w:lineRule="auto"/>
        <w:tabs>
          <w:tab w:leader="none" w:pos="25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provision for taxes based on income, profits or losses (whether paid, estimated or accrued), including foreign withholding taxes, and for corporate franchise, capital stock, net worth, value-added taxes and similar taxes (including penalties and interest, if any), in each case during such period,</w:t>
      </w:r>
    </w:p>
    <w:p>
      <w:pPr>
        <w:spacing w:after="0" w:line="181" w:lineRule="exact"/>
        <w:rPr>
          <w:rFonts w:ascii="Arial" w:cs="Arial" w:eastAsia="Arial" w:hAnsi="Arial"/>
          <w:sz w:val="18"/>
          <w:szCs w:val="18"/>
          <w:color w:val="auto"/>
        </w:rPr>
      </w:pPr>
    </w:p>
    <w:p>
      <w:pPr>
        <w:jc w:val="both"/>
        <w:ind w:left="1300" w:right="60" w:firstLine="653"/>
        <w:spacing w:after="0" w:line="264" w:lineRule="auto"/>
        <w:tabs>
          <w:tab w:leader="none" w:pos="2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amounts attributable to depreciation, depletion and amortization (including amortization or impairment of intangible assets and properties) for such period (excluding amortization expense attributable to a prepaid cash expense that was paid in a prior period),</w:t>
      </w:r>
    </w:p>
    <w:p>
      <w:pPr>
        <w:spacing w:after="0" w:line="181" w:lineRule="exact"/>
        <w:rPr>
          <w:rFonts w:ascii="Arial" w:cs="Arial" w:eastAsia="Arial" w:hAnsi="Arial"/>
          <w:sz w:val="18"/>
          <w:szCs w:val="18"/>
          <w:color w:val="auto"/>
        </w:rPr>
      </w:pPr>
    </w:p>
    <w:p>
      <w:pPr>
        <w:ind w:left="1300" w:right="80" w:firstLine="653"/>
        <w:spacing w:after="0" w:line="277" w:lineRule="auto"/>
        <w:tabs>
          <w:tab w:leader="none" w:pos="2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extraordinary, unusual or nonrecurring losses or charges for such period, determined on a consolidated basis in accordance with GAAP,</w:t>
      </w:r>
    </w:p>
    <w:p>
      <w:pPr>
        <w:spacing w:after="0" w:line="170" w:lineRule="exact"/>
        <w:rPr>
          <w:rFonts w:ascii="Arial" w:cs="Arial" w:eastAsia="Arial" w:hAnsi="Arial"/>
          <w:sz w:val="18"/>
          <w:szCs w:val="18"/>
          <w:color w:val="auto"/>
        </w:rPr>
      </w:pPr>
    </w:p>
    <w:p>
      <w:pPr>
        <w:jc w:val="both"/>
        <w:ind w:left="1300" w:right="60" w:firstLine="653"/>
        <w:spacing w:after="0" w:line="264" w:lineRule="auto"/>
        <w:tabs>
          <w:tab w:leader="none" w:pos="2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Non-Cash Charges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payment made with respect to any Non-Cash Charges added back in computing Consolidated EBITDA for any prior period pursuant to this </w:t>
      </w:r>
      <w:r>
        <w:rPr>
          <w:rFonts w:ascii="Arial" w:cs="Arial" w:eastAsia="Arial" w:hAnsi="Arial"/>
          <w:sz w:val="18"/>
          <w:szCs w:val="18"/>
          <w:u w:val="single" w:color="auto"/>
          <w:color w:val="auto"/>
        </w:rPr>
        <w:t>clause (a)(v)</w:t>
      </w:r>
      <w:r>
        <w:rPr>
          <w:rFonts w:ascii="Arial" w:cs="Arial" w:eastAsia="Arial" w:hAnsi="Arial"/>
          <w:sz w:val="18"/>
          <w:szCs w:val="18"/>
          <w:color w:val="auto"/>
        </w:rPr>
        <w:t xml:space="preserve"> shall be subtracted in computing Consolidated EBITDA for the period in which such cash payment is made,</w:t>
      </w:r>
    </w:p>
    <w:p>
      <w:pPr>
        <w:spacing w:after="0" w:line="181" w:lineRule="exact"/>
        <w:rPr>
          <w:rFonts w:ascii="Arial" w:cs="Arial" w:eastAsia="Arial" w:hAnsi="Arial"/>
          <w:sz w:val="18"/>
          <w:szCs w:val="18"/>
          <w:color w:val="auto"/>
        </w:rPr>
      </w:pPr>
    </w:p>
    <w:p>
      <w:pPr>
        <w:ind w:left="1300" w:right="80" w:firstLine="653"/>
        <w:spacing w:after="0" w:line="277" w:lineRule="auto"/>
        <w:tabs>
          <w:tab w:leader="none" w:pos="27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losses for such period attributable to early extinguishment of Indebtedness or obligations under any Hedging Agreement or other derivative instruments,</w:t>
      </w:r>
    </w:p>
    <w:p>
      <w:pPr>
        <w:spacing w:after="0" w:line="170" w:lineRule="exact"/>
        <w:rPr>
          <w:rFonts w:ascii="Arial" w:cs="Arial" w:eastAsia="Arial" w:hAnsi="Arial"/>
          <w:sz w:val="18"/>
          <w:szCs w:val="18"/>
          <w:color w:val="auto"/>
        </w:rPr>
      </w:pPr>
    </w:p>
    <w:p>
      <w:pPr>
        <w:ind w:left="1300" w:right="80" w:firstLine="653"/>
        <w:spacing w:after="0" w:line="277" w:lineRule="auto"/>
        <w:tabs>
          <w:tab w:leader="none" w:pos="25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unrealized losses for such period attributable to the application of “mark to market” accounting in respect of Hedging Agreements or other derivative instruments,</w:t>
      </w:r>
    </w:p>
    <w:p>
      <w:pPr>
        <w:spacing w:after="0" w:line="170" w:lineRule="exact"/>
        <w:rPr>
          <w:rFonts w:ascii="Arial" w:cs="Arial" w:eastAsia="Arial" w:hAnsi="Arial"/>
          <w:sz w:val="18"/>
          <w:szCs w:val="18"/>
          <w:color w:val="auto"/>
        </w:rPr>
      </w:pPr>
    </w:p>
    <w:p>
      <w:pPr>
        <w:jc w:val="both"/>
        <w:ind w:left="1300" w:right="60" w:firstLine="653"/>
        <w:spacing w:after="0" w:line="257" w:lineRule="auto"/>
        <w:tabs>
          <w:tab w:leader="none" w:pos="25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of, and expenses and charges associated with, liability or casualty event or business interruption insurance to the extent actually received or, so long as the Company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w:t>
      </w:r>
    </w:p>
    <w:p>
      <w:pPr>
        <w:spacing w:after="0" w:line="188" w:lineRule="exact"/>
        <w:rPr>
          <w:rFonts w:ascii="Arial" w:cs="Arial" w:eastAsia="Arial" w:hAnsi="Arial"/>
          <w:sz w:val="18"/>
          <w:szCs w:val="18"/>
          <w:color w:val="auto"/>
        </w:rPr>
      </w:pPr>
    </w:p>
    <w:p>
      <w:pPr>
        <w:jc w:val="both"/>
        <w:ind w:left="1300" w:right="60" w:firstLine="653"/>
        <w:spacing w:after="0" w:line="257" w:lineRule="auto"/>
        <w:tabs>
          <w:tab w:leader="none" w:pos="2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charges, losses or expenses to the extent indemnified, reimbursable or insured to the extent actually received or, so long as the Company has made a determination that there exists reasonable evidence that such amount will in fact be reimbursed by the applicable counterparty and only to the extent that such amount is (A) not denied by the applicable counterparty in writing within 180 days and (B) in fact reimbursed within 365 days of the date of such evidence (with a deduction for any amount so added back to the extent not so reimbursed within such 365 days), plus</w:t>
      </w:r>
    </w:p>
    <w:p>
      <w:pPr>
        <w:spacing w:after="0" w:line="188" w:lineRule="exact"/>
        <w:rPr>
          <w:rFonts w:ascii="Arial" w:cs="Arial" w:eastAsia="Arial" w:hAnsi="Arial"/>
          <w:sz w:val="18"/>
          <w:szCs w:val="18"/>
          <w:color w:val="auto"/>
        </w:rPr>
      </w:pPr>
    </w:p>
    <w:p>
      <w:pPr>
        <w:jc w:val="both"/>
        <w:ind w:left="1300" w:right="60" w:firstLine="653"/>
        <w:spacing w:after="0" w:line="264" w:lineRule="auto"/>
        <w:tabs>
          <w:tab w:leader="none" w:pos="28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gain relating to Hedging Obligations associated with transactions realized in the current period that has been reflected in Consolidated Net Income in prior periods and excluded from Consolidated EBITDA in such period pursuant to </w:t>
      </w:r>
      <w:r>
        <w:rPr>
          <w:rFonts w:ascii="Arial" w:cs="Arial" w:eastAsia="Arial" w:hAnsi="Arial"/>
          <w:sz w:val="18"/>
          <w:szCs w:val="18"/>
          <w:u w:val="single" w:color="auto"/>
          <w:color w:val="auto"/>
        </w:rPr>
        <w:t>clause (c)(iv)</w:t>
      </w:r>
      <w:r>
        <w:rPr>
          <w:rFonts w:ascii="Arial" w:cs="Arial" w:eastAsia="Arial" w:hAnsi="Arial"/>
          <w:sz w:val="18"/>
          <w:szCs w:val="18"/>
          <w:color w:val="auto"/>
        </w:rPr>
        <w:t xml:space="preserve"> below,</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left="100" w:firstLine="653"/>
        <w:spacing w:after="0" w:line="264" w:lineRule="auto"/>
        <w:tabs>
          <w:tab w:leader="none" w:pos="17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cash receipts in such period (or any netting arrangements resulting in reduced cash expenses) not included in Consolidated EBITDA in any prior period to the extent non-cash gains relating to such receipts were deducted in the calculation of Consolidated EBITDA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below for any previous period and were not added back,</w:t>
      </w:r>
    </w:p>
    <w:p>
      <w:pPr>
        <w:spacing w:after="0" w:line="181" w:lineRule="exact"/>
        <w:rPr>
          <w:rFonts w:ascii="Arial" w:cs="Arial" w:eastAsia="Arial" w:hAnsi="Arial"/>
          <w:sz w:val="18"/>
          <w:szCs w:val="18"/>
          <w:color w:val="auto"/>
        </w:rPr>
      </w:pPr>
    </w:p>
    <w:p>
      <w:pPr>
        <w:ind w:left="100" w:right="20" w:firstLine="653"/>
        <w:spacing w:after="0" w:line="308" w:lineRule="auto"/>
        <w:tabs>
          <w:tab w:leader="none" w:pos="1583"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accruals and expenses (including rationalization, legal, tax, structuring and other costs and expenses) related to the Transactions, acquisitions or issuances of debt or equity permitted under the Loan Documents, whether or not consummated, and</w:t>
      </w:r>
    </w:p>
    <w:p>
      <w:pPr>
        <w:spacing w:after="0" w:line="146" w:lineRule="exact"/>
        <w:rPr>
          <w:rFonts w:ascii="Arial" w:cs="Arial" w:eastAsia="Arial" w:hAnsi="Arial"/>
          <w:sz w:val="17"/>
          <w:szCs w:val="17"/>
          <w:color w:val="auto"/>
        </w:rPr>
      </w:pPr>
    </w:p>
    <w:p>
      <w:pPr>
        <w:jc w:val="both"/>
        <w:ind w:left="100" w:firstLine="653"/>
        <w:spacing w:after="0" w:line="259" w:lineRule="auto"/>
        <w:tabs>
          <w:tab w:leader="none" w:pos="15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restructuring charges, accruals or reserves (including restructuring and integration costs related to acquisitions and closure of facilities and adjustments to existing reserves) whether or not classified as restructuring expense on the consolidated financial statements, in an aggregate amount not to exceed for any period of four (4) fiscal quarters the sum of $50,000,000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aggregate amount added back pursuant to </w:t>
      </w:r>
      <w:r>
        <w:rPr>
          <w:rFonts w:ascii="Arial" w:cs="Arial" w:eastAsia="Arial" w:hAnsi="Arial"/>
          <w:sz w:val="18"/>
          <w:szCs w:val="18"/>
          <w:u w:val="single" w:color="auto"/>
          <w:color w:val="auto"/>
        </w:rPr>
        <w:t>clause (a)(xvi)</w:t>
      </w:r>
      <w:r>
        <w:rPr>
          <w:rFonts w:ascii="Arial" w:cs="Arial" w:eastAsia="Arial" w:hAnsi="Arial"/>
          <w:sz w:val="18"/>
          <w:szCs w:val="18"/>
          <w:color w:val="auto"/>
        </w:rPr>
        <w:t xml:space="preserve"> for such period, plus</w:t>
      </w:r>
    </w:p>
    <w:p>
      <w:pPr>
        <w:spacing w:after="0" w:line="186" w:lineRule="exact"/>
        <w:rPr>
          <w:rFonts w:ascii="Arial" w:cs="Arial" w:eastAsia="Arial" w:hAnsi="Arial"/>
          <w:sz w:val="18"/>
          <w:szCs w:val="18"/>
          <w:color w:val="auto"/>
        </w:rPr>
      </w:pPr>
    </w:p>
    <w:p>
      <w:pPr>
        <w:ind w:left="100" w:right="20" w:firstLine="653"/>
        <w:spacing w:after="0" w:line="277" w:lineRule="auto"/>
        <w:tabs>
          <w:tab w:leader="none" w:pos="14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on asset sales, disposals or abandonments (other than asset sales, disposals and abandonments in the ordinary course of business), plus</w:t>
      </w:r>
    </w:p>
    <w:p>
      <w:pPr>
        <w:spacing w:after="0" w:line="170" w:lineRule="exact"/>
        <w:rPr>
          <w:rFonts w:ascii="Arial" w:cs="Arial" w:eastAsia="Arial" w:hAnsi="Arial"/>
          <w:sz w:val="18"/>
          <w:szCs w:val="18"/>
          <w:color w:val="auto"/>
        </w:rPr>
      </w:pPr>
    </w:p>
    <w:p>
      <w:pPr>
        <w:ind w:left="1360" w:hanging="607"/>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net losses resulting from discontinued operations, plus</w:t>
      </w:r>
    </w:p>
    <w:p>
      <w:pPr>
        <w:spacing w:after="0" w:line="225" w:lineRule="exact"/>
        <w:rPr>
          <w:rFonts w:ascii="Arial" w:cs="Arial" w:eastAsia="Arial" w:hAnsi="Arial"/>
          <w:sz w:val="18"/>
          <w:szCs w:val="18"/>
          <w:color w:val="auto"/>
        </w:rPr>
      </w:pPr>
    </w:p>
    <w:p>
      <w:pPr>
        <w:jc w:val="both"/>
        <w:ind w:left="100" w:firstLine="653"/>
        <w:spacing w:after="0" w:line="259" w:lineRule="auto"/>
        <w:tabs>
          <w:tab w:leader="none" w:pos="14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non-cash adjustments with respect to insurance liabilities related to prior periods, in an aggregate amount not to exceed for any period of four fiscal quarters the sum of $50,000,000 less the aggregate amount added back pursuant to </w:t>
      </w:r>
      <w:r>
        <w:rPr>
          <w:rFonts w:ascii="Arial" w:cs="Arial" w:eastAsia="Arial" w:hAnsi="Arial"/>
          <w:sz w:val="18"/>
          <w:szCs w:val="18"/>
          <w:u w:val="single" w:color="auto"/>
          <w:color w:val="auto"/>
        </w:rPr>
        <w:t>clause (a)(xiii)</w:t>
      </w:r>
      <w:r>
        <w:rPr>
          <w:rFonts w:ascii="Arial" w:cs="Arial" w:eastAsia="Arial" w:hAnsi="Arial"/>
          <w:sz w:val="18"/>
          <w:szCs w:val="18"/>
          <w:color w:val="auto"/>
        </w:rPr>
        <w:t xml:space="preserve"> for such period, shall be added back to (in the case of negative adjustments), or deducted from (in the case of positive adjustments), Consolidated EBITDA (to the extent included in the calculation of Consolidated Net Income), plus</w:t>
      </w:r>
    </w:p>
    <w:p>
      <w:pPr>
        <w:spacing w:after="0" w:line="186" w:lineRule="exact"/>
        <w:rPr>
          <w:rFonts w:ascii="Arial" w:cs="Arial" w:eastAsia="Arial" w:hAnsi="Arial"/>
          <w:sz w:val="18"/>
          <w:szCs w:val="18"/>
          <w:color w:val="auto"/>
        </w:rPr>
      </w:pPr>
    </w:p>
    <w:p>
      <w:pPr>
        <w:jc w:val="both"/>
        <w:ind w:left="100" w:firstLine="653"/>
        <w:spacing w:after="0" w:line="279" w:lineRule="auto"/>
        <w:tabs>
          <w:tab w:leader="none" w:pos="14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cost savings and cost synergies directly attributable to the GCA Acquisition which shall be deemed to be in an amount equal to (1) for the four fiscal quarter period ending October 31, 2017, $25,400,000, (2) for the four fiscal quarter period ending January 31, 2018, $25,400,000, (3) for the fiscal quarter period ending April 30, 2018, $19,800,000, (4) for the four fiscal quarter period ending July 31, 2018, $11,300,000 and (5) for the four fiscal quarter period ending October 31, 2018, $6,500,000, plus</w:t>
      </w:r>
    </w:p>
    <w:p>
      <w:pPr>
        <w:spacing w:after="0" w:line="171" w:lineRule="exact"/>
        <w:rPr>
          <w:rFonts w:ascii="Arial" w:cs="Arial" w:eastAsia="Arial" w:hAnsi="Arial"/>
          <w:sz w:val="17"/>
          <w:szCs w:val="17"/>
          <w:color w:val="auto"/>
        </w:rPr>
      </w:pPr>
    </w:p>
    <w:p>
      <w:pPr>
        <w:jc w:val="both"/>
        <w:ind w:left="100" w:firstLine="653"/>
        <w:spacing w:after="0" w:line="259" w:lineRule="auto"/>
        <w:tabs>
          <w:tab w:leader="none" w:pos="1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charges (cash and non-cash and including any reserves taken) incurred during the fiscal quarter of the Company ended January 31, 2017 in connection with the consolidated cases of Augustus, Hall and Davis v. American Commercial Security Services filed on July 12, 2005 in the Superior Court of California, Los Angeles County (the “</w:t>
      </w:r>
      <w:r>
        <w:rPr>
          <w:rFonts w:ascii="Arial" w:cs="Arial" w:eastAsia="Arial" w:hAnsi="Arial"/>
          <w:sz w:val="18"/>
          <w:szCs w:val="18"/>
          <w:u w:val="single" w:color="auto"/>
          <w:color w:val="auto"/>
        </w:rPr>
        <w:t>Augustus Case</w:t>
      </w:r>
      <w:r>
        <w:rPr>
          <w:rFonts w:ascii="Arial" w:cs="Arial" w:eastAsia="Arial" w:hAnsi="Arial"/>
          <w:sz w:val="18"/>
          <w:szCs w:val="18"/>
          <w:color w:val="auto"/>
        </w:rPr>
        <w:t>”), in an aggregate amount not to exceed $120,230,000, plus</w:t>
      </w:r>
    </w:p>
    <w:p>
      <w:pPr>
        <w:spacing w:after="0" w:line="186" w:lineRule="exact"/>
        <w:rPr>
          <w:rFonts w:ascii="Arial" w:cs="Arial" w:eastAsia="Arial" w:hAnsi="Arial"/>
          <w:sz w:val="18"/>
          <w:szCs w:val="18"/>
          <w:color w:val="auto"/>
        </w:rPr>
      </w:pPr>
    </w:p>
    <w:p>
      <w:pPr>
        <w:jc w:val="both"/>
        <w:ind w:left="100" w:firstLine="653"/>
        <w:spacing w:after="0" w:line="279" w:lineRule="auto"/>
        <w:tabs>
          <w:tab w:leader="none" w:pos="1472"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charges (cash and non-cash and including any reserves taken) incurred during the fiscal quarter of the Company ended January 31, 2017 in connection with Karapetyan v. ABM Industries Incorporated and ABM Security Services, Inc., et al. filed on October 23, 2015, in the United States District Court for the Central District of California (the “</w:t>
      </w:r>
      <w:r>
        <w:rPr>
          <w:rFonts w:ascii="Arial" w:cs="Arial" w:eastAsia="Arial" w:hAnsi="Arial"/>
          <w:sz w:val="17"/>
          <w:szCs w:val="17"/>
          <w:u w:val="single" w:color="auto"/>
          <w:color w:val="auto"/>
        </w:rPr>
        <w:t>Karapetyan Case</w:t>
      </w:r>
      <w:r>
        <w:rPr>
          <w:rFonts w:ascii="Arial" w:cs="Arial" w:eastAsia="Arial" w:hAnsi="Arial"/>
          <w:sz w:val="17"/>
          <w:szCs w:val="17"/>
          <w:color w:val="auto"/>
        </w:rPr>
        <w:t>” and, together with the Augustus Case, the “</w:t>
      </w:r>
      <w:r>
        <w:rPr>
          <w:rFonts w:ascii="Arial" w:cs="Arial" w:eastAsia="Arial" w:hAnsi="Arial"/>
          <w:sz w:val="17"/>
          <w:szCs w:val="17"/>
          <w:u w:val="single" w:color="auto"/>
          <w:color w:val="auto"/>
        </w:rPr>
        <w:t>Augustus and Karapetyan Cases</w:t>
      </w:r>
      <w:r>
        <w:rPr>
          <w:rFonts w:ascii="Arial" w:cs="Arial" w:eastAsia="Arial" w:hAnsi="Arial"/>
          <w:sz w:val="17"/>
          <w:szCs w:val="17"/>
          <w:color w:val="auto"/>
        </w:rPr>
        <w:t>”), in an aggregate amount not to exceed $5,500,000, plus</w:t>
      </w:r>
    </w:p>
    <w:p>
      <w:pPr>
        <w:spacing w:after="0" w:line="3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909" w:right="299" w:bottom="1440" w:gutter="0" w:footer="0" w:header="0"/>
        </w:sectPr>
      </w:pPr>
    </w:p>
    <w:bookmarkStart w:id="51" w:name="page52"/>
    <w:bookmarkEnd w:id="51"/>
    <w:p>
      <w:pPr>
        <w:jc w:val="both"/>
        <w:ind w:firstLine="1305"/>
        <w:spacing w:after="0" w:line="255" w:lineRule="auto"/>
        <w:tabs>
          <w:tab w:leader="none" w:pos="20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Pro Forma Adjustments in connection with Permitted Acquisitions (other than the GCA Acquisition) consummated during such period (or, for purposes of determining whether such Permitted Acquisition and any related Investment or incurrence of Indebtedness or Lien is permitted, after the end of such period) and other Initiatives;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Pro Forma Adjustments shall be calculated net of the amount of actual benefits realized and (ii) the aggregate amount of all amounts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that increase Consolidated EBITDA in any Test Period shall not exceed, and shall be limited to, 15% of Consolidated EBITDA in respect of such Test Period (calculated before giving effect to such adjustments and all other adjustments to Consolidated EBITDA); and </w:t>
      </w:r>
      <w:r>
        <w:rPr>
          <w:rFonts w:ascii="Arial" w:cs="Arial" w:eastAsia="Arial" w:hAnsi="Arial"/>
          <w:sz w:val="18"/>
          <w:szCs w:val="18"/>
          <w:u w:val="single" w:color="auto"/>
          <w:color w:val="auto"/>
        </w:rPr>
        <w:t>minus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without duplication and to the extent included in determining such Consolidated Net Income:</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extraordinary gains for such period, determined on a consolidated basis in accordance with GAAP,</w:t>
      </w:r>
    </w:p>
    <w:p>
      <w:pPr>
        <w:spacing w:after="0" w:line="225" w:lineRule="exact"/>
        <w:rPr>
          <w:rFonts w:ascii="Arial" w:cs="Arial" w:eastAsia="Arial" w:hAnsi="Arial"/>
          <w:sz w:val="18"/>
          <w:szCs w:val="18"/>
          <w:color w:val="auto"/>
        </w:rPr>
      </w:pPr>
    </w:p>
    <w:p>
      <w:pPr>
        <w:ind w:left="1300" w:right="80" w:firstLine="653"/>
        <w:spacing w:after="0" w:line="277" w:lineRule="auto"/>
        <w:tabs>
          <w:tab w:leader="none" w:pos="28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non-cash gains for such period, including with respect to write-ups of assets or goodwill, determined on a consolidated basis in accordance with GAAP,</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8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gains attributable to the early extinguishment of Indebtedness or obligations under any Hedging Agreement, determined on a consolidated basis in accordance with GAAP,</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unrealized gains for such period attributable to the application of “mark to market” accounting in respect of Hedging</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Agreements,</w:t>
      </w:r>
    </w:p>
    <w:p>
      <w:pPr>
        <w:spacing w:after="0" w:line="210" w:lineRule="exact"/>
        <w:rPr>
          <w:rFonts w:ascii="Arial" w:cs="Arial" w:eastAsia="Arial" w:hAnsi="Arial"/>
          <w:sz w:val="16"/>
          <w:szCs w:val="16"/>
          <w:color w:val="auto"/>
        </w:rPr>
      </w:pPr>
    </w:p>
    <w:p>
      <w:pPr>
        <w:ind w:left="2740" w:hanging="787"/>
        <w:spacing w:after="0"/>
        <w:tabs>
          <w:tab w:leader="none" w:pos="27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gains on asset sales, disposals or abandonments (other than asset sales, disposals and abandonments in the ordinary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actual net gains resulting from discontinued operations,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non-cash adjustments with respect to insurance liabilities related to prior periods, plus</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5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gains resulting from the reduction or reversal of any non-cash charge, including any reserves, arising out of the Augustus and Karapetvan Cases.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Consolidated EBITDA for any period shall be calculated so as to exclude (without duplication of any adjustment referred to above) non-cash foreign translation gains and losses. For purposes of calculating Consolidated EBITDA for any period to determine the Total Leverage Ratio or the Fixed Charge Coverage Ratio (including for purposes of determining Adjusted Consolidated EBITDAR), if during such period the Company or any Subsidiary shall have consummated a Permitted Acquisition, any Initiative, any Subsidiary shall have been designated an Unrestricted Subsidiary or any Unrestricted Subsidiary shall have been designated as a Subsidiary, Consolidated EBITDA for such period shall be calculated after giving pro forma effect thereto in accordance with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19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expenses and charges owed with respect to borrowed money, letters of credit and bankers’ acceptance financing and net costs under Hedging Agreements in respect of interest rates to the extent such net costs are allocable to such period in accordance with GAAP), but excluding, however, any amounts referred to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payable to the Administrative Agent and Lenders on or before the Closing Date.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for any period, the net income or loss of the Company and its consolidated Subsidiaries for such period,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excluded (a) the income of any Person (other than the Company) that is not, or prior to the date it becomes, a consolidated Subsidiary except to the extent of the amount of cash dividends or other cash distributions actually paid by such Person to the Company or, subject to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proviso, any consolidated Subsidiary during such period, (b) the income of, and any amounts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proviso paid to any Subsidiary (other than a Loan Party) to the extent that, on the date of determination, the declaration or payment of cash dividends or other cash distributions by such Subsidiary of that income is not at the time permitted by a Requirement of Law or any agreement or instrument applicable to such Subsidiary, unless such restrictions with respect to the payment of cash dividends and other cash distributions have been legally and effectively waived and (c) the income or loss of, and any amounts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proviso paid to, any consolidated Subsidiary that is not wholly-owned by the Company to the extent such income or loss or such amounts are attributable to the noncontrolling interest in such consolidated Subsidiary. Notwithstanding the foregoing, the amount of any cash dividends paid by any Unrestricted Subsidiary and received by the Company or the Subsidiaries during any such period shall be included, without duplication and subject to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proviso in the immediately preceding sentence, in the calculation of Consolidated Net Income for such period. For purposes of calculating Consolidated Net Income for any period to determine the Total Leverage Ratio, if during such period the Company or any Subsidiary shall have consummated a Permitted Acquisition, an Initiative or a Subsidiary Designation, Consolidated Net Income for such period shall be calculated after giving pro forma effect thereto in accordance with </w:t>
      </w:r>
      <w:r>
        <w:rPr>
          <w:rFonts w:ascii="Arial" w:cs="Arial" w:eastAsia="Arial" w:hAnsi="Arial"/>
          <w:sz w:val="17"/>
          <w:szCs w:val="17"/>
          <w:u w:val="single" w:color="auto"/>
          <w:color w:val="auto"/>
        </w:rPr>
        <w:t>Section 1.04(c)</w:t>
      </w:r>
      <w:r>
        <w:rPr>
          <w:rFonts w:ascii="Arial" w:cs="Arial" w:eastAsia="Arial" w:hAnsi="Arial"/>
          <w:sz w:val="17"/>
          <w:szCs w:val="17"/>
          <w:color w:val="auto"/>
        </w:rPr>
        <w:t>.</w:t>
      </w:r>
    </w:p>
    <w:p>
      <w:pPr>
        <w:spacing w:after="0" w:line="183"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each Issuing Lender, the Swingline Lender and each Lender.</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or condition that constitutes, or upon notice, lapse of time or both would constitute, an Event of Default.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2.21(b)</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Business Days of the date when due, (b) has notified the Company,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Company), or</w:t>
      </w:r>
    </w:p>
    <w:p>
      <w:pPr>
        <w:spacing w:after="0" w:line="4" w:lineRule="exact"/>
        <w:rPr>
          <w:sz w:val="20"/>
          <w:szCs w:val="20"/>
          <w:color w:val="auto"/>
        </w:rPr>
      </w:pPr>
    </w:p>
    <w:p>
      <w:pPr>
        <w:jc w:val="both"/>
        <w:ind w:firstLine="8"/>
        <w:spacing w:after="0" w:line="286" w:lineRule="auto"/>
        <w:tabs>
          <w:tab w:leader="none" w:pos="2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(d)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2.21(b)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Company, each Issuing Lender, the Swingline Lender and each other Lender promptly following such determination.</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means the fair market value of non-cash consideration received by the Company or one of its Subsidiaries in connection with a Disposition that is so designated as Designated Non-Cash Consideration pursuant to an officer’s certificate of an Authorized Officer, setting forth the basis of such valuation, less the amount of cash and Permitted Investments received in connection with a subsequent sale of such Designated Non-Cash Consideration within 180 days of receipt thereof.</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Obligations consisting of (a) principal of and interest on the Revolving Loans, (b) unreimbursed LC Disbursements and interest thereon and (c) all commitment fees and Letter of Credit participation fees.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means each Subsidiary that is not an Excluded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20" w:firstLine="1305"/>
        <w:spacing w:after="0" w:line="308" w:lineRule="auto"/>
        <w:tabs>
          <w:tab w:leader="none" w:pos="2091"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each case, on or prior to the date that is 91 days after the Latest Maturity Date (determined as of the date of issuance thereof or, in the case of any such Equity Interests outstanding on the Closing Date,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Loan Document Obligations that are accrued and payable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19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Lenders</w:t>
      </w:r>
      <w:r>
        <w:rPr>
          <w:rFonts w:ascii="Arial" w:cs="Arial" w:eastAsia="Arial" w:hAnsi="Arial"/>
          <w:sz w:val="16"/>
          <w:szCs w:val="16"/>
          <w:color w:val="auto"/>
        </w:rPr>
        <w:t xml:space="preserve">” means (a) competitors of the Company and its Subsidiaries in each case specified by name in writing by the Company to the Administrative Agent and the Lenders (by posting such notice to the Platform) from time to time and (b) any of such competitor’s Affiliates clearly identifiable solely by similarity of name (but excluding any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applicable competitor does not, directly or indirectly, possess the power to direct or cause the direction of the investment policies of such entity). For the avoidance of doubt, (i) any addition to the list of Disqualified Lenders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will not become effective until at least three (3) Business Days after such addition is posted to the Platform and (ii) no retroactive disqualification of the Lenders that later become Disqualified Lenders shall be permitted. “Disqualified Lenders” shall exclude any Person that the Company has designated as no longer being a “Disqualified Institution” by written notice delivered to the Administrative Agent and the Lenders from time to time.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Lender, as the case may be, at such time on the basis of the Spot Rate (determined in respect of the most recent Revaluation Date) for the purchase of Dollars with such Alternative Currency.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Tranche Applicable Percentage</w:t>
      </w:r>
      <w:r>
        <w:rPr>
          <w:rFonts w:ascii="Arial" w:cs="Arial" w:eastAsia="Arial" w:hAnsi="Arial"/>
          <w:sz w:val="17"/>
          <w:szCs w:val="17"/>
          <w:color w:val="auto"/>
        </w:rPr>
        <w:t xml:space="preserve">” means, with respect to each Lender, the percentage (carried out to the ninth decimal place) of the aggregate Dollar Tranche Revolving Commitments represented by such Lender’s Dollar Tranche Revolving Commitment at such time. If the commitment of each Lender to make Dollar Tranche Revolving Loans has been terminated and the obligation of each Issuing Lender to issue Letters of Credit or otherwise incur L/C Obligations have been terminated or if the Dollar Tranche Revolving Commitments have expired, then the Dollar Tranche Applicable Percentage of each Lender with respect to Revolving Credit Extensions shall be determined based on the Dollar Tranche Applicable Percentage of such Lender most recently in effect, giving effect to any subsequent assignments. The initial Dollar Tranche Applicable Percentage of each Lender is set forth opposite the name of such Lender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or in the Assignment and Assumption pursuant to which such Lender becomes a party hereto, as applicable. Notwithstanding the foregoing, when a Defaulting Lender shall exist, in the case of </w:t>
      </w:r>
      <w:r>
        <w:rPr>
          <w:rFonts w:ascii="Arial" w:cs="Arial" w:eastAsia="Arial" w:hAnsi="Arial"/>
          <w:sz w:val="17"/>
          <w:szCs w:val="17"/>
          <w:u w:val="single" w:color="auto"/>
          <w:color w:val="auto"/>
        </w:rPr>
        <w:t>Section 2.21</w:t>
      </w:r>
      <w:r>
        <w:rPr>
          <w:rFonts w:ascii="Arial" w:cs="Arial" w:eastAsia="Arial" w:hAnsi="Arial"/>
          <w:sz w:val="17"/>
          <w:szCs w:val="17"/>
          <w:color w:val="auto"/>
        </w:rPr>
        <w:t>, Dollar Tranche Applicable Percentages shall be determined without regard to any Defaulting Lender’s Dollar Tranche Revolving Commitment.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Tranche Revolving Borrowing</w:t>
      </w:r>
      <w:r>
        <w:rPr>
          <w:rFonts w:ascii="Arial" w:cs="Arial" w:eastAsia="Arial" w:hAnsi="Arial"/>
          <w:sz w:val="18"/>
          <w:szCs w:val="18"/>
          <w:color w:val="auto"/>
        </w:rPr>
        <w:t>” means a Borrowing comprised of Dollar Tranche Revolving Loans.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Tranche Revolving Commitment</w:t>
      </w:r>
      <w:r>
        <w:rPr>
          <w:rFonts w:ascii="Arial" w:cs="Arial" w:eastAsia="Arial" w:hAnsi="Arial"/>
          <w:sz w:val="18"/>
          <w:szCs w:val="18"/>
          <w:color w:val="auto"/>
        </w:rPr>
        <w:t xml:space="preserve">” means, with respect to each Lender, the obligation of such Lender, if any, to make Dollar Tranche Revolving Loans and participate in Swingline Loans and Letters of Credit, as such commitment may be 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or 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Dollar Tranche Revolving Commitment is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in the Assignment and Assumption pursuant to which such Lender shall have assumed its Dollar Tranche Revolving Commitment, as applicable. The initial aggregate amount of the Lenders’ Dollar Tranche Revolving Commitments is $700,000,000.</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Tranche Revolving Credit Exposure</w:t>
      </w:r>
      <w:r>
        <w:rPr>
          <w:rFonts w:ascii="Arial" w:cs="Arial" w:eastAsia="Arial" w:hAnsi="Arial"/>
          <w:sz w:val="18"/>
          <w:szCs w:val="18"/>
          <w:color w:val="auto"/>
        </w:rPr>
        <w:t>” means, as to any Dollar Tranche Revolving Lender at any time, the aggregate Revolving Outstanding Amount at such time of its Dollar Tranche Revolving Loans and the aggregate Revolving Outstanding Amount of such Lender’s participation in L/C Obligations and Swingline Loans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Tranche Revolving Facility</w:t>
      </w:r>
      <w:r>
        <w:rPr>
          <w:rFonts w:ascii="Arial" w:cs="Arial" w:eastAsia="Arial" w:hAnsi="Arial"/>
          <w:sz w:val="17"/>
          <w:szCs w:val="17"/>
          <w:color w:val="auto"/>
        </w:rPr>
        <w:t>” means the Dollar Tranche Revolving Commitments and the extensions of credit made thereunder.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Tranche Revolving Lender</w:t>
      </w:r>
      <w:r>
        <w:rPr>
          <w:rFonts w:ascii="Arial" w:cs="Arial" w:eastAsia="Arial" w:hAnsi="Arial"/>
          <w:sz w:val="17"/>
          <w:szCs w:val="17"/>
          <w:color w:val="auto"/>
        </w:rPr>
        <w:t>” means each Lender that has a Dollar Tranche Revolving Commitment or that holds Dollar Tranche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Revolving Loans.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Tranche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incorporated or organized under the laws of the United States of America, any State thereof or the District of Columbia.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Loan Party</w:t>
      </w:r>
      <w:r>
        <w:rPr>
          <w:rFonts w:ascii="Arial" w:cs="Arial" w:eastAsia="Arial" w:hAnsi="Arial"/>
          <w:sz w:val="18"/>
          <w:szCs w:val="18"/>
          <w:color w:val="auto"/>
        </w:rPr>
        <w:t>” means any Loan Party that is a Domestic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9.04(e)(iv)</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for any Person for any period, the consolidated net income of such Person for such period plus, to the extent deducted in determining such consolidated net income, interest expense, income tax expense, depreciation and amortization of such Person.</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44"/>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definition, or (c) any financial institution established in an EEA Member Country which is a Subsidiary of an institution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w:t>
      </w:r>
    </w:p>
    <w:p>
      <w:pPr>
        <w:spacing w:after="0" w:line="32" w:lineRule="exact"/>
        <w:rPr>
          <w:rFonts w:ascii="Arial" w:cs="Arial" w:eastAsia="Arial" w:hAnsi="Arial"/>
          <w:sz w:val="16"/>
          <w:szCs w:val="16"/>
          <w:u w:val="single" w:color="auto"/>
          <w:color w:val="auto"/>
        </w:rPr>
      </w:pPr>
    </w:p>
    <w:p>
      <w:pPr>
        <w:ind w:left="260" w:hanging="252"/>
        <w:spacing w:after="0"/>
        <w:tabs>
          <w:tab w:leader="none" w:pos="260" w:val="left"/>
        </w:tabs>
        <w:numPr>
          <w:ilvl w:val="0"/>
          <w:numId w:val="44"/>
        </w:numPr>
        <w:rPr>
          <w:rFonts w:ascii="Arial" w:cs="Arial" w:eastAsia="Arial" w:hAnsi="Arial"/>
          <w:sz w:val="18"/>
          <w:szCs w:val="18"/>
          <w:u w:val="single" w:color="auto"/>
          <w:color w:val="auto"/>
        </w:rPr>
      </w:pPr>
      <w:r>
        <w:rPr>
          <w:rFonts w:ascii="Arial" w:cs="Arial" w:eastAsia="Arial" w:hAnsi="Arial"/>
          <w:sz w:val="18"/>
          <w:szCs w:val="18"/>
          <w:color w:val="auto"/>
        </w:rPr>
        <w:t>of this definition and is subject to consolidated supervision with its parent.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Norway and any other country that becomes a member of the European Economic Area on or after the date of this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 a Lender, (b) an Affiliate of a Lender, (c) an Approved Fund, (d) any bank and (e) any other financial institution, finance company or investment fund engaged as a primary activity in the ordinary course of its business in making or investing in commercial loans or debt securities, other than, in each case, (i) a natural person, (ii) a Defaulting Lender and (iii) the Company, any Subsidiary or any other Affiliate of Company. For the avoidance of doubt, any Disqualified Institution is subject to Section 9.04(g).</w:t>
      </w:r>
    </w:p>
    <w:p>
      <w:pPr>
        <w:spacing w:after="0" w:line="18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Currency</w:t>
      </w:r>
      <w:r>
        <w:rPr>
          <w:rFonts w:ascii="Arial" w:cs="Arial" w:eastAsia="Arial" w:hAnsi="Arial"/>
          <w:sz w:val="16"/>
          <w:szCs w:val="16"/>
          <w:color w:val="auto"/>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an Alternative Currency) or the applicable Issuing Lender (in the case of any Letter of Credit to be denominated in an Alternative Currency), (a) such currency no longer being readily available, freely transferable and convertible into Dollars,</w:t>
      </w:r>
    </w:p>
    <w:p>
      <w:pPr>
        <w:spacing w:after="0" w:line="5" w:lineRule="exact"/>
        <w:rPr>
          <w:sz w:val="20"/>
          <w:szCs w:val="20"/>
          <w:color w:val="auto"/>
        </w:rPr>
      </w:pPr>
    </w:p>
    <w:p>
      <w:pPr>
        <w:jc w:val="both"/>
        <w:ind w:firstLine="8"/>
        <w:spacing w:after="0" w:line="252" w:lineRule="auto"/>
        <w:tabs>
          <w:tab w:leader="none" w:pos="2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Dollar Equivalent is no longer readily calculable with respect to such currency, (c) providing such currency is impracticable for the Lenders, (d) no longer a currency in which a Majority in Interest of the Multicurrency Tranche Revolving Lenders are willing to make such Loan or (e) no longer a currency in which the applicable Issuing Lender is willing to make such Letter of Credit (each of (a), (b), (c), (d) and (e) a “</w:t>
      </w:r>
      <w:r>
        <w:rPr>
          <w:rFonts w:ascii="Arial" w:cs="Arial" w:eastAsia="Arial" w:hAnsi="Arial"/>
          <w:sz w:val="18"/>
          <w:szCs w:val="18"/>
          <w:u w:val="single" w:color="auto"/>
          <w:color w:val="auto"/>
        </w:rPr>
        <w:t>Disqualifying Event</w:t>
      </w:r>
      <w:r>
        <w:rPr>
          <w:rFonts w:ascii="Arial" w:cs="Arial" w:eastAsia="Arial" w:hAnsi="Arial"/>
          <w:sz w:val="18"/>
          <w:szCs w:val="18"/>
          <w:color w:val="auto"/>
        </w:rPr>
        <w:t>”),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Requirements of Law relating to pollution or the protection of the environment or natural resources (or, as it relates to exposure to hazardous or toxic substances, human health and safety matters).</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obligation, loss, claim, lawsuit or order, contingent or otherwise (including any liability for damages, costs of environmental remediation, fines, penalties and indemnities) directly or indirectly resulting or arising from (a) the violation of any Environmental Law or Environmental Permit, (b) the generation, use, handling, transportation, storage, treatment or disposal of any Hazardous Materials, (c) the Release or threatened Release of any Hazardous Materials, (d) exposure to any Hazardous Materials or (e) any contract or agreement pursuant to which liability is assumed or imposed with respect to any of the foregoing.</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any and all permits, licenses, approvals, registrations, notifications, exemptions and any other authorization issued or required under Environmental Laws.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beneficial interests in a trust or other equity ownership interests (whether voting or non-voting) in, or interests in the income or profits of, a Person, and any warrants, options or other rights entitling the holder thereof to purchase or acquire any of the foregoing.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4001(b)(1) of ERISA or Section 414(b) or 414(c) of the Code or, solely for purposes of Title IV and Section 302 of ERISA and Section 412 of the Code, is treated as a single employer under Section 414(b), 414(c), 414(m) or 414(o) of the Code.</w:t>
      </w:r>
    </w:p>
    <w:p>
      <w:pPr>
        <w:spacing w:after="0" w:line="18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the existence, with respect to any Plan of the Company, of a non-exempt Prohibited Transaction; (b) any Reportable Event; (c) any failure by any Plan to satisfy the minimum funding standards (within the meaning of Section 412 of the Code or Section 302 of ERISA) applicable to such Plan, in each case whether or not waived; (d) the filing pursuant to Section 412(c) of the Code or Section 302(c) of ERISA of an application for a waiver of the minimum funding standard with respect to any Plan; (e) a determination that any Plan is, or is expected to be, in “at-risk” status (as defined in Section 430(i)(4) of the Code or Section 303(i)(4) of ERISA); (f) the incurrence by the Company or any ERISA Affiliate of any liability under Title IV of ERISA with respect to the termination of any Plan; (g) the receipt by the Company or any ERISA Affiliate from the PBGC or a plan administrator of any notice relating to an intention to terminate any Plan or Plans or to appoint a trustee to administer any Plan; (h) the incurrence by the Company or any ERISA Affiliate of any liability with respect to the withdrawal or partial withdrawal from any Plan or Multiemployer Plan; (i)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(j) the failure by the Company or any ERISA Affiliate to pay when due (after expiration of any applicable grace period) any installment payment with respect to Withdrawal Liability under Section 4201 of ERISA or (k) a Foreign Plan Event.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ESPC</w:t>
      </w:r>
      <w:r>
        <w:rPr>
          <w:rFonts w:ascii="Arial" w:cs="Arial" w:eastAsia="Arial" w:hAnsi="Arial"/>
          <w:sz w:val="18"/>
          <w:szCs w:val="18"/>
          <w:color w:val="auto"/>
        </w:rPr>
        <w:t>” means an Energy Savings Performance Contract between the Company or a Subsidiary, on the one hand, and a Governmental Authority, on the other hand, pursuant to which the Company or such Subsidiary will design, acquire, construct, install, arrange financing for, test, operate, maintain and/or repair one or more energy conservation projects.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Participating Member States.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ind w:left="640" w:hanging="37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any Interest Period with respect to any Borrowing:</w:t>
      </w:r>
    </w:p>
    <w:p>
      <w:pPr>
        <w:spacing w:after="0" w:line="225" w:lineRule="exact"/>
        <w:rPr>
          <w:rFonts w:ascii="Arial" w:cs="Arial" w:eastAsia="Arial" w:hAnsi="Arial"/>
          <w:sz w:val="18"/>
          <w:szCs w:val="18"/>
          <w:color w:val="auto"/>
        </w:rPr>
      </w:pPr>
    </w:p>
    <w:p>
      <w:pPr>
        <w:jc w:val="both"/>
        <w:ind w:left="660" w:right="60" w:firstLine="645"/>
        <w:spacing w:after="0" w:line="257" w:lineRule="auto"/>
        <w:tabs>
          <w:tab w:leader="none" w:pos="20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denominated in a LIBOR Quoted Currency,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8"/>
          <w:szCs w:val="18"/>
          <w:u w:val="single" w:color="auto"/>
          <w:color w:val="auto"/>
        </w:rPr>
        <w:t>LIBOR Rate</w:t>
      </w:r>
      <w:r>
        <w:rPr>
          <w:rFonts w:ascii="Arial" w:cs="Arial" w:eastAsia="Arial" w:hAnsi="Arial"/>
          <w:sz w:val="18"/>
          <w:szCs w:val="18"/>
          <w:color w:val="auto"/>
        </w:rPr>
        <w:t>”) at approximately 11:00 a.m., London time, on the Rate Determination Date, for deposits in the relevant currency, with a term equivalent to such Interest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left="660" w:right="80" w:firstLine="645"/>
        <w:spacing w:after="0" w:line="264"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denominated in any Non-LIBOR Quoted Currency, the rate per annum as designated with respect to such Alternative Currency at the time such Alternative Currency is approved by the Administrative Agent and the Multicurrency Tranche Revolving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1.08</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600" w:hanging="333"/>
        <w:spacing w:after="0" w:line="277"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any rate calculation with respect to a Base Rate Loan on any date, the rate per annum equal to the LIBOR Rate, at or about 11:00 a.m., London time determined two Business Days prior to such date for Dollar deposits with a term of one month commencing that day;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to the extent a comparable or successor rate is approved by the Administrative Agent in connection with any rate set forth in this definition,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in a manner as otherwise reasonably determined by the Administrative Agent; and (ii) if the Eurocurrency Rate shall be less than zero, such rate shall be deemed zero for purposes of this Agreement.</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means a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“Eurocurrency Rate”. Eurocurrency Rate Loans may be denominated in Dollars or in an Alternative Currency. All Loans denominated in an Alternative Currency or made to a Foreign Borrower shall be Eurocurrency Rate Loans.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w:t>
      </w:r>
    </w:p>
    <w:p>
      <w:pPr>
        <w:spacing w:after="0" w:line="225" w:lineRule="exact"/>
        <w:rPr>
          <w:sz w:val="20"/>
          <w:szCs w:val="20"/>
          <w:color w:val="auto"/>
        </w:rPr>
      </w:pPr>
    </w:p>
    <w:p>
      <w:pPr>
        <w:ind w:left="1540" w:hanging="235"/>
        <w:spacing w:after="0"/>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fee-owned real property with a fair market value individually of less than $10,000,000;</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leasehold interests in real property;</w:t>
      </w:r>
    </w:p>
    <w:p>
      <w:pPr>
        <w:spacing w:after="0" w:line="225" w:lineRule="exact"/>
        <w:rPr>
          <w:rFonts w:ascii="Arial" w:cs="Arial" w:eastAsia="Arial" w:hAnsi="Arial"/>
          <w:sz w:val="18"/>
          <w:szCs w:val="18"/>
          <w:color w:val="auto"/>
        </w:rPr>
      </w:pPr>
    </w:p>
    <w:p>
      <w:pPr>
        <w:ind w:right="20" w:firstLine="1305"/>
        <w:spacing w:after="0" w:line="277" w:lineRule="auto"/>
        <w:tabs>
          <w:tab w:leader="none" w:pos="15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motor vehicles and other assets subject to certificates of title (other than to the extent a security interest in such assets can be perfected by filing a Uniform Commercial Code financing statement or a similar filing in a non-U.S. jurisdiction);</w:t>
      </w:r>
    </w:p>
    <w:p>
      <w:pPr>
        <w:spacing w:after="0" w:line="170" w:lineRule="exact"/>
        <w:rPr>
          <w:rFonts w:ascii="Arial" w:cs="Arial" w:eastAsia="Arial" w:hAnsi="Arial"/>
          <w:sz w:val="18"/>
          <w:szCs w:val="18"/>
          <w:color w:val="auto"/>
        </w:rPr>
      </w:pPr>
    </w:p>
    <w:p>
      <w:pPr>
        <w:ind w:firstLine="1305"/>
        <w:spacing w:after="0" w:line="342" w:lineRule="auto"/>
        <w:tabs>
          <w:tab w:leader="none" w:pos="15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any assets if, to the extent, and for so long as, the grant of a Lien thereon to secure the Obligations is effectively prohibited or restricted by any Requirements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asset shall cease to be an Excluded Asset at such time as such prohibition ceases to be in effect;</w:t>
      </w:r>
    </w:p>
    <w:p>
      <w:pPr>
        <w:spacing w:after="0" w:line="123" w:lineRule="exact"/>
        <w:rPr>
          <w:rFonts w:ascii="Arial" w:cs="Arial" w:eastAsia="Arial" w:hAnsi="Arial"/>
          <w:sz w:val="16"/>
          <w:szCs w:val="16"/>
          <w:color w:val="auto"/>
        </w:rPr>
      </w:pPr>
    </w:p>
    <w:p>
      <w:pPr>
        <w:jc w:val="both"/>
        <w:ind w:firstLine="1305"/>
        <w:spacing w:after="0" w:line="255" w:lineRule="auto"/>
        <w:tabs>
          <w:tab w:leader="none" w:pos="15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lease, license or other agreement or any property subject to a purchase money security interest or similar arrangement to the extent that a grant of a security interest therein would violate or invalidate such lease, license or agreement or purchase money security interest or similar arrangement or create a right of termination in favor of any other party thereto (other than the Company or any Subsidiary), in each case, after giving effect to the applicable anti-assignment provisions of the Uniform Commercial Code or analogous law of any non-U.S. jurisdiction, and other than proceeds and receivables thereof, the assignment of which is expressly deemed effective under the Uniform Commercial Code or analogous law of any non-U.S. jurisdiction notwithstanding such prohibition or right of termination;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left="-20" w:firstLine="1305"/>
        <w:spacing w:after="0" w:line="290" w:lineRule="auto"/>
        <w:tabs>
          <w:tab w:leader="none" w:pos="15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 any asset to the extent that a grant of a security interest therein would require the consent (other than a consent that has been obtained) of a third Person (other than the Company or any Subsidiary) in each case pursuant to an agreement relating to secured Indebtedness permitted by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w:t>
      </w:r>
      <w:r>
        <w:rPr>
          <w:rFonts w:ascii="Arial" w:cs="Arial" w:eastAsia="Arial" w:hAnsi="Arial"/>
          <w:sz w:val="16"/>
          <w:szCs w:val="16"/>
          <w:u w:val="single" w:color="auto"/>
          <w:color w:val="auto"/>
        </w:rPr>
        <w:t>(q)</w:t>
      </w:r>
      <w:r>
        <w:rPr>
          <w:rFonts w:ascii="Arial" w:cs="Arial" w:eastAsia="Arial" w:hAnsi="Arial"/>
          <w:sz w:val="16"/>
          <w:szCs w:val="16"/>
          <w:color w:val="auto"/>
        </w:rPr>
        <w:t>,(</w:t>
      </w:r>
      <w:r>
        <w:rPr>
          <w:rFonts w:ascii="Arial" w:cs="Arial" w:eastAsia="Arial" w:hAnsi="Arial"/>
          <w:sz w:val="16"/>
          <w:szCs w:val="16"/>
          <w:u w:val="single" w:color="auto"/>
          <w:color w:val="auto"/>
        </w:rPr>
        <w:t>u), (v)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so long as such consent requirement applies only to the assets securing such Indebtedness (and such assets are permitted to secure such Indebtedness under Section 6.02) and (B) any lease, license or other agreement which requires the consent (other than a consent that has been obtained) of a third Person (other than the Company or any Subsidiary) in order for such lease, license or other agreement (or rights thereunder) to be part of the Collateral, in each case, after giving effect to the applicable anti-assignment provisions of the Uniform Commercial Code or analogous law of any non-U.S. jurisdiction, and other than proceeds and receivables thereof, the assignment of which is expressly deemed effective under the Uniform Commercial Code or analogous law of any non-U.S. jurisdiction notwithstanding such consent requirement;</w:t>
      </w:r>
    </w:p>
    <w:p>
      <w:pPr>
        <w:spacing w:after="0" w:line="166" w:lineRule="exact"/>
        <w:rPr>
          <w:rFonts w:ascii="Arial" w:cs="Arial" w:eastAsia="Arial" w:hAnsi="Arial"/>
          <w:sz w:val="16"/>
          <w:szCs w:val="16"/>
          <w:color w:val="auto"/>
        </w:rPr>
      </w:pPr>
    </w:p>
    <w:p>
      <w:pPr>
        <w:ind w:left="-20" w:firstLine="1305"/>
        <w:spacing w:after="0" w:line="277" w:lineRule="auto"/>
        <w:tabs>
          <w:tab w:leader="none" w:pos="15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assets as to which the Administrative Agent and the Company reasonably agree in writing that the cost of obtaining such a security interest or perfection thereof are excessive in relation to the benefit to the Lenders of the security to be afforded thereby;</w:t>
      </w:r>
    </w:p>
    <w:p>
      <w:pPr>
        <w:spacing w:after="0" w:line="170" w:lineRule="exact"/>
        <w:rPr>
          <w:rFonts w:ascii="Arial" w:cs="Arial" w:eastAsia="Arial" w:hAnsi="Arial"/>
          <w:sz w:val="18"/>
          <w:szCs w:val="18"/>
          <w:color w:val="auto"/>
        </w:rPr>
      </w:pPr>
    </w:p>
    <w:p>
      <w:pPr>
        <w:jc w:val="both"/>
        <w:ind w:left="-20" w:right="20" w:firstLine="1305"/>
        <w:spacing w:after="0" w:line="312" w:lineRule="auto"/>
        <w:tabs>
          <w:tab w:leader="none" w:pos="1534"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“intent-to-use” trademark applications, unless and until acceptable evidence of use of the trademark has been filed with and accepted by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w:t>
      </w:r>
    </w:p>
    <w:p>
      <w:pPr>
        <w:spacing w:after="0" w:line="146" w:lineRule="exact"/>
        <w:rPr>
          <w:rFonts w:ascii="Arial" w:cs="Arial" w:eastAsia="Arial" w:hAnsi="Arial"/>
          <w:sz w:val="16"/>
          <w:szCs w:val="16"/>
          <w:color w:val="auto"/>
        </w:rPr>
      </w:pPr>
    </w:p>
    <w:p>
      <w:pPr>
        <w:jc w:val="both"/>
        <w:ind w:left="-20" w:firstLine="1305"/>
        <w:spacing w:after="0" w:line="255" w:lineRule="auto"/>
        <w:tabs>
          <w:tab w:leader="none" w:pos="15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property, to the extent the granting of a Lien therein is prohibited by any Requirement of Law or any agreement with any Governmental Authority or which would require the consent, approval, license or authorization of any Governmental Authority to grant a Lien, in each case, after giving effect to the applicable anti-assignment provisions of the Uniform Commercial Code or analogous law of any non-U.S. jurisdiction (with no requirement to obtain the consent of any Person (other than the Company or any Subsidiary), including, without limitation, no requirement to comply with the Federal Assignment of Claims Act or any similar statute), and other than proceeds and receivables thereof, the assignment of which is expressly deemed effective under the Uniform Commercial Code or analogous law of any non-U.S. jurisdiction notwithstanding such prohibition, restriction or consent requirement;</w:t>
      </w:r>
    </w:p>
    <w:p>
      <w:pPr>
        <w:spacing w:after="0" w:line="189" w:lineRule="exact"/>
        <w:rPr>
          <w:rFonts w:ascii="Arial" w:cs="Arial" w:eastAsia="Arial" w:hAnsi="Arial"/>
          <w:sz w:val="18"/>
          <w:szCs w:val="18"/>
          <w:color w:val="auto"/>
        </w:rPr>
      </w:pPr>
    </w:p>
    <w:p>
      <w:pPr>
        <w:ind w:left="1500" w:hanging="215"/>
        <w:spacing w:after="0"/>
        <w:tabs>
          <w:tab w:leader="none" w:pos="1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Excluded Equity Interests;</w:t>
      </w:r>
    </w:p>
    <w:p>
      <w:pPr>
        <w:spacing w:after="0" w:line="225" w:lineRule="exact"/>
        <w:rPr>
          <w:rFonts w:ascii="Arial" w:cs="Arial" w:eastAsia="Arial" w:hAnsi="Arial"/>
          <w:sz w:val="18"/>
          <w:szCs w:val="18"/>
          <w:color w:val="auto"/>
        </w:rPr>
      </w:pPr>
    </w:p>
    <w:p>
      <w:pPr>
        <w:ind w:left="-20" w:firstLine="1305"/>
        <w:spacing w:after="0" w:line="277" w:lineRule="auto"/>
        <w:tabs>
          <w:tab w:leader="none" w:pos="15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customary exclusions under applicable local law or in applicable local jurisdictions as mutually agreed by the Administrative Agent and the Company;</w:t>
      </w:r>
    </w:p>
    <w:p>
      <w:pPr>
        <w:spacing w:after="0" w:line="170" w:lineRule="exact"/>
        <w:rPr>
          <w:rFonts w:ascii="Arial" w:cs="Arial" w:eastAsia="Arial" w:hAnsi="Arial"/>
          <w:sz w:val="18"/>
          <w:szCs w:val="18"/>
          <w:color w:val="auto"/>
        </w:rPr>
      </w:pPr>
    </w:p>
    <w:p>
      <w:pPr>
        <w:ind w:left="1500" w:hanging="215"/>
        <w:spacing w:after="0"/>
        <w:tabs>
          <w:tab w:leader="none" w:pos="1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margin stock;</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158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assets in any CFC or any CFC Holding Company and other assets to the extent a security interest in such assets would result in material adverse tax consequences (including, without limitation, as a result of the operation of Section 956 of the Code or any similar law or regulation in any applicable jurisdiction) or material adverse regulatory consequences, in each case, as reasonably determined in good faith by the Company;</w:t>
      </w:r>
    </w:p>
    <w:p>
      <w:pPr>
        <w:spacing w:after="0" w:line="165" w:lineRule="exact"/>
        <w:rPr>
          <w:rFonts w:ascii="Arial" w:cs="Arial" w:eastAsia="Arial" w:hAnsi="Arial"/>
          <w:sz w:val="17"/>
          <w:szCs w:val="17"/>
          <w:color w:val="auto"/>
        </w:rPr>
      </w:pPr>
    </w:p>
    <w:p>
      <w:pPr>
        <w:ind w:left="1540" w:hanging="255"/>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payroll accounts, employee wage and benefit accounts, tax accounts, escrow accounts, or fiduciary or trust accounts;</w:t>
      </w:r>
    </w:p>
    <w:p>
      <w:pPr>
        <w:spacing w:after="0" w:line="225" w:lineRule="exact"/>
        <w:rPr>
          <w:rFonts w:ascii="Arial" w:cs="Arial" w:eastAsia="Arial" w:hAnsi="Arial"/>
          <w:sz w:val="18"/>
          <w:szCs w:val="18"/>
          <w:color w:val="auto"/>
        </w:rPr>
      </w:pPr>
    </w:p>
    <w:p>
      <w:pPr>
        <w:ind w:left="-20" w:firstLine="1305"/>
        <w:spacing w:after="0" w:line="277" w:lineRule="auto"/>
        <w:tabs>
          <w:tab w:leader="none" w:pos="15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cash or other assets restricted that are subject to Liens permitted under </w:t>
      </w:r>
      <w:r>
        <w:rPr>
          <w:rFonts w:ascii="Arial" w:cs="Arial" w:eastAsia="Arial" w:hAnsi="Arial"/>
          <w:sz w:val="18"/>
          <w:szCs w:val="18"/>
          <w:u w:val="single" w:color="auto"/>
          <w:color w:val="auto"/>
        </w:rPr>
        <w:t>Section 6.02(l)</w:t>
      </w:r>
      <w:r>
        <w:rPr>
          <w:rFonts w:ascii="Arial" w:cs="Arial" w:eastAsia="Arial" w:hAnsi="Arial"/>
          <w:sz w:val="18"/>
          <w:szCs w:val="18"/>
          <w:color w:val="auto"/>
        </w:rPr>
        <w:t xml:space="preserve"> or Hedging Agreements entered into in the ordinary course of business with relationship banks of the Company or any of its Subsidiaries; and</w:t>
      </w:r>
    </w:p>
    <w:p>
      <w:pPr>
        <w:spacing w:after="0" w:line="170" w:lineRule="exact"/>
        <w:rPr>
          <w:rFonts w:ascii="Arial" w:cs="Arial" w:eastAsia="Arial" w:hAnsi="Arial"/>
          <w:sz w:val="18"/>
          <w:szCs w:val="18"/>
          <w:color w:val="auto"/>
        </w:rPr>
      </w:pPr>
    </w:p>
    <w:p>
      <w:pPr>
        <w:ind w:left="1540" w:hanging="255"/>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asset that is the target or subject of Sanctions.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0" w:name="page61"/>
    <w:bookmarkEnd w:id="60"/>
    <w:p>
      <w:pPr>
        <w:ind w:right="20"/>
        <w:spacing w:after="0" w:line="308" w:lineRule="auto"/>
        <w:rPr>
          <w:sz w:val="20"/>
          <w:szCs w:val="20"/>
          <w:color w:val="auto"/>
        </w:rPr>
      </w:pPr>
      <w:r>
        <w:rPr>
          <w:rFonts w:ascii="Arial" w:cs="Arial" w:eastAsia="Arial" w:hAnsi="Arial"/>
          <w:sz w:val="17"/>
          <w:szCs w:val="17"/>
          <w:color w:val="auto"/>
        </w:rPr>
        <w:t>Notwithstanding the foregoing, it is hereby understood and agreed that “Excluded Assets” shall not include any proceeds, products, substitutions or replacements of Excluded Assets (unless such proceeds, products, substitutions or replacements would otherwise constitute Excluded Assets).</w:t>
      </w:r>
    </w:p>
    <w:p>
      <w:pPr>
        <w:spacing w:after="0" w:line="14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Equity Interests</w:t>
      </w:r>
      <w:r>
        <w:rPr>
          <w:rFonts w:ascii="Arial" w:cs="Arial" w:eastAsia="Arial" w:hAnsi="Arial"/>
          <w:sz w:val="16"/>
          <w:szCs w:val="16"/>
          <w:color w:val="auto"/>
        </w:rPr>
        <w:t>” means (a) any Equity Interests that consist of voting Equity Interests of a Subsidiary that is a CFC or a CFC Holding Company in excess of 65% of the outstanding voting Equity Interests and 100% of the outstanding non-voting Equity Interests of such Subsidiary,</w:t>
      </w:r>
    </w:p>
    <w:p>
      <w:pPr>
        <w:jc w:val="both"/>
        <w:ind w:firstLine="8"/>
        <w:spacing w:after="0" w:line="281" w:lineRule="auto"/>
        <w:tabs>
          <w:tab w:leader="none" w:pos="261"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any Equity Interests if, to the extent, and for so long as, the grant of a Lien thereon to secure the Obligations is effectively prohibited or restricted by any Requirements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Equity Interest shall cease to be an Excluded Equity Interest at such time as such prohibition ceases to be in effect,</w:t>
      </w:r>
    </w:p>
    <w:p>
      <w:pPr>
        <w:spacing w:after="0" w:line="1" w:lineRule="exact"/>
        <w:rPr>
          <w:rFonts w:ascii="Arial" w:cs="Arial" w:eastAsia="Arial" w:hAnsi="Arial"/>
          <w:sz w:val="16"/>
          <w:szCs w:val="16"/>
          <w:color w:val="auto"/>
        </w:rPr>
      </w:pPr>
    </w:p>
    <w:p>
      <w:pPr>
        <w:jc w:val="both"/>
        <w:ind w:firstLine="8"/>
        <w:spacing w:after="0" w:line="254" w:lineRule="auto"/>
        <w:tabs>
          <w:tab w:leader="none" w:pos="2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Equity Interests in any Person that is not a wholly-owned Subsidiary directly owned by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 Interest shall cease to be an Excluded Equity Interest if such Person becomes a wholly-owned Subsidiary directly owned by a Loan Party and (d) Equity Interests as to which the Administrative Agent and the Company reasonably agree in writing that the cost obtaining such a security interest or perfection thereof are excessive in relation to the benefit of the Lenders of the security to be afforded thereby.</w:t>
      </w:r>
    </w:p>
    <w:p>
      <w:pPr>
        <w:spacing w:after="0" w:line="19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means (a) any Subsidiary that is not a wholly-owned Significant Subsidiary, (b) any Subsidiary that is a Foreign Subsidiary, (c) any Subsidiary that is a CFC or a CFC Holding Company (and accordingly, in no event shall a CFC or a CFC Holding Company be required to enter into any Security Document or pledge any assets hereunder), (d) any Subsidiary that is prohibited or restricted by Requirements of Law or by contractual obligations existing on the Closing Date (or, in the case of any newly acquired Subsidiary, in existence at the time of acquisition but not entered into in contemplation thereof) from Guaranteeing the Loan Document Obligations or if guaranteeing the Obligations (i) would require governmental (including regulatory) consent, approval, license or authorization in order to provide such guarantee or (ii) could result in material adverse tax consequences as reasonably determined by the Company, (e) a special purpose securitization vehicle (or similar entity), including any Receivables Entity, (f) a not for profit Subsidiary, (g) a captive insurance Subsidiary (including, as of the Closing Date, IFM Assurance Company), (h) any Unrestricted Subsidiary or (i) a Subsidiary with respect to which, in the reasonable judgment of the Company and the Administrative Agent, the burden or cost of providing a Guarantee shall be excessive in view of the benefits to be obtained by the Lenders therefrom;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Subsidiary shall cease to be an Excluded Subsidiary at such time as none of foregoing clauses apply to such Subsidiary.</w:t>
      </w:r>
    </w:p>
    <w:p>
      <w:pPr>
        <w:spacing w:after="0" w:line="183"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Loan Party, any Swap Obligation if, and to the extent that, and only for so long as, all or a portion of the guarantee by such Loan Party of, or the grant by such Loan Party of a security interest to secure, as applicable, such Swap Obligation (or any guarantee thereof) is or becomes illegal or unlawful under the Commodity Exchange Act or any rule, regulation or order of the Commodity Futures Trading Commission (or the application or official interpretation of any thereof) (determined after giving effect to any applicable keepwell, support, or other agreement for the benefit of such Loan Party and any and all applicable guarantees of such Loan Party’s swap obligations by the other Loan Parties) by virtue of Loan Party’s failure for any reason to constitute an “eligible contract participant” as defined in the Commodity Exchange Act and the regulations thereunder at the time the guarantee of such Loan Party or the grant by any Loan Party of a security interest, as applicable,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68" w:lineRule="auto"/>
        <w:tabs>
          <w:tab w:leader="none" w:pos="22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Arial" w:cs="Arial" w:eastAsia="Arial" w:hAnsi="Arial"/>
          <w:sz w:val="17"/>
          <w:szCs w:val="17"/>
          <w:u w:val="single" w:color="auto"/>
          <w:color w:val="auto"/>
        </w:rPr>
        <w:t>Section 2.20(b)</w:t>
      </w:r>
      <w:r>
        <w:rPr>
          <w:rFonts w:ascii="Arial" w:cs="Arial" w:eastAsia="Arial" w:hAnsi="Arial"/>
          <w:sz w:val="17"/>
          <w:szCs w:val="17"/>
          <w:color w:val="auto"/>
        </w:rPr>
        <w:t xml:space="preserve">) or (ii) such Lender changes its lending or branch office, except in each case to the extent that,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amounts with respect to such Taxes were payable either to such Lender’s assignor immediately before such Lender acquired the applicable interest in such Loan or Commitment or to such Lender immediately before it changed its lending or branch office, (c) Taxes attributable to such Recipient’s failure to comply with </w:t>
      </w:r>
      <w:r>
        <w:rPr>
          <w:rFonts w:ascii="Arial" w:cs="Arial" w:eastAsia="Arial" w:hAnsi="Arial"/>
          <w:sz w:val="17"/>
          <w:szCs w:val="17"/>
          <w:u w:val="single" w:color="auto"/>
          <w:color w:val="auto"/>
        </w:rPr>
        <w:t>Section 2.18(g)</w:t>
      </w:r>
      <w:r>
        <w:rPr>
          <w:rFonts w:ascii="Arial" w:cs="Arial" w:eastAsia="Arial" w:hAnsi="Arial"/>
          <w:sz w:val="17"/>
          <w:szCs w:val="17"/>
          <w:color w:val="auto"/>
        </w:rPr>
        <w:t xml:space="preserve"> and (d) any U.S. federal withholding Taxes imposed under FATCA.</w:t>
      </w:r>
    </w:p>
    <w:p>
      <w:pPr>
        <w:spacing w:after="0" w:line="18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November 30, 2010, among the Company and certain Subsidiaries, as borrowers, the lenders from time to time party thereto, and Bank of America, N.A., as administrative agent.</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GCA Credit Agreements</w:t>
      </w:r>
      <w:r>
        <w:rPr>
          <w:rFonts w:ascii="Arial" w:cs="Arial" w:eastAsia="Arial" w:hAnsi="Arial"/>
          <w:sz w:val="18"/>
          <w:szCs w:val="18"/>
          <w:color w:val="auto"/>
        </w:rPr>
        <w:t>” means, collectively, (a) the First Lien Credit Agreement, dated as of March 1, 2016, among GCA Merger Sub, Inc. (to be merged with and into Erie Acquisition Holdings, Inc.), as the parent borrower, GCA Services Group, Inc., as the subsidiary borrower, GCA Intermediate Holding Corp. as holdings, the subsidiaries of the parent borrower from time to time party thereto, the financial institutions party hereto, as lenders, and Barclays Bank PLC, as administrative agent and (b) the Second Lien Credit Agreement, dated as of March 1, 2016, among GCA Merger Sub, Inc. (to be merged with and into Erie Acquisition Holdings, Inc.), as the parent borrower, GCA Services Group, Inc., as the subsidiary borrower, GCA Intermediate Holding Corp., as holdings, the subsidiaries of the parent borrower from time to time party thereto, the financial institutions party hereto, as lenders, Barclays Bank PLC, as administrative agent.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2.06(a)</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Initial Term Facility, (b) the Dollar Tranche Revolving Facility, (c) the Multicurrency Tranche Revolving Facility and (d) any Incremental Term Facility.</w:t>
      </w:r>
    </w:p>
    <w:p>
      <w:pPr>
        <w:spacing w:after="0" w:line="17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Section 1471(b)(1) of the Code, and intergovernmental agreements entered into in connection with the implementation of such Sections of the Code and any fiscal regulatory legislation, rules or practices adopted pursuant to such intergovernmental agreement.</w:t>
      </w:r>
    </w:p>
    <w:p>
      <w:pPr>
        <w:spacing w:after="0" w:line="15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shall be less than zero, such rate shall be deemed to be zero for purposes of this Agreement.</w:t>
      </w:r>
    </w:p>
    <w:p>
      <w:pPr>
        <w:spacing w:after="0" w:line="18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Business Day following the last day of each March, June, September and December and (b) the last day of the Revolving Commitment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treasurer, corporate vice president of finance or controller of such Person (or other persons holding similar duties).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xml:space="preserve">” means, as of any date of determination, the ratio of (a) Adjusted Consolidated EBITDAR for the period of the four (4) prior fiscal quarters ending on such date to (b) the sum, without duplication, of (i) Consolidated Interest Expense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Adjusted Rental Expense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scheduled principal payments of long-term Indebtedness required to be made during such period.</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Regulations</w:t>
      </w:r>
      <w:r>
        <w:rPr>
          <w:rFonts w:ascii="Arial" w:cs="Arial" w:eastAsia="Arial" w:hAnsi="Arial"/>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Borrower</w:t>
      </w:r>
      <w:r>
        <w:rPr>
          <w:rFonts w:ascii="Arial" w:cs="Arial" w:eastAsia="Arial" w:hAnsi="Arial"/>
          <w:sz w:val="18"/>
          <w:szCs w:val="18"/>
          <w:color w:val="auto"/>
        </w:rPr>
        <w:t>” means any Designated Borrower that is not a Domestic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each employee benefit plan (within the meaning of Section 3(3) of ERISA, whether or not subject to ERISA), program or agreement that is not subject to US law and is maintained or contributed to by, or entered into with, the Company, any Affiliate, or any other entity to the extent the Company could have any liability in respect of its current or former employees, other than any employee benefit plan, program or agreement that is sponsored or maintained exclusively by a Governmental Authority.</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 Event</w:t>
      </w:r>
      <w:r>
        <w:rPr>
          <w:rFonts w:ascii="Arial" w:cs="Arial" w:eastAsia="Arial" w:hAnsi="Arial"/>
          <w:sz w:val="16"/>
          <w:szCs w:val="16"/>
          <w:color w:val="auto"/>
        </w:rPr>
        <w:t>” means, with respect to any Foreign Plan, (a) the failure to make or, if applicable, accrue in accordance with normal accounting practices, any contributions or payments required by applicable law or by the terms of such Foreign Plan; (b) the failure to register or loss of good standing with applicable Governmental Authorities of any such Foreign Plan required to be registered with such Governmental Authorities; or (c) the failure of any Foreign Plan to comply with any material provisions of applicable law and regulations or with the material terms of such Foreign Plan.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Issuing Lender, such Defaulting Lender’s Applicable Percentage of the Revolving Outstanding Amount of all outstanding L/C Obligations other than L/C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in accordance with the terms hereof.</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such office as may be specified from time to time by the Administrative Agent as its funding office by written notice to the Company and the Lenders, which office may include any Affiliate of such Person or any domestic or foreign branch of such Person or such Affiliate.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GCA</w:t>
      </w:r>
      <w:r>
        <w:rPr>
          <w:rFonts w:ascii="Arial" w:cs="Arial" w:eastAsia="Arial" w:hAnsi="Arial"/>
          <w:sz w:val="18"/>
          <w:szCs w:val="18"/>
          <w:color w:val="auto"/>
        </w:rPr>
        <w:t>” means GCA Holding Corp., a Delaware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GCA Acquisition</w:t>
      </w:r>
      <w:r>
        <w:rPr>
          <w:rFonts w:ascii="Arial" w:cs="Arial" w:eastAsia="Arial" w:hAnsi="Arial"/>
          <w:sz w:val="18"/>
          <w:szCs w:val="18"/>
          <w:color w:val="auto"/>
        </w:rPr>
        <w:t>” means the acquisition of GCA by the Company pursuant to the GCA Acquisition Agreement.</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GCA Acquisition Agreement</w:t>
      </w:r>
      <w:r>
        <w:rPr>
          <w:rFonts w:ascii="Arial" w:cs="Arial" w:eastAsia="Arial" w:hAnsi="Arial"/>
          <w:sz w:val="16"/>
          <w:szCs w:val="16"/>
          <w:color w:val="auto"/>
        </w:rPr>
        <w:t>” means the Agreement and Plan of Merger, entered into as of July 11, 2017, by and among the Company, GCA, Grade Sub One, Inc., Grade Sub Two, LLC, Thomas H. Lee Equity Fund VII, L.P. and Broad Street Principal Investments Holdings, L.P.</w:t>
      </w:r>
    </w:p>
    <w:p>
      <w:pPr>
        <w:spacing w:after="0" w:line="1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GCA Refinancing</w:t>
      </w:r>
      <w:r>
        <w:rPr>
          <w:rFonts w:ascii="Arial" w:cs="Arial" w:eastAsia="Arial" w:hAnsi="Arial"/>
          <w:sz w:val="18"/>
          <w:szCs w:val="18"/>
          <w:color w:val="auto"/>
        </w:rPr>
        <w:t>” means (a) the payment in full of all indebtedness outstanding under the Existing GCA Credit Agreements, (b) all letters of credit issued under the Existing GCA Credit Agreements shall be terminated, cash collateralized or reevidenced as “Letters of Credit” hereunder issued on the Closing Date, (c) all commitments outstanding under the Existing GCA Credit Agreements shall be terminated and (d) all Liens securing obligations under the Existing GCA Credit Agreements shall be released.</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Governmental Authorities.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government,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pursuant to such terms or,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reasonably and in good faith by a Financial Officer of the Company)). The term “Guarantee” used as a verb has a corresponding meaning.</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Agreement dated as of the Closing Date among the Company, the Domestic Subsidiary Loan Parties and the Administrative Agent.</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petroleum or petroleum distillates, asbestos or asbestos containing materials, polychlorinated biphenyls, mercury, lime solids, radon gas and all other substances, wastes or other pollutants (including explosive, radioactive, hazardous or toxic substances or wastes) that are regulated pursuant to any Environmental Law due to their potential harmful or deleterious effects on human health or the environment.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xml:space="preserve">” means any agreement with respect to any swap, forward, future or derivative transaction, or any option or similar agreement, involving, or settled by reference to, one or more rates, currencies, commodities, equity or debt securities or instruments, or economic, financial or pricing indices or measures of economic, financial or pricing risk or value, or any similar transaction or any combination of the foregoing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any Subsidiary shall be a Hedging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Hedging Agreements.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Acquisition Term Facility</w:t>
      </w:r>
      <w:r>
        <w:rPr>
          <w:rFonts w:ascii="Arial" w:cs="Arial" w:eastAsia="Arial" w:hAnsi="Arial"/>
          <w:sz w:val="18"/>
          <w:szCs w:val="18"/>
          <w:color w:val="auto"/>
        </w:rPr>
        <w:t>” means Incremental Term Commitments designated as an “Incremental Acquisition Term Facility” by the Company, the Administrative Agent and the applicable Incremental Term Lenders in the applicable Incremental Facility Amendment, the making of which is conditioned upon the consummation of, and the proceeds of which will be used to finance, a Permitted Acquisition or other acquisition or Investment permitted hereunder (including the refinancing of Indebtedness in connection therewith (to the extent required in connection with such Permitted Acquisition, acquisition or Investment) and the payment of related fees and expenses).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means the Incremental Term Commitments and the Incremental Revolving Commitments.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6.01(h)</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means an amendment to this Agreement, in form and substance reasonably satisfactory to the Administrative Agent, among the Company, the Administrative Agent and one or more Incremental Lenders, establishing Incremental Commitments and effecting such other amendments hereto and to the other Loan Documents as are contemplated by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Junior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6.01(h)</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Lenders</w:t>
      </w:r>
      <w:r>
        <w:rPr>
          <w:rFonts w:ascii="Arial" w:cs="Arial" w:eastAsia="Arial" w:hAnsi="Arial"/>
          <w:sz w:val="18"/>
          <w:szCs w:val="18"/>
          <w:color w:val="auto"/>
        </w:rPr>
        <w:t>” means the Incremental Term Lenders and the Incremental Revolving Lenders.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Pari Passu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6.01(h)</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w:t>
      </w:r>
      <w:r>
        <w:rPr>
          <w:rFonts w:ascii="Arial" w:cs="Arial" w:eastAsia="Arial" w:hAnsi="Arial"/>
          <w:sz w:val="18"/>
          <w:szCs w:val="18"/>
          <w:color w:val="auto"/>
        </w:rPr>
        <w:t xml:space="preserve">” means, with respect to any Lender, the commitment, if any, of such Lender, established pursuant to an Incremental Facility Amendment and </w:t>
      </w:r>
      <w:r>
        <w:rPr>
          <w:rFonts w:ascii="Arial" w:cs="Arial" w:eastAsia="Arial" w:hAnsi="Arial"/>
          <w:sz w:val="18"/>
          <w:szCs w:val="18"/>
          <w:u w:val="single" w:color="auto"/>
          <w:color w:val="auto"/>
        </w:rPr>
        <w:t>Section 2.22</w:t>
      </w:r>
      <w:r>
        <w:rPr>
          <w:rFonts w:ascii="Arial" w:cs="Arial" w:eastAsia="Arial" w:hAnsi="Arial"/>
          <w:sz w:val="18"/>
          <w:szCs w:val="18"/>
          <w:color w:val="auto"/>
        </w:rPr>
        <w:t>, to make additional Revolving Commitments available hereunder, expressed as an amount representing the maximum principal amount of the Revolving Loans to be made by such Lender in respect thereof.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Lender</w:t>
      </w:r>
      <w:r>
        <w:rPr>
          <w:rFonts w:ascii="Arial" w:cs="Arial" w:eastAsia="Arial" w:hAnsi="Arial"/>
          <w:sz w:val="18"/>
          <w:szCs w:val="18"/>
          <w:color w:val="auto"/>
        </w:rPr>
        <w:t>” means a Lender providing Incremental Revolving Commitments.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Commitment</w:t>
      </w:r>
      <w:r>
        <w:rPr>
          <w:rFonts w:ascii="Arial" w:cs="Arial" w:eastAsia="Arial" w:hAnsi="Arial"/>
          <w:sz w:val="18"/>
          <w:szCs w:val="18"/>
          <w:color w:val="auto"/>
        </w:rPr>
        <w:t xml:space="preserve">” means, with respect to any Lender, the commitment, if any, of such Lender, established pursuant to an Incremental Facility Amendment and </w:t>
      </w:r>
      <w:r>
        <w:rPr>
          <w:rFonts w:ascii="Arial" w:cs="Arial" w:eastAsia="Arial" w:hAnsi="Arial"/>
          <w:sz w:val="18"/>
          <w:szCs w:val="18"/>
          <w:u w:val="single" w:color="auto"/>
          <w:color w:val="auto"/>
        </w:rPr>
        <w:t>Section 2.22</w:t>
      </w:r>
      <w:r>
        <w:rPr>
          <w:rFonts w:ascii="Arial" w:cs="Arial" w:eastAsia="Arial" w:hAnsi="Arial"/>
          <w:sz w:val="18"/>
          <w:szCs w:val="18"/>
          <w:color w:val="auto"/>
        </w:rPr>
        <w:t>, to make Incremental Term Loans of any Series hereunder, expressed as an amount representing the maximum principal amount of the Incremental Term Loans of such Series to be made by such Lender.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means an incremental facility established hereunder pursuant to an Incremental Facility Amendment providing for Incremental Term Commitments.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means a Lender with an Incremental Term Commitment or an outstanding Incremental Term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means a Loan made by an Incremental Term Lender to a Borrower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Maturity Date</w:t>
      </w:r>
      <w:r>
        <w:rPr>
          <w:rFonts w:ascii="Arial" w:cs="Arial" w:eastAsia="Arial" w:hAnsi="Arial"/>
          <w:sz w:val="18"/>
          <w:szCs w:val="18"/>
          <w:color w:val="auto"/>
        </w:rPr>
        <w:t>” means, with respect to Incremental Term Loans of any Series, the scheduled date on which such Incremental Term Loans shall become due and payable in full hereunder, as specified in the applicable Incremental Facility Amendment.</w:t>
      </w:r>
    </w:p>
    <w:p>
      <w:pPr>
        <w:spacing w:after="0" w:line="17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for the avoidance of doubt, trade accounts payable incurred in the ordinary course of business), (d) all obligations of such Person in respect of the deferred purchase price of property or services (excluding trade accounts payable, deferred compensation arrangements for employees, directors and officers and other accrued obligations, in each case in the ordinary course of business), (e) all Capital Lease Obligations of such Person, (f) the maximum aggregate amount that would be available for drawing under all letters of credit issued for the account of such Person, together without duplication, the amount of all honored but unpaid drawings and/or unreimbursed payments thereunder and all obligations, contingent or otherwise, of such Person as an account party in respect of letters of guaranty, (g) all obligations, contingent or otherwise, of such Person in respect of bankers’ acceptances, (h) all Disqualified Equity Interests in such Person, valued, as of the date of determination, at the greater of (x) the maximum aggregate amount that would be payable upon maturity, redemption, repayment or repurchase thereof (or of Disqualified Equity Interests or Indebtedness into which such Disqualified Equity Interests are convertible or exchangeable) and (y) the maximum liquidation preference of such Disqualified Equity Interests, (i)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and</w:t>
      </w:r>
    </w:p>
    <w:p>
      <w:pPr>
        <w:spacing w:after="0" w:line="3" w:lineRule="exact"/>
        <w:rPr>
          <w:sz w:val="20"/>
          <w:szCs w:val="20"/>
          <w:color w:val="auto"/>
        </w:rPr>
      </w:pPr>
    </w:p>
    <w:p>
      <w:pPr>
        <w:jc w:val="both"/>
        <w:ind w:firstLine="8"/>
        <w:spacing w:after="0" w:line="286" w:lineRule="auto"/>
        <w:tabs>
          <w:tab w:leader="none" w:pos="216"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all Guarantees by such Person of Indebtedness of others.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expressly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more than 90 days overdue and such amount would otherwise be required to be reflected on a balance sheet prepared in accordance with GAAP; (ii) current accounts payable incurred in the ordinary course of business; (iii) obligations in respect of non-competes and similar agreements; (iv) Hedging Obligations; (v) obligations in respect of Cash Management Services; and (vi) licenses and operating leases. The amount of Indebtedness of any Person for purposes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(unless such Indebtedness has been assumed by such Person or such Person has otherwise become liable for the payment thereof) be deemed to be equal to the lesser of (x) the aggregate unpaid amount of such Indebtedness and (y) the fair market value of the property encumbered thereby as determined by such Person in good faith.</w:t>
      </w:r>
    </w:p>
    <w:p>
      <w:pPr>
        <w:spacing w:after="0" w:line="16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Facility</w:t>
      </w:r>
      <w:r>
        <w:rPr>
          <w:rFonts w:ascii="Arial" w:cs="Arial" w:eastAsia="Arial" w:hAnsi="Arial"/>
          <w:sz w:val="18"/>
          <w:szCs w:val="18"/>
          <w:color w:val="auto"/>
        </w:rPr>
        <w:t xml:space="preserve">” means the term loan facility established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means, with respect to each Lender, the commitment, if any, of such Lender to make an Initial Term Loan on the Closing Date, expressed as an amount representing the maximum principal amount of the Initial Term Loan to be made by such Lender, as such commitment may be (a) 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(b) 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Initial Term Loan Commitment is set forth in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in the Assignment and Assumption pursuant to which such Lender shall have assumed its Initial Term Loan Commitment, as applicable. The initial aggregate amount of the Lenders’ Initial Term Loan Commitments is $800,000,000.</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Initiative</w:t>
      </w:r>
      <w:r>
        <w:rPr>
          <w:rFonts w:ascii="Arial" w:cs="Arial" w:eastAsia="Arial" w:hAnsi="Arial"/>
          <w:sz w:val="18"/>
          <w:szCs w:val="18"/>
          <w:color w:val="auto"/>
        </w:rPr>
        <w:t>” means any Specified Transaction, restructuring, business optimization activity, cost savings initiative or other similar initiative (including restructuring charges and any charges and expenses incurred in connection with Capital Expenditures for future expansion and business optimization projects).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Collateral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an intercompany note among the Loan Parties and the Subsidiaries party thereto,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means (a) in respect of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Company, and (b) in respect of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Company (including a customary standstill provision and a customary waiver by the junior priority creditors of any right to object to the manner in which the Administrative Agent or the Secured Parties enforce or collect the Obligations or the liens granted on any of the Collateral).</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applicable Borrower to convert or continue a Borrowing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w:t>
      </w:r>
      <w:r>
        <w:rPr>
          <w:rFonts w:ascii="Arial" w:cs="Arial" w:eastAsia="Arial" w:hAnsi="Arial"/>
          <w:sz w:val="18"/>
          <w:szCs w:val="18"/>
          <w:color w:val="auto"/>
        </w:rPr>
        <w:t xml:space="preserve">, which shall be, in the case of any such written request,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approved by the Administrative Agent (including any form on an electronic platform or electronic transmission system as shall be approved by the Administrative Agent), appropriately completed and signed by an Authorized Officer of a Borrower).</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Loan other than a Base Rate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Swingline Loan), the last Business Day of each March, June, September and December and the Maturity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7" w:name="page68"/>
    <w:bookmarkEnd w:id="67"/>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means as to each Eurocurrency Rate Loan, the period commencing on the date such Eurocurrency Rate Loan is disbursed or converted to or continued as a Eurocurrency Rate Loan and ending on the date one week or one, two, three or six months thereafter (in each case, subject to availability for the interest rate applicable the relevant currency), as selected by the applicable Borrower in its Borrowing Request, or such other period that is twelve months or less requested by the applicable Borrower and consented to by all the Lenders; provided that:</w:t>
      </w:r>
    </w:p>
    <w:p>
      <w:pPr>
        <w:spacing w:after="0" w:line="171" w:lineRule="exact"/>
        <w:rPr>
          <w:sz w:val="20"/>
          <w:szCs w:val="20"/>
          <w:color w:val="auto"/>
        </w:rPr>
      </w:pPr>
    </w:p>
    <w:p>
      <w:pPr>
        <w:ind w:left="660" w:right="80" w:hanging="4"/>
        <w:spacing w:after="0" w:line="342" w:lineRule="auto"/>
        <w:tabs>
          <w:tab w:leader="none" w:pos="137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jc w:val="both"/>
        <w:ind w:left="660" w:right="60" w:hanging="4"/>
        <w:spacing w:after="0" w:line="264" w:lineRule="auto"/>
        <w:tabs>
          <w:tab w:leader="none" w:pos="13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Interest Period (other than an Interest Period with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an Interest Period with a duration of one week may only be selected by the applicable Borrower for Eurocurrency Rate Loans under the Revolving Facilities.</w:t>
      </w:r>
    </w:p>
    <w:p>
      <w:pPr>
        <w:spacing w:after="0" w:line="170"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with respect to a specified Person, (a) any purchase of Equity Interests, bonds, notes, debentures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of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minus any payments actually received in cash, or other property that has been converted into cash or is readily marketable for cash, by such specified Person representing a return of capital of such Investment, but without any adjustment for increases or decreases in value of, or write-ups, write-downs or write-offs with respect to, such Investment after the date of such transfer, (iv) any Investment (other than any Investment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 connection therewith), plus the cost of all additions, as of such date, thereto, and minus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 of the Company. Any basket in this Agreement used to make an Investment by any Loan Party on or after the Closing Date in any Person that is not a Loan Party on the date such Investment is made but subsequently becomes a Loan Party in accordance with the terms of this Agreement shall be refreshed by the amount of the Investment so made on the date such Person so becomes a Loan Party.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U.S. Investment Company Act of 1940,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Security Agreement</w:t>
      </w:r>
      <w:r>
        <w:rPr>
          <w:rFonts w:ascii="Arial" w:cs="Arial" w:eastAsia="Arial" w:hAnsi="Arial"/>
          <w:sz w:val="18"/>
          <w:szCs w:val="18"/>
          <w:color w:val="auto"/>
        </w:rPr>
        <w:t>” has the meaning set forth in the Collateral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Application, and any other document, agreement and instrument entered into by the relevant Issuing Lender and the Company (or any Subsidiary) or in favor of the relevant Issuing Lender and relating to such Letter of Credit.</w:t>
      </w:r>
    </w:p>
    <w:p>
      <w:pPr>
        <w:spacing w:after="0" w:line="12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Lender</w:t>
      </w:r>
      <w:r>
        <w:rPr>
          <w:rFonts w:ascii="Arial" w:cs="Arial" w:eastAsia="Arial" w:hAnsi="Arial"/>
          <w:sz w:val="17"/>
          <w:szCs w:val="17"/>
          <w:color w:val="auto"/>
        </w:rPr>
        <w:t>” means each of Bank of America (through itself or through one of its branch offices or Affiliates) and any other Dollar Tranche Revolving Lender (through itself or through one of its branch offices or Affiliates) approved by the Administrative Agent and the Company that has agreed in its sole discretion to act as an “Issuing Lender” hereunder pursuant to an Notice of Additional Issuing Lender executed by the Company, the Administrative Agent and such Dollar Tranche Revolving Lender, in each case in its capacity as issuer of any Letter of Credit.</w:t>
      </w:r>
    </w:p>
    <w:p>
      <w:pPr>
        <w:spacing w:after="0" w:line="1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w:t>
      </w:r>
      <w:r>
        <w:rPr>
          <w:rFonts w:ascii="Arial" w:cs="Arial" w:eastAsia="Arial" w:hAnsi="Arial"/>
          <w:sz w:val="18"/>
          <w:szCs w:val="18"/>
          <w:color w:val="auto"/>
        </w:rPr>
        <w:t>” each of JPMorgan Chase Bank, N.A. and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in its capacity as a joint bookrunner for the Facilities.</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w:t>
      </w:r>
      <w:r>
        <w:rPr>
          <w:rFonts w:ascii="Arial" w:cs="Arial" w:eastAsia="Arial" w:hAnsi="Arial"/>
          <w:sz w:val="18"/>
          <w:szCs w:val="18"/>
          <w:color w:val="auto"/>
        </w:rPr>
        <w:t>” each of JPMorgan Chase Bank, N.A.,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PNC Capital Markets LLC, The Bank of Tokyo-Mitsubishi UFJ, Ltd., U.S. Bank National Association and Wells Fargo Securities, LLC in its capacity as a joint lead arranger for the Facilities.</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partnership, limited liability company, joint venture or other similar legal arrangement (whether created by contract or conducted through a separate legal entity) now or hereafter formed by the Company or any of its Subsidiaries with another Person in order to conduct a common venture or enterprise with such Person.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9.18(b)</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means an amount equal to the lesser of the aggregate Dollar Tranche Revolving Commitments and $300,000,000. The L/C Commitment is part of, and not in addition to, the Dollar Tranche Revolving Commitments.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xml:space="preserve">” means, at any time, the total L/C Obligations. The L/C Exposure of any Dollar Tranche Revolving Lender at any time shall be its Dollar Tranche Applicable Percentage of the total L/C Exposure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when a Defaulting Lender that is also a Dollar Tranche Lender shall exist, the L/C Exposure of any Dollar Tranche Revolving Lender shall be adjusted to give effect to any reallocation effected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at any time, an amount equal to the sum of (a) the aggregate then undrawn and unexpired amount of the then outstanding Letters of Credit and (b) the aggregate amount of drawings under Letters of Credit that have not then been reimbursed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2.06(e)</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Participants</w:t>
      </w:r>
      <w:r>
        <w:rPr>
          <w:rFonts w:ascii="Arial" w:cs="Arial" w:eastAsia="Arial" w:hAnsi="Arial"/>
          <w:sz w:val="16"/>
          <w:szCs w:val="16"/>
          <w:color w:val="auto"/>
        </w:rPr>
        <w:t>” means, the collective reference to all the Dollar Tranche Revolving Lenders other than the applicable Issuing Lender.</w:t>
      </w:r>
    </w:p>
    <w:p>
      <w:pPr>
        <w:spacing w:after="0" w:line="24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Date applicable to any Loan or Commitment hereunder at such time, including in respect of any Incremental Term Facility and including any Maturity Date that has been extended from time to time in accordance with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in respect of which such Lender is a Subsidiary.</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in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and any other Person that shall have become a party hereto pursuant to an Assignment and Assumption, an Incremental Facility Amendment or a Refinancing Facility Agreement, other than any such Person that shall have ceased to be a party hereto pursuant to an Assignment and Assumption. Unless the context otherwise requires, the term “Lenders” includes the Swingline Lender. The term “Lender” shall include any Designated Lender.</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five days prior to the Revolving Termination Date then in effect (or, if such day is not a Business Day, the next preceding Business Day).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Report</w:t>
      </w:r>
      <w:r>
        <w:rPr>
          <w:rFonts w:ascii="Arial" w:cs="Arial" w:eastAsia="Arial" w:hAnsi="Arial"/>
          <w:sz w:val="17"/>
          <w:szCs w:val="17"/>
          <w:color w:val="auto"/>
        </w:rPr>
        <w:t>” means a certificate substantially in the form of Exhibit N or any other form approved by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Quoted Currency</w:t>
      </w:r>
      <w:r>
        <w:rPr>
          <w:rFonts w:ascii="Arial" w:cs="Arial" w:eastAsia="Arial" w:hAnsi="Arial"/>
          <w:sz w:val="18"/>
          <w:szCs w:val="18"/>
          <w:color w:val="auto"/>
        </w:rPr>
        <w:t>” means each of the following currencies: Dollars; Euro and Sterling; in each case as long as there is a published LIBOR rate with respect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charge, assignment by way of pledge, security interest or other encumbrance on, in or of such asset, including any agreement to provide any of the foregoing,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means any acquisition by the Company or one or more of its Subsidiaries permitted pursuant to this Agreement whose consummation is not conditioned on the availability of, or on obtaining, third-party financing and which is designated as a Limited Condition Acquisition by the Company or such Subsidiary in writing to the Administrative Agent.</w:t>
      </w:r>
    </w:p>
    <w:p>
      <w:pPr>
        <w:spacing w:after="0" w:line="18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 Obligations</w:t>
      </w:r>
      <w:r>
        <w:rPr>
          <w:rFonts w:ascii="Arial" w:cs="Arial" w:eastAsia="Arial" w:hAnsi="Arial"/>
          <w:sz w:val="16"/>
          <w:szCs w:val="16"/>
          <w:color w:val="auto"/>
        </w:rPr>
        <w:t>” means (a) the due and punctual payment by the Borrowers of (i) the principal of and interest (including interest accruing during the pendency of any bankruptcy, insolvency, receivership or other similar proceeding, regardless of whether allowed or allowable in such proceeding) on the Loans and Reimbursement Obligations, when and as due, whether at maturity, by acceleration, upon one or more dates set for prepayment or otherwise and (ii) all other monetary obligations of the Borrowers under this Agreement and each of the other Loan Documents, including obligations to pay fees, expense reimbursement obligations (including with respect to attorneys’ fees)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performance of all other obligations of the Borrowers under or pursuant to this Agreement and each of the other Loan Documents and (c) the due and punctual payment and performance of all the obligations of each other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6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xml:space="preserve">” means this Agreement, each Designated Borrower Request and Assumption Agreement, the Guarantee Agreement, any Incremental Facility Amendment, any Refinancing Facility Agreement, any Intercreditor Agreement, any Loan Modification Agreement, the Collateral Agreements, the other Security Documents, and, except for purposes of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any promissory notes delivered pursuant to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(and, in each case, any amendment, restatement, waiver, supplement or other modification to any of the foregoing).</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Agreement</w:t>
      </w:r>
      <w:r>
        <w:rPr>
          <w:rFonts w:ascii="Arial" w:cs="Arial" w:eastAsia="Arial" w:hAnsi="Arial"/>
          <w:sz w:val="18"/>
          <w:szCs w:val="18"/>
          <w:color w:val="auto"/>
        </w:rPr>
        <w:t xml:space="preserve">” means a Loan Modification Agreement, in form and substance reasonably satisfactory to the Administrative Agent and the Company, among the Borrowers and the Administrative Agent and one or more Accepting Lenders, effecting one or more Permitted Amendments and such other amendments hereto and to the other Loan Documents as are contemplated by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Borrowers and each Subsidiary that is a party to the Guarantee Agreement.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Borrowers pursuant to this Agreement, including pursuant to any Incremental Facility Amendment or any Refinancing Facility Agreement.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in Interest</w:t>
      </w:r>
      <w:r>
        <w:rPr>
          <w:rFonts w:ascii="Arial" w:cs="Arial" w:eastAsia="Arial" w:hAnsi="Arial"/>
          <w:sz w:val="17"/>
          <w:szCs w:val="17"/>
          <w:color w:val="auto"/>
        </w:rPr>
        <w:t xml:space="preserve">”, when used in reference to Lenders of any Class, means, at any time, Lenders other than Defaulting Lenders holding outstanding Loans of such Class (or, in respect of any Class of revolving commitments, Commitments of such Class) representing more than 50% of the aggregate principal amount of all Loans (or the aggregate amount of Commitments) of such Class outstanding at such time (other than (i) Loans or Commitments of Defaulting Lenders and (ii) in respect of </w:t>
      </w:r>
      <w:r>
        <w:rPr>
          <w:rFonts w:ascii="Arial" w:cs="Arial" w:eastAsia="Arial" w:hAnsi="Arial"/>
          <w:sz w:val="17"/>
          <w:szCs w:val="17"/>
          <w:u w:val="single" w:color="auto"/>
          <w:color w:val="auto"/>
        </w:rPr>
        <w:t>Section 2.08(d)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2.15</w:t>
      </w:r>
      <w:r>
        <w:rPr>
          <w:rFonts w:ascii="Arial" w:cs="Arial" w:eastAsia="Arial" w:hAnsi="Arial"/>
          <w:sz w:val="17"/>
          <w:szCs w:val="17"/>
          <w:color w:val="auto"/>
        </w:rPr>
        <w:t>, Loans or Commitments of Defaulting Lenders).</w:t>
      </w:r>
    </w:p>
    <w:p>
      <w:pPr>
        <w:spacing w:after="0" w:line="347"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 event or condition that has resulted, or could reasonably be expected to result, in a material adverse effect on (a) the business, assets, operations or financial condition of the Company and the Subsidiaries, in each case, taken as a whole, (b) the ability of the Loan Parties, taken as a whole, to perform their payment obligations under the Loan Documents or (c) the rights and remedies of the Administrative Agent and the Lenders under the Loan Documents.</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Indebtedness (other than the Loans and Guarantees under the Loan Documents) or Hedging Obligations of any one or more of the Company and the Subsidiaries in an aggregate principal amount of $50,000,000 or more. For purposes of determining Material Indebtedness, the “principal amount” of any Hedging Obligation at any time shall be the maximum aggregate amount (giving effect to any netting agreements) that the Company or such Subsidiary would be required to pay if the applicable Hedging Agreement were terminated at such time.</w:t>
      </w:r>
    </w:p>
    <w:p>
      <w:pPr>
        <w:spacing w:after="0" w:line="15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any and all parcels of real property owned in fee by any Loan Party located in the United States, other than any Excluded Asset.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Term Maturity Date, the Incremental Term Maturity Date with respect to Incremental Term Loans of any Series, the Revolving Termination Date or any extended maturity date with respect to all or a portion of any Class of Loans or Commitments hereunder pursuant to a Refinancing Facility Agreement or a Loan Modification Agreement, as the context requires.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Incremental Amount</w:t>
      </w:r>
      <w:r>
        <w:rPr>
          <w:rFonts w:ascii="Arial" w:cs="Arial" w:eastAsia="Arial" w:hAnsi="Arial"/>
          <w:sz w:val="18"/>
          <w:szCs w:val="18"/>
          <w:color w:val="auto"/>
        </w:rPr>
        <w:t xml:space="preserve">” means an amount represented by Incremental Commitments to be incurred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that would not, immediately after giving effect to the incurrence thereof (excluding from such pro forma calculation the Net Proceeds of any Loans made in respect thereof and assuming that the full amount of such Incremental Commitments is drawn), cause the Total Leverage Ratio, calculated on a Pro Forma Basis as of the date of incurrence of such Indebtedness, to exceed 2.50 to 1.00.</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an amount equal to 105% of the Fronting Exposure of the Issuing Lender with respect to Letters of Credit issued by it and outstanding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MNPI</w:t>
      </w:r>
      <w:r>
        <w:rPr>
          <w:rFonts w:ascii="Arial" w:cs="Arial" w:eastAsia="Arial" w:hAnsi="Arial"/>
          <w:sz w:val="18"/>
          <w:szCs w:val="18"/>
          <w:color w:val="auto"/>
        </w:rPr>
        <w:t>” means material information concerning the Company, GCA, any Subsidiary or any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Company, GCA, any Subsidiary or any Affiliate of any of the foregoing, or any of their securities, that could reasonably be expected to be material for purposes of the United States Federal and State securities laws.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means a mortgage, deed of trust, deed to secure debt, trust deed or other similar security document granting a Lien on any Mortgaged Property to secure the Obligations. Each Mortgage shall be in form and substance reasonably satisfactory to the Administrative Agent.</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means collectively, any and all parcels of or interests in real property owned in fee by any Loan Party and covered by a Mortgage delivered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(subject to the limitations in the definition of the term “Collateral and Guarantee Requirement”), together with, in each case, all easements, hereditaments and appurtenances relating thereto, all improvements and appurtenant fixtures and equipment, all general intangibles and contract rights and other property and rights incidental to the ownership thereof. For the avoidance of doubt, no Excluded Asset shall be Mortgaged Property.</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Tranche Applicable Percentage</w:t>
      </w:r>
      <w:r>
        <w:rPr>
          <w:rFonts w:ascii="Arial" w:cs="Arial" w:eastAsia="Arial" w:hAnsi="Arial"/>
          <w:sz w:val="18"/>
          <w:szCs w:val="18"/>
          <w:color w:val="auto"/>
        </w:rPr>
        <w:t xml:space="preserve">” means, with respect to each Lender, the percentage (carried out to the ninth decimal place) of the aggregate Multicurrency Tranche Revolving Commitments represented by such Lender’s Multicurrency Tranche Revolving Commitment at such time. If the commitment of each Lender to make Multicurrency Tranche Revolving Loans has been terminated or if the Multicurrency Tranche Revolving Commitments have expired, then the Multicurrency Tranche Applicable Percentage of each Lender with respect to Revolving Credit Extensions shall be determined based on the Multicurrency Tranche Applicable Percentage of such Lender most recently in effect, giving effect to any subsequent assignments. The initial Multicurrency Tranche Applicable Percentage of each Lender is set forth opposite the name of such Lender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in the Assignment and Assumption pursuant to which such Lender becomes a party hereto, as applicable. Notwithstanding the foregoing, when a Defaulting Lender shall exist, in the case of </w:t>
      </w:r>
      <w:r>
        <w:rPr>
          <w:rFonts w:ascii="Arial" w:cs="Arial" w:eastAsia="Arial" w:hAnsi="Arial"/>
          <w:sz w:val="18"/>
          <w:szCs w:val="18"/>
          <w:u w:val="single" w:color="auto"/>
          <w:color w:val="auto"/>
        </w:rPr>
        <w:t>Section 2.21</w:t>
      </w:r>
      <w:r>
        <w:rPr>
          <w:rFonts w:ascii="Arial" w:cs="Arial" w:eastAsia="Arial" w:hAnsi="Arial"/>
          <w:sz w:val="18"/>
          <w:szCs w:val="18"/>
          <w:color w:val="auto"/>
        </w:rPr>
        <w:t>, Multicurrency Tranche Applicable Percentages shall be determined without regard to any Defaulting Lender’s Multicurrency Tranche Revolving Commitment.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Tranche Revolving Borrowing</w:t>
      </w:r>
      <w:r>
        <w:rPr>
          <w:rFonts w:ascii="Arial" w:cs="Arial" w:eastAsia="Arial" w:hAnsi="Arial"/>
          <w:sz w:val="18"/>
          <w:szCs w:val="18"/>
          <w:color w:val="auto"/>
        </w:rPr>
        <w:t>” means a Borrowing comprised of Multicurrency Tranche Revolving Loans.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Tranche Revolving Commitment</w:t>
      </w:r>
      <w:r>
        <w:rPr>
          <w:rFonts w:ascii="Arial" w:cs="Arial" w:eastAsia="Arial" w:hAnsi="Arial"/>
          <w:sz w:val="18"/>
          <w:szCs w:val="18"/>
          <w:color w:val="auto"/>
        </w:rPr>
        <w:t xml:space="preserve">” means, with respect to each Lender, the obligation of such Lender, if any, to make Multicurrency Tranche Revolving Loans, as such commitment may be 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or 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Multicurrency Tranche Revolving Commitment is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in the Assignment and Assumption pursuant to which such Lender shall have assumed its Multicurrency Tranche Revolving Commitment, as applicable. The initial aggregate amount of the Lenders’ Multicurrency Tranche Revolving Commitments is $200,000,000.</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Tranche Revolving Credit Exposure</w:t>
      </w:r>
      <w:r>
        <w:rPr>
          <w:rFonts w:ascii="Arial" w:cs="Arial" w:eastAsia="Arial" w:hAnsi="Arial"/>
          <w:sz w:val="18"/>
          <w:szCs w:val="18"/>
          <w:color w:val="auto"/>
        </w:rPr>
        <w:t>” means, as to any Multicurrency Tranche Revolving Lender at any time, the aggregate Revolving Outstanding Amount at such time of its Multicurrency Tranche Revolving Loans.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Tranche Revolving Facility</w:t>
      </w:r>
      <w:r>
        <w:rPr>
          <w:rFonts w:ascii="Arial" w:cs="Arial" w:eastAsia="Arial" w:hAnsi="Arial"/>
          <w:sz w:val="16"/>
          <w:szCs w:val="16"/>
          <w:color w:val="auto"/>
        </w:rPr>
        <w:t>” means the Multicurrency Tranche Revolving Commitments and the extensions of credit made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Tranche Revolving Lender</w:t>
      </w:r>
      <w:r>
        <w:rPr>
          <w:rFonts w:ascii="Arial" w:cs="Arial" w:eastAsia="Arial" w:hAnsi="Arial"/>
          <w:sz w:val="18"/>
          <w:szCs w:val="18"/>
          <w:color w:val="auto"/>
        </w:rPr>
        <w:t>” means each Lender that has a Multicurrency Tranche Revolving Commitment or that holds Multicurrency Tranche Revolving Loans.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Tranche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3(37) or Section 4001(a)(3) of ERISA.</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cash proceeds (including, in the case of any casualty, condemnation or similar proceeding, insurance, condemnation or similar proceeds) received in respect of such event, including any cash received in respect of any noncash proceeds, but only as and when received, net of (b) the sum, without duplication, of (i) all fees and out-of-pocket expenses paid in connection with such event by the Company and the Subsidiaries, (ii) in the case of a Disposition (including pursuant to a Sale/Leaseback Transaction or a casualty or a condemnation or similar proceeding) of an asset, (A) the amount of all payments required to be made by the Company and the Subsidiaries as a result of such event to repay Indebtedness (other than Loans, any Permitted First Priority Refinancing Indebtedness, any Permitted Second Priority Refinancing Indebtedness and any Permitted Unsecured Refinancing Indebtedness) secured by such asset, (B) the pro rata portion of net cash proceeds thereof (calculated without regard to this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attributable to minority interests and not available for distribution to or for the account of the Company and the Subsidiaries as a result thereof, and (C) the amount of any liabilities directly associated with such asset and retained by the Company or any Subsidiary and (iii) the amount of all taxes paid (or reasonably estimated to be payable) by the Company and the Subsidiaries (including any taxes paid or payable in connection with transferring or distributing any such amounts to the Company or any other Loan Party), and the amount of any reserves established by the Company and the Subsidiaries in accordance with GAAP to fund purchase price adjustment, indemnification and similar contingent liabilities (other than any earnout, holdback or similar obligations) reasonably estimated to be payable, that in each case are directly attributable to the occurrence of such event (as determined reasonably and in good faith by a Financial Officer of the Company). For purposes of this definition, in the event any taxes estimated to be payable with respect to any event as described in </w:t>
      </w:r>
      <w:r>
        <w:rPr>
          <w:rFonts w:ascii="Arial" w:cs="Arial" w:eastAsia="Arial" w:hAnsi="Arial"/>
          <w:sz w:val="16"/>
          <w:szCs w:val="16"/>
          <w:u w:val="single" w:color="auto"/>
          <w:color w:val="auto"/>
        </w:rPr>
        <w:t>clause (b)(iii)</w:t>
      </w:r>
      <w:r>
        <w:rPr>
          <w:rFonts w:ascii="Arial" w:cs="Arial" w:eastAsia="Arial" w:hAnsi="Arial"/>
          <w:sz w:val="16"/>
          <w:szCs w:val="16"/>
          <w:color w:val="auto"/>
        </w:rPr>
        <w:t xml:space="preserve"> above are determined by the Company or the applicable Subsidiary not to be payable or any contingent liability reserve established with respect to any event as described in </w:t>
      </w:r>
      <w:r>
        <w:rPr>
          <w:rFonts w:ascii="Arial" w:cs="Arial" w:eastAsia="Arial" w:hAnsi="Arial"/>
          <w:sz w:val="16"/>
          <w:szCs w:val="16"/>
          <w:u w:val="single" w:color="auto"/>
          <w:color w:val="auto"/>
        </w:rPr>
        <w:t>clause (b)(iii)</w:t>
      </w:r>
      <w:r>
        <w:rPr>
          <w:rFonts w:ascii="Arial" w:cs="Arial" w:eastAsia="Arial" w:hAnsi="Arial"/>
          <w:sz w:val="16"/>
          <w:szCs w:val="16"/>
          <w:color w:val="auto"/>
        </w:rPr>
        <w:t xml:space="preserve"> above shall be reduced, in an aggregate amount equal to or greater than $500,000, the amount of such estimated taxes not payable or reduction shall, except to the extent such reduction is made as a result of a payment having been made in respect of the contingent liabilities with respect to which such reserve has been established, be deemed to be receipt, on the date of such determination or reduction, of cash proceeds in respect of such event.</w:t>
      </w:r>
    </w:p>
    <w:p>
      <w:pPr>
        <w:spacing w:after="0" w:line="38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Non-Cash Charges</w:t>
      </w:r>
      <w:r>
        <w:rPr>
          <w:rFonts w:ascii="Arial" w:cs="Arial" w:eastAsia="Arial" w:hAnsi="Arial"/>
          <w:sz w:val="16"/>
          <w:szCs w:val="16"/>
          <w:color w:val="auto"/>
        </w:rPr>
        <w:t xml:space="preserve">” means any non-cash charges, including (a) any write-off for impairment of long lived assets (including goodwill, intangible assets and fixed assets such as property, plant and equipment), or of deferred financing fees or investments in debt and equity securities, in each case, pursuant to GAAP, (b) non-cash expenses resulting from the grant of stock options, restricted stock awards or other equity-based incentives to any director, officer or employee of the Company or any Subsidiary (excluding, for the avoidance of doubt, any cash payments of income taxes made for the benefit of any such Person in consideration of the surrender of any portion of such options, stock or other incentives upon the exercise or vesting thereof), (c) any non-cash charges resulting from (i) the application of purchase accounting or (ii) investments in minority interests in a Person, to the extent that such investments are subject to the equity method of accounting;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Non-Cash Charges shall not include additions to bad debt reserves or bad debt expense and any noncash charge that results from the write-down or write-off of accounts receivable, (d) the non-cash impact of accounting changes or restatements, (e) non-cash charges and expenses resulting from pension adjustments and (f) any non-cash expenses and costs that result from the issuance of stock-based awards, partnership interest-based awards and similar incentive based compensation awards or arrangements.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Non-LIBOR Quoted Currency</w:t>
      </w:r>
      <w:r>
        <w:rPr>
          <w:rFonts w:ascii="Arial" w:cs="Arial" w:eastAsia="Arial" w:hAnsi="Arial"/>
          <w:sz w:val="18"/>
          <w:szCs w:val="18"/>
          <w:color w:val="auto"/>
        </w:rPr>
        <w:t>” means any currency other than a LIBOR Quoted Currency.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xml:space="preserve">” means a notice of prepayment with respect to a Loan, which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(a) the Loan Document Obligations, (b) the Secured Cash Management Obligations and (c) the Secured Hedging Obligations.</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Commitments hereunder or extended Revolving Commitments that result from a Refinancing Facility Agreement.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w:t>
      </w:r>
    </w:p>
    <w:p>
      <w:pPr>
        <w:spacing w:after="0" w:line="46" w:lineRule="exact"/>
        <w:rPr>
          <w:sz w:val="20"/>
          <w:szCs w:val="20"/>
          <w:color w:val="auto"/>
        </w:rPr>
      </w:pPr>
    </w:p>
    <w:p>
      <w:pPr>
        <w:jc w:val="both"/>
        <w:ind w:firstLine="8"/>
        <w:spacing w:after="0" w:line="302" w:lineRule="auto"/>
        <w:tabs>
          <w:tab w:leader="none" w:pos="27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overnight rate determined by the Administrative Agent, the Issuing Lenders, or the Swingline Lender, as the case may be, in accordance with banking industry rules on interbank compensation, and (b) with respect to any amount denominated in an Alternative Currency, an overnight rate determined by the Administrative Agent or the applicable Issuing Lender, as the case may be, in accordance with banking industry rules on interbank compensation.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referred to and defined in ERISA or any successor entity performing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Perfection Certificate</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or any other form approved by the Administrative Agent.</w:t>
      </w:r>
    </w:p>
    <w:p>
      <w:pPr>
        <w:spacing w:after="0" w:line="24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xml:space="preserve">” means the purchase or other acquisition, by merger or otherwise, by the Company or any Subsidiary of substantially all the Equity Interests in, or all or substantially all the assets of (or all or substantially all the assets constituting a business unit, division, product line or line of business of),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(i) the business of such Person, or such assets, as the case may be, constitute a business permitted under </w:t>
      </w:r>
      <w:r>
        <w:rPr>
          <w:rFonts w:ascii="Arial" w:cs="Arial" w:eastAsia="Arial" w:hAnsi="Arial"/>
          <w:sz w:val="17"/>
          <w:szCs w:val="17"/>
          <w:u w:val="single" w:color="auto"/>
          <w:color w:val="auto"/>
        </w:rPr>
        <w:t>Section 6.03(b)</w:t>
      </w:r>
      <w:r>
        <w:rPr>
          <w:rFonts w:ascii="Arial" w:cs="Arial" w:eastAsia="Arial" w:hAnsi="Arial"/>
          <w:sz w:val="17"/>
          <w:szCs w:val="17"/>
          <w:color w:val="auto"/>
        </w:rPr>
        <w:t xml:space="preserve">, (ii) with respect to each such purchase or other acquisition, all actions required to be taken (if any) with respect to each newly created or acquired Subsidiary or assets in order to satisfy the requirements set forth in the definition of the term “Collateral and Guarantee Requirement” shall be taken within the required time periods for satisfaction of such requirements set forth therein, (iii) at the time of the entry into the definitive documentation with respect to such purchase or acquisition, no Event of Default shall have occurred and be continuing and on the effective date of such purchase or acquisition, no Event of Default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have occurred and is continuing, in each case, immediately after giving Pro Forma Effect to such purchase or other acquisition as if it were consummated on such date, including the incurrence of Indebtedness in connection therewith and (iv) at the time of the entry into the definitive documentation with respect to such purchase or acquisition, the Company and its Subsidiaries shall be in Pro Forma Compliance with the then-applicable financial covenant level set forth in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until the occurrence of a Collateral Release Event, the aggregate consideration paid by the Company or any of its Subsidiaries in respect of Permitted Acquisitions consisting of the purchase or other acquisition of Equity Interests in a Person that does not become a Loan Party or the purchase or other acquisition of assets by a Subsidiary that is not a Loan Party shall not exceed the greater of (i) $125,000,000 and (ii) 30% of Consolidated EBITDA computed on a Pro Forma Basis for the most recently ended Test Period as of the time of such acquisition. For the avoidance of doubt, the GCA Acquisition shall be deemed to be a Permitted Acquisition for all purposes under this Agreement.</w:t>
      </w:r>
    </w:p>
    <w:p>
      <w:pPr>
        <w:spacing w:after="0" w:line="18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Amendment</w:t>
      </w:r>
      <w:r>
        <w:rPr>
          <w:rFonts w:ascii="Arial" w:cs="Arial" w:eastAsia="Arial" w:hAnsi="Arial"/>
          <w:sz w:val="16"/>
          <w:szCs w:val="16"/>
          <w:color w:val="auto"/>
        </w:rPr>
        <w:t xml:space="preserve">” means an amendment to this Agreement and the other Loan Documents, effected in connection with a Loan Modification Offer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providing for an extension of the Maturity Date and/or amortization applicable to the Loans and/or Commitments of the Accepting Lenders of a relevant Class and, in connection therewith, may also provide for (a)(i) a change in the Applicable Rate with respect to the Loans and/or Commitments of the Accepting Lenders subject to such Permitted Amendment and/or (ii) a change in the fees payable to, or the inclusion of new fees to be payable to, the Accepting Lenders in respect of such Loans and/or Commitments, (b) in the case of Term Loans, changes to any prepayment premiums with respect to the applicable Loans and Commitments of a relevant Class, (c) such amendments to this Agreement and the other Loan Documents as shall be appropriate, in the reasonable judgment of the Administrative Agent, to provide the rights and benefits of this Agreement and other Loan Documents to each new “Class” of loans and/or commitments resulting therefrom and (d) additional amendments to the terms of this Agreement applicable only to the applicable Loans and/or Commitments of the Accepting Lenders that either are (i) less favorable to such Accepting Lenders than the terms of this Agreement prior to giving effect to such Permitted Amendments or (ii) only apply after the Latest Maturity Date in effect immediately prior to giving effect to such Permitted Amendments and, in each case, that are reasonably acceptable to the Administrative Agent.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Amount</w:t>
      </w:r>
      <w:r>
        <w:rPr>
          <w:rFonts w:ascii="Arial" w:cs="Arial" w:eastAsia="Arial" w:hAnsi="Arial"/>
          <w:sz w:val="17"/>
          <w:szCs w:val="17"/>
          <w:color w:val="auto"/>
        </w:rPr>
        <w:t xml:space="preserve">” means, as of any date, (a) the greater of (i) $75,000,000 and (ii) 25% of Consolidated EBITDA computed on a Pro Forma Basis for the most recently ended Test Period as of such date less (b) the sum of, without duplication, (i) the aggregate amount of Investments by Loan Parties in Subsidiaries (including Unrestricted Subsidiaries) that are not Loan Parties outstanding under </w:t>
      </w:r>
      <w:r>
        <w:rPr>
          <w:rFonts w:ascii="Arial" w:cs="Arial" w:eastAsia="Arial" w:hAnsi="Arial"/>
          <w:sz w:val="17"/>
          <w:szCs w:val="17"/>
          <w:u w:val="single" w:color="auto"/>
          <w:color w:val="auto"/>
        </w:rPr>
        <w:t>Section 6.04(d)</w:t>
      </w:r>
      <w:r>
        <w:rPr>
          <w:rFonts w:ascii="Arial" w:cs="Arial" w:eastAsia="Arial" w:hAnsi="Arial"/>
          <w:sz w:val="17"/>
          <w:szCs w:val="17"/>
          <w:color w:val="auto"/>
        </w:rPr>
        <w:t xml:space="preserve"> as of such date, (ii) the aggregate outstanding amount of loans or advances made by Loan Parties to Subsidiaries (including Unrestricted Subsidiaries) that are not Loan Parties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6.04(e)</w:t>
      </w:r>
      <w:r>
        <w:rPr>
          <w:rFonts w:ascii="Arial" w:cs="Arial" w:eastAsia="Arial" w:hAnsi="Arial"/>
          <w:sz w:val="17"/>
          <w:szCs w:val="17"/>
          <w:color w:val="auto"/>
        </w:rPr>
        <w:t xml:space="preserve"> as of such date, (iii) the aggregate outstanding amount of Indebtedness of Subsidiaries (including Unrestricted Subsidiaries) that are not Loan Parties guaranteed by Loan Parties under </w:t>
      </w:r>
      <w:r>
        <w:rPr>
          <w:rFonts w:ascii="Arial" w:cs="Arial" w:eastAsia="Arial" w:hAnsi="Arial"/>
          <w:sz w:val="17"/>
          <w:szCs w:val="17"/>
          <w:u w:val="single" w:color="auto"/>
          <w:color w:val="auto"/>
        </w:rPr>
        <w:t>Section 6.04(f)</w:t>
      </w:r>
      <w:r>
        <w:rPr>
          <w:rFonts w:ascii="Arial" w:cs="Arial" w:eastAsia="Arial" w:hAnsi="Arial"/>
          <w:sz w:val="17"/>
          <w:szCs w:val="17"/>
          <w:color w:val="auto"/>
        </w:rPr>
        <w:t xml:space="preserve"> as of such date and (iv) the aggregate amount of Dispositions by Loan Parties to Subsidiaries (including Unrestricted Subsidiaries) that are not Loan Parties under </w:t>
      </w:r>
      <w:r>
        <w:rPr>
          <w:rFonts w:ascii="Arial" w:cs="Arial" w:eastAsia="Arial" w:hAnsi="Arial"/>
          <w:sz w:val="17"/>
          <w:szCs w:val="17"/>
          <w:u w:val="single" w:color="auto"/>
          <w:color w:val="auto"/>
        </w:rPr>
        <w:t>Section 6.05(b)(ii)</w:t>
      </w:r>
      <w:r>
        <w:rPr>
          <w:rFonts w:ascii="Arial" w:cs="Arial" w:eastAsia="Arial" w:hAnsi="Arial"/>
          <w:sz w:val="17"/>
          <w:szCs w:val="17"/>
          <w:color w:val="auto"/>
        </w:rPr>
        <w:t xml:space="preserve"> as of such date.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1960" w:hanging="655"/>
        <w:spacing w:after="0"/>
        <w:tabs>
          <w:tab w:leader="none" w:pos="1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Liens imposed by law for Taxes that are not yet due or delinquent or are being contested in compliance with </w:t>
      </w:r>
      <w:r>
        <w:rPr>
          <w:rFonts w:ascii="Arial" w:cs="Arial" w:eastAsia="Arial" w:hAnsi="Arial"/>
          <w:sz w:val="17"/>
          <w:szCs w:val="17"/>
          <w:u w:val="single" w:color="auto"/>
          <w:color w:val="auto"/>
        </w:rPr>
        <w:t>Section 5.05</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1305"/>
        <w:spacing w:after="0" w:line="259" w:lineRule="auto"/>
        <w:tabs>
          <w:tab w:leader="none" w:pos="20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carriers’, warehousemen’s, mechanics’, materialmen’s, repairmen’s, landlords’ and other like Liens imposed by law (other than any Lien imposed pursuant to Section 430(k) of the Code or Section 303(k) of ERISA or a violation of Section 436 of the Code or any analogous laws), arising in the ordinary course of business that secure amounts not overdue for a period of more than 60 days or, if more than 60 days overdue, that are being contested in compliance with </w:t>
      </w:r>
      <w:r>
        <w:rPr>
          <w:rFonts w:ascii="Arial" w:cs="Arial" w:eastAsia="Arial" w:hAnsi="Arial"/>
          <w:sz w:val="18"/>
          <w:szCs w:val="18"/>
          <w:u w:val="single" w:color="auto"/>
          <w:color w:val="auto"/>
        </w:rPr>
        <w:t>Section 5.05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0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 Liens (including pledges and deposits) arising in the ordinary course of business in connection with worker’s compensation, unemployment insurance, old age pensions and social security benefits and similar statutory obligations and (ii) pledges and deposits in respect of letters of credit, bank guarantees or similar instruments issued for the account of the Company or any Subsidiary in the ordinary course of business supporting obligations of the type set forth in </w:t>
      </w:r>
      <w:r>
        <w:rPr>
          <w:rFonts w:ascii="Arial" w:cs="Arial" w:eastAsia="Arial" w:hAnsi="Arial"/>
          <w:sz w:val="18"/>
          <w:szCs w:val="18"/>
          <w:u w:val="single" w:color="auto"/>
          <w:color w:val="auto"/>
        </w:rPr>
        <w:t>clause (c)(i)</w:t>
      </w:r>
      <w:r>
        <w:rPr>
          <w:rFonts w:ascii="Arial" w:cs="Arial" w:eastAsia="Arial" w:hAnsi="Arial"/>
          <w:sz w:val="18"/>
          <w:szCs w:val="18"/>
          <w:color w:val="auto"/>
        </w:rPr>
        <w:t xml:space="preserve"> above;</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2008"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Liens (including pledges and deposits) made (i) to secure the performance of bids, trade and commercial contracts (other than for payment of Indebtedness), leases (other than Capital Lease Obligations), statutory obligations,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w:t>
      </w:r>
      <w:r>
        <w:rPr>
          <w:rFonts w:ascii="Arial" w:cs="Arial" w:eastAsia="Arial" w:hAnsi="Arial"/>
          <w:sz w:val="16"/>
          <w:szCs w:val="16"/>
          <w:u w:val="single" w:color="auto"/>
          <w:color w:val="auto"/>
        </w:rPr>
        <w:t>clause (d)(i)</w:t>
      </w:r>
      <w:r>
        <w:rPr>
          <w:rFonts w:ascii="Arial" w:cs="Arial" w:eastAsia="Arial" w:hAnsi="Arial"/>
          <w:sz w:val="16"/>
          <w:szCs w:val="16"/>
          <w:color w:val="auto"/>
        </w:rPr>
        <w:t xml:space="preserve"> above;</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encroachments, easements, zoning restrictions, rights-of-way and similar encumbrances on real property, and other minor title imperfections and defects with respect to real property, that in any case do not secure any monetary obligations and do not materially interfere with the use, occupancy or ordinary conduct of business of the Company or any Subsidiary at such real property;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Liens deemed to arise from repurchase agreements that constitute Permitted Investments;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firstLine="1305"/>
        <w:spacing w:after="0" w:line="259" w:lineRule="auto"/>
        <w:tabs>
          <w:tab w:leader="none" w:pos="20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Liens arising solely by virtue of any contractual, statutory or common law provisions, banker’s liens, rights of setoff or similar rights and remedies as to deposit accounts or other funds maintained with depository institutions and securities accounts and other financial assets maintained with a securities intermediary;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deposit accounts or funds and securities accounts or other financial assets are not established or deposited for the purpose of providing collateral for any Indebtedness;</w:t>
      </w:r>
    </w:p>
    <w:p>
      <w:pPr>
        <w:spacing w:after="0" w:line="186" w:lineRule="exact"/>
        <w:rPr>
          <w:rFonts w:ascii="Arial" w:cs="Arial" w:eastAsia="Arial" w:hAnsi="Arial"/>
          <w:sz w:val="18"/>
          <w:szCs w:val="18"/>
          <w:color w:val="auto"/>
        </w:rPr>
      </w:pPr>
    </w:p>
    <w:p>
      <w:pPr>
        <w:jc w:val="both"/>
        <w:ind w:right="80" w:firstLine="1305"/>
        <w:spacing w:after="0" w:line="264" w:lineRule="auto"/>
        <w:tabs>
          <w:tab w:leader="none" w:pos="21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arising by virtue of Uniform Commercial Code financing statement filings (or similar filings under applicable law) regarding operating leases or consignment of goods entered into by the Company and the Subsidiaries in the ordinary course of business or relating to the purchase of accounts receivables by a Captive Insurance Company;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(or the applicable corresponding section) of the Uniform Commercial Code in effect in the relevant jurisdiction covering only the items being collected upon (or similar provisions under applicable law);</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representing any interest or title of a licensor, lessor or sublicensor or sublessor, or a licensee, lessee or sublicensee or sublessee, in the personal property subject to any lease, license or sublicense or concession agreement, in each case which are entered into in the ordinary course of business;</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importation of goods;</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that are contractual rights of setoff;</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with respect to any Mortgaged Property, such exceptions appearing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the title insurance policies delivered to the Administrative Agent pursuant to the terms of this Agreement, all of which exceptions must be acceptable to the Administrative Agent in its reasonable judgment or expressly permitted pursuant to the terms of this Agreement;</w:t>
      </w:r>
    </w:p>
    <w:p>
      <w:pPr>
        <w:spacing w:after="0" w:line="181" w:lineRule="exact"/>
        <w:rPr>
          <w:rFonts w:ascii="Arial" w:cs="Arial" w:eastAsia="Arial" w:hAnsi="Arial"/>
          <w:sz w:val="18"/>
          <w:szCs w:val="18"/>
          <w:color w:val="auto"/>
        </w:rPr>
      </w:pPr>
    </w:p>
    <w:p>
      <w:pPr>
        <w:ind w:right="140" w:firstLine="1305"/>
        <w:spacing w:after="0" w:line="277" w:lineRule="auto"/>
        <w:tabs>
          <w:tab w:leader="none" w:pos="19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representing any interest or title of a lessor under any real property lease entered into by the Company or its Subsidiaries in the ordinary course of business or any Lien on such lessor’s interest;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customary rights of first refusal or first offer, and tag, drag and similar rights in joint venture agreements;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1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Liens arising from grants of non-exclusive licenses or non-exclusive sublicenses in Intellectual Property made in the ordinary course of business and that do not interfere in any material respect with the business of the Company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secure any Indebtedness; and</w:t>
      </w:r>
    </w:p>
    <w:p>
      <w:pPr>
        <w:spacing w:after="0" w:line="181" w:lineRule="exact"/>
        <w:rPr>
          <w:rFonts w:ascii="Arial" w:cs="Arial" w:eastAsia="Arial" w:hAnsi="Arial"/>
          <w:sz w:val="18"/>
          <w:szCs w:val="18"/>
          <w:color w:val="auto"/>
        </w:rPr>
      </w:pPr>
    </w:p>
    <w:p>
      <w:pPr>
        <w:ind w:right="20" w:firstLine="1305"/>
        <w:spacing w:after="0" w:line="277" w:lineRule="auto"/>
        <w:tabs>
          <w:tab w:leader="none" w:pos="20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any non-Domestic Subsidiary, other Liens and privileges arising mandatorily by any Requirements of Law in the ordinary course of business;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other than Liens referred to in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securing obligations under letters of credit, bank guarantees or similar instruments.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First Priority Refinancing Indebtedness</w:t>
      </w:r>
      <w:r>
        <w:rPr>
          <w:rFonts w:ascii="Arial" w:cs="Arial" w:eastAsia="Arial" w:hAnsi="Arial"/>
          <w:sz w:val="16"/>
          <w:szCs w:val="16"/>
          <w:color w:val="auto"/>
        </w:rPr>
        <w:t xml:space="preserve">” means Indebtedness of the Company or any other Loan Party in the form of bonds, debentures, notes or similar instruments (but not loans) (a) that is secured by Liens on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(but without regard to the control of remedies except to the extent set forth in the Incremental Facility Amendment) to the Liens on the Collateral securing the Obligations and any other Permitted First Priority Refinancing Indebtedness and is not secured by any property or assets of the Company or any of the Subsidiaries other than the Collateral (or property or assets that substantially concurrently become Collateral), (b) the proceeds of which, substantially concurrently with the incurrence thereof, are applied to the repayment or prepayment of then outstanding Term Loan Borrowings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such Permitted First Priority Refinancing Indebtedness shall not exceed the amount of the Term Loan Borrowings so refinanced (plus the aggregate amount of accrued and unpaid interest with respect to such outstanding Term Loan Borrowings, fees, expenses, commissions, underwriting discounts and premiums payable in connection therewith), (c) that does not mature earlier than the Maturity Date of the Class of Term Loans so refinanced, and has a weighted average life to maturity no shorter than the Class of Term Loans so refinanced, (d) that, as determined by the Company, contains covenants, events of default and other terms that are customary for similar Indebtedness in light of then-prevailing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First Priority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Permitted First Priority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(unless such financial maintenance covenants are also added to this Agreement for the benefit of the Lenders), (e) the security agreements relating to which are substantially the same as the Security Documents (with such differences as are reasonably satisfactory to the Administrative Agent), (f) that is not guaranteed by any Persons other than the Loan Parties and (g) in respect of which a trustee, collateral agent, security agent or similar Person, acting on behalf of the holders thereof, shall have become party to an Intercreditor Agreement. Permitted First Priority Refinancing Indebtedness will include any Registered Equivalent Notes issued in exchange therefor. Notwithstanding the foregoing, it is hereby understood and agreed that, on and after the Collateral Release Event, no secured Indebtedness shall constitute “Permitted First Priority Refinancing Indebtedness” unless the Obligations are equally and ratably secured and such secured Indebtedness is subject to an Intercreditor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jc w:val="both"/>
        <w:ind w:firstLine="1305"/>
        <w:spacing w:after="0" w:line="264" w:lineRule="auto"/>
        <w:tabs>
          <w:tab w:leader="none" w:pos="20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or instrumentality thereof to the extent such obligations are backed by the full faith and credit of the United States of America), in each case maturing within one year from the date of acquisition thereof;</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in commercial paper or corporate demand notes maturing within 270 days from the date of acquisition thereof and having, at such date of acquisition, (i) a short-term credit rating of “P-1” or higher from Moody’s or “A-1” or higher from S&amp;P or (ii) a long-term rating of “A2” or higher from Moody’s or “A” or higher from S&amp;P;</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demand or time deposits, in each case maturing within 365 days from the date of acquisition thereof, issued or guaranteed by or placed with, and money market deposit accounts issued or offered by, (i) any commercial bank that is a Lender or (ii) any domestic office of any commercial bank organized under the laws of the United States of America or any State thereof that has a combined capital and surplus and undivided profits of not less than $500,000,000;</w:t>
      </w:r>
    </w:p>
    <w:p>
      <w:pPr>
        <w:spacing w:after="0" w:line="186" w:lineRule="exact"/>
        <w:rPr>
          <w:rFonts w:ascii="Arial" w:cs="Arial" w:eastAsia="Arial" w:hAnsi="Arial"/>
          <w:sz w:val="18"/>
          <w:szCs w:val="18"/>
          <w:color w:val="auto"/>
        </w:rPr>
      </w:pPr>
    </w:p>
    <w:p>
      <w:pPr>
        <w:ind w:firstLine="1305"/>
        <w:spacing w:after="0" w:line="277" w:lineRule="auto"/>
        <w:tabs>
          <w:tab w:leader="none" w:pos="20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repurchase agreements with a term of not more than 90 days for securities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entered into with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1305"/>
        <w:spacing w:after="0" w:line="264" w:lineRule="auto"/>
        <w:tabs>
          <w:tab w:leader="none" w:pos="20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Rule 2a-7 under the Investment Company Act, (ii) with (A) a short-term credit rating of “P-1” or higher from Moody’s or “A-1” or higher from S&amp;P or (B) a long-term rating of “A2” or higher from Moody’s or “A” or higher from S&amp;P and (iii) have portfolio assets of at least $5,000,000,000;</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9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investments in Indebtedness that is (x) issued by Persons with (i) a short-term credit rating of “P-1” or higher from Moody’s or “A-1” or higher from S&amp;P or (ii) a long-term rating of “A2” or higher from Moody’s or “A” or higher from S&amp;P, in each case for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with maturities not more than 12 months after the date of acquisition and (y) of a type customarily used by companies for cash management purposes;</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2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in accordance with the Company’s cash management and investment policy or guidelines as provided to the Administrative Agent and as in effect on the Closing Date (as may be modified by the Company after the Closing Date in a manner reasonably satisfactory to the Administrative Agent); and</w:t>
      </w:r>
    </w:p>
    <w:p>
      <w:pPr>
        <w:spacing w:after="0" w:line="181" w:lineRule="exact"/>
        <w:rPr>
          <w:rFonts w:ascii="Arial" w:cs="Arial" w:eastAsia="Arial" w:hAnsi="Arial"/>
          <w:sz w:val="18"/>
          <w:szCs w:val="18"/>
          <w:color w:val="auto"/>
        </w:rPr>
      </w:pPr>
    </w:p>
    <w:p>
      <w:pPr>
        <w:ind w:firstLine="1305"/>
        <w:spacing w:after="0" w:line="308" w:lineRule="auto"/>
        <w:tabs>
          <w:tab w:leader="none" w:pos="2078"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case of the Company or any Foreign Subsidiary, other short-term investments that are analogous to the foregoing, are of comparable credit quality and are customarily used by companies in the jurisdiction of such Foreign Subsidiary for cash management purposes.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w:t>
      </w:r>
      <w:r>
        <w:rPr>
          <w:rFonts w:ascii="Arial" w:cs="Arial" w:eastAsia="Arial" w:hAnsi="Arial"/>
          <w:sz w:val="18"/>
          <w:szCs w:val="18"/>
          <w:color w:val="auto"/>
        </w:rPr>
        <w:t>” means an Investment in a Joint Venture (a) that is not a Loan Party and does not own any Equity Interests in a Loan Party and (b) in respect of which all Indebtedness, if any, assumed by any Loan Party in respect thereof can be quantified.</w:t>
      </w:r>
    </w:p>
    <w:p>
      <w:pPr>
        <w:spacing w:after="0" w:line="17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Facility</w:t>
      </w:r>
      <w:r>
        <w:rPr>
          <w:rFonts w:ascii="Arial" w:cs="Arial" w:eastAsia="Arial" w:hAnsi="Arial"/>
          <w:sz w:val="17"/>
          <w:szCs w:val="17"/>
          <w:color w:val="auto"/>
        </w:rPr>
        <w:t>” means a receivables facility or facilities created under the Permitted Receivables Facility Documents, providing for the sale, transfer and/or pledge by the Company and/or one or more other Receivables Sellers of Permitted Receivables Facility Assets (thereby providing financing to the Company and the Receivables Sellers) to a Receivables Entity (either directly or through another Receivables Seller), which in turn shall sell, transfer and/or pledge interests in the respective Permitted Receivables Facility Assets to third-party lenders or investors pursuant to the Permitted Receivables Facility Documents (with the Receivables Entity permitted to issue or convey purchaser interests, investor certificates, purchased interest certificates or other similar documentation evidencing interests in the Permitted Receivables Facility Assets) in return for the cash used by such Receivables Entity to acquire the Permitted Receivables Facility Assets from the Company and/or the respective Receivables Sellers, in each case as more fully set forth in the Permitted Receivables Facility Documents.</w:t>
      </w:r>
    </w:p>
    <w:p>
      <w:pPr>
        <w:spacing w:after="0" w:line="1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Facility Assets</w:t>
      </w:r>
      <w:r>
        <w:rPr>
          <w:rFonts w:ascii="Arial" w:cs="Arial" w:eastAsia="Arial" w:hAnsi="Arial"/>
          <w:sz w:val="18"/>
          <w:szCs w:val="18"/>
          <w:color w:val="auto"/>
        </w:rPr>
        <w:t>” means Receivables (whether now existing or arising in the future) of the Receivables Sellers which are transferred, sold and/or pledged to a Receivables Entity pursuant to a Permitted Receivables Facility and any related Permitted Receivables Related Assets which are also so transferred, sold and/or pledged to the Receivables Entity and all proceeds thereof.</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Facility Documents</w:t>
      </w:r>
      <w:r>
        <w:rPr>
          <w:rFonts w:ascii="Arial" w:cs="Arial" w:eastAsia="Arial" w:hAnsi="Arial"/>
          <w:sz w:val="17"/>
          <w:szCs w:val="17"/>
          <w:color w:val="auto"/>
        </w:rPr>
        <w:t>” means each of the documents and agreements entered into in connection with any Permitted Receivables Facility, including all documents and agreements relating to the issuance, funding and/or purchase of certificates and purchased interests or the incurrence of loans, as applicable, all of which documents and agreements shall be in form and substance reasonably satisfactory to the Administrative Agent, in each case as such documents and agreements may be amended, modified, supplemented, refinanced or replaced from time to time so long as (i) any such amendments, modifications, supplements, refinancings or replacements do not impose any conditions or requirements on the Company or any Subsidiary that are more restrictive in any material respect than those in existence immediately prior to any such amendment, modification, supplement, refinancing or replacement unless otherwise consented to by the Administrative Agent, (ii) any such amendments, modifications, supplements, refinancings or replacements are not adverse in any material respect to the interests of the Lenders unless otherwise consented to by the Administrative Agent and (iii) any such amendments, modifications, supplements, refinancings or replacements are otherwise in form and substance reasonably satisfactory to the Administrative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means any assets that are customarily sold, transferred and/or pledged or in respect of which security interests are customarily granted in connection with asset securitization transactions involving receivables similar to Receivables and any collections or proceeds of any of the foregoing (including, without limitation, lock-boxes, deposit accounts, records in respect of Receivables and collections in respect of Receivables).</w:t>
      </w:r>
    </w:p>
    <w:p>
      <w:pPr>
        <w:spacing w:after="0" w:line="18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Reorganization</w:t>
      </w:r>
      <w:r>
        <w:rPr>
          <w:rFonts w:ascii="Arial" w:cs="Arial" w:eastAsia="Arial" w:hAnsi="Arial"/>
          <w:sz w:val="16"/>
          <w:szCs w:val="16"/>
          <w:color w:val="auto"/>
        </w:rPr>
        <w:t xml:space="preserve">” means any re-organization or other similar activities among the Company and its Subsidiaries (including Unrestricted Subsidiaries) related to Tax planning and re-organization, so long as, after giving effect thereto, (a) the Loan Parties are in compliance with the Collateral and Guarantee Requirement and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(b) taken as a whole, the value of the Collateral securing the Obligations and the Guarantees by the Guarantors of the Obligations are not materially reduced, (c) the Loans shall not be treated as deemed reissued for U.S. federal income tax purposes, unless either (i) the Lenders are not required to recognize income or gain, for U.S. federal income tax purposes pursuant to such deemed reissuance, or (ii) the Company agrees to indemnify the Lenders for such taxes, and (d) the Liens in favor of the Administrative Agent for the benefit of the Secured Parties under the Security Documents are not materially impaired;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Loan Party shall become an Unrestricted Subsidiary or an Excluded Subsidiary, and no asset of any Loan Party shall become an asset of an Unrestricted Subsidiary or an Excluded Subsidiary, in each case, as a result of such Permitted Reorganization and such related activities and investments, unless otherwise permitted under this Agreement.</w:t>
      </w:r>
    </w:p>
    <w:p>
      <w:pPr>
        <w:spacing w:after="0" w:line="16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Second Priority Refinancing Indebtedness</w:t>
      </w:r>
      <w:r>
        <w:rPr>
          <w:rFonts w:ascii="Arial" w:cs="Arial" w:eastAsia="Arial" w:hAnsi="Arial"/>
          <w:sz w:val="16"/>
          <w:szCs w:val="16"/>
          <w:color w:val="auto"/>
        </w:rPr>
        <w:t xml:space="preserve">” means Indebtedness of the Company or any other Loan Party in the form of term loans (other than, for the avoidance of doubt, Incremental Term Loans or other Term Loans under this Agreement) or bonds, debentures, notes or similar instruments (a) that is secured by Liens on the Collateral on a junior basis to the Liens on the Collateral securing the Obligations and any Permitted First Priority Refinancing Indebtedness and is not secured by any property or assets of the Company or any of the Subsidiaries other than the Collateral (or property or assets that substantially concurrently become Collateral), (b) the proceeds of which, substantially concurrently with the incurrence thereof, are applied to the repayment or prepayment of then outstanding Term Loan Borrowings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such Permitted Second Priority Refinancing Indebtedness shall not exceed the amount of the Term Loan Borrowings so refinanced (plus the aggregate amount of accrued and unpaid interest with respect to such outstanding Term Loan Borrowings, fees, expenses, commissions, underwriting discounts and premiums payable in connection therewith), (c) that does not mature earlier than the Maturity Date of the Class of Term Loans so refinanced, and has a weighted average life to maturity no shorter than the Class of Term Loans so refinanced, (d) that, as determined by the Company, contains covenants, events of default and other terms that are customary for similar Indebtedness in light of then-prevailing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Second Priority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Permitted Second Priority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(unless such financial maintenance covenants are also added to this Agreement for the benefit of the Lenders), (e) the security agreements relating to which are substantially the same as the Security Documents (with such differences as are satisfactory to the Administrative Agent), (f) that is not guaranteed by any Persons other than the Loan Parties and (g) in respect of which a trustee, collateral agent, security agent or similar Person, acting on behalf of the holders thereof, shall have become party to an Intercreditor Agreement. Permitted Second Priority Refinancing Indebtedness will include any Registered Equivalent Notes issued in exchange therefor. Notwithstanding the foregoing, it is hereby understood and agreed that, on and after the Collateral Release Event, no secured Indebtedness shall constitute “Permitted Second Priority Refinancing Indebtedness” unless the Obligations are secured on a senior basis and such secured Indebtedness is subject to an Intercreditor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Refinancing Indebtedness</w:t>
      </w:r>
      <w:r>
        <w:rPr>
          <w:rFonts w:ascii="Arial" w:cs="Arial" w:eastAsia="Arial" w:hAnsi="Arial"/>
          <w:sz w:val="17"/>
          <w:szCs w:val="17"/>
          <w:color w:val="auto"/>
        </w:rPr>
        <w:t xml:space="preserve">” means Indebtedness of the Company or any other Loan Party in the form of unsecured term loans (other than, for the avoidance of doubt, Incremental Term Loans or other Term Loans under this Agreement) or unsecured bonds, debentures, notes or similar instruments (a) the proceeds of which, substantially concurrently with the incurrence thereof, are applied to the repayment or prepayment of then outstanding Term Loan Borrowings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principal amount of such Permitted Unsecured Refinancing Indebtedness shall not exceed the amount of the Term Loan Borrowings so refinanced (plus the aggregate amount of accrued and unpaid interest with respect to such outstanding Term Loan Borrowings, fees, expenses, commissions, underwriting discounts and premiums payable in connection therewith), (b) that does not mature earlier than the Maturity Date of the Class of Term Loans so refinanced, and has a weighted average life to maturity no shorter than the Class of Term Loans so refinanced, (c) that, as determined by the Company, contains covenants, events of default and other terms that are customary for similar Indebtedness in light of then- 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Unsecured Refinancing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Permitted Unsecured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(unless such financial maintenance covenants are also added to this Agreement for the benefit of the Lenders); and (d) that is not guaranteed by any Persons other than the Loan Parties. Permitted Unsecured Refinancing Indebtedness will include any Registered Equivalent Notes issued in exchange therefor.</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company, limited liability company, trust, joint venture, association, partnership, Governmental Authority or other entity.</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Post-Transaction Period</w:t>
      </w:r>
      <w:r>
        <w:rPr>
          <w:rFonts w:ascii="Arial" w:cs="Arial" w:eastAsia="Arial" w:hAnsi="Arial"/>
          <w:sz w:val="17"/>
          <w:szCs w:val="17"/>
          <w:color w:val="auto"/>
        </w:rPr>
        <w:t>” means, (a) with respect to any Specified Transaction, the period beginning on the date such Specified Transaction is consummated and ending on the last day of the fourth full consecutive fiscal quarter immediately following the date on which such Specified Transaction is consummated and (b) with respect to any other Initiative, the period beginning on the date on which such Initiative commences and ending on the last day of the fourth full consecutive fiscal quarter following the date on which such Initiative commences.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225" w:lineRule="exact"/>
        <w:rPr>
          <w:sz w:val="20"/>
          <w:szCs w:val="20"/>
          <w:color w:val="auto"/>
        </w:rPr>
      </w:pPr>
    </w:p>
    <w:p>
      <w:pPr>
        <w:jc w:val="both"/>
        <w:ind w:firstLine="1305"/>
        <w:spacing w:after="0" w:line="264" w:lineRule="auto"/>
        <w:tabs>
          <w:tab w:leader="none" w:pos="21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so long as the Obligations are secured, any Disposition (including pursuant to a sale and leaseback transaction and by way of merger or consolidation) (for purposes of this defined term, collectively, “dispositions”) of any asset of the Company or any Subsidiary, other than dispositions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firstLine="1305"/>
        <w:spacing w:after="0" w:line="277" w:lineRule="auto"/>
        <w:tabs>
          <w:tab w:leader="none" w:pos="19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casualty or other insured damage to, or any taking under power of eminent domain or by condemnation or similar proceeding of (for purposes of this defined term, collectively, “casualty events”), any asset of the Company or any Subsidiary;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incurrence by the Company or any Subsidiary of any Indebtedness, other than any Indebtedness permitted to be incurred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Proceeds</w:t>
      </w:r>
      <w:r>
        <w:rPr>
          <w:rFonts w:ascii="Arial" w:cs="Arial" w:eastAsia="Arial" w:hAnsi="Arial"/>
          <w:sz w:val="18"/>
          <w:szCs w:val="18"/>
          <w:color w:val="auto"/>
        </w:rPr>
        <w:t xml:space="preserve">” means (a) in respect of Above-Threshold Prepayment Events, the Net Proceeds thereof, (b) in respect of Below-Threshold Prepayment Events, the Net Proceeds thereof in excess of $25,000,000 and (c) in respect of any Prepayment Event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thereof, the Net Proceeds of such Indebtedness.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Side Lender Representatives</w:t>
      </w:r>
      <w:r>
        <w:rPr>
          <w:rFonts w:ascii="Arial" w:cs="Arial" w:eastAsia="Arial" w:hAnsi="Arial"/>
          <w:sz w:val="16"/>
          <w:szCs w:val="16"/>
          <w:color w:val="auto"/>
        </w:rPr>
        <w:t>” means, with respect to any Lender, representatives of such Lender that are not Public Side Lender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1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Adjustment</w:t>
      </w:r>
      <w:r>
        <w:rPr>
          <w:rFonts w:ascii="Arial" w:cs="Arial" w:eastAsia="Arial" w:hAnsi="Arial"/>
          <w:sz w:val="16"/>
          <w:szCs w:val="16"/>
          <w:color w:val="auto"/>
        </w:rPr>
        <w:t xml:space="preserve">” means, with respect to any Initiative, for any Test Period, the pro forma increase or decrease (for the avoidance of doubt, net of any such increase or decrease actually realized) in Consolidated EBITDA (including the portion thereof attributable to any assets (including Equity Interests) sold or acquired) from cost savings, operating expense reductions, business optimization projects and other synergies (in each case net of amounts actually realized and costs incurred to achieve the same), in each case, related to such Initiative that are reasonably identifiable, factually supportable and projected by the Company in good faith to result within the Post-Transaction Period from actions taken or with respect to which substantial steps have been taken or are expected to be taken (in the good faith determination of the Company) within (x) in the case of any Specified Transaction, 12 months after the date of consummation of such Specified Transaction and (y) in the case of any other Initiative, 12 months after commencement of such Initiative,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cost savings and synergies related to such actions or such additional costs, as applicable, may be assumed, for purposes of projecting such pro forma increase or decrease to such Consolidated EBITDA to be realized on a “run-rate” basis during the entirety, or, in the case of, additional costs, as applicable, to be incurred during the entirety of any fiscal quarters of the Company included in such Test Period;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pro forma increase or decrease to Consolidated EBITDA shall be (i) without duplication for cost savings, synergies or additional costs already included in Consolidated EBITDA for such Test Period and (ii) made in any fiscal quarter that does not commence after the Post-Transaction Period.</w:t>
      </w:r>
    </w:p>
    <w:p>
      <w:pPr>
        <w:spacing w:after="0" w:line="16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and “</w:t>
      </w:r>
      <w:r>
        <w:rPr>
          <w:rFonts w:ascii="Arial" w:cs="Arial" w:eastAsia="Arial" w:hAnsi="Arial"/>
          <w:sz w:val="17"/>
          <w:szCs w:val="17"/>
          <w:u w:val="single" w:color="auto"/>
          <w:color w:val="auto"/>
        </w:rPr>
        <w:t>Pro Forma Compliance</w:t>
      </w:r>
      <w:r>
        <w:rPr>
          <w:rFonts w:ascii="Arial" w:cs="Arial" w:eastAsia="Arial" w:hAnsi="Arial"/>
          <w:sz w:val="17"/>
          <w:szCs w:val="17"/>
          <w:color w:val="auto"/>
        </w:rPr>
        <w:t xml:space="preserve">” means, with respect to compliance with any test or covenant hereunder required by the terms of this Agreement to be made on a Pro Forma Basis, that (a) to the extent applicable, the Pro Forma Adjustment shall have been made (subject, for the avoidance of doubt, to the limitations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the term “Consolidated EBITDA”) and (b) all Initiatives and the following transactions in connection therewith shall be deemed to have occurred as of (or commencing with) the first day of the applicable period of measurement in such test or covenant: (i) income statement items (whether positive or negative) attributable to the property or Person subject to such Initiative (A) in the case of a Disposition of all or substantially all Equity Interests in any Subsidiary or any division, product line, or facility used for operations of the Company or any of the Subsidiaries or the designation of a Subsidiary as an Unrestricted Subsidiary, shall be excluded, and (B) in the case of an acquisition or Investment described in the definition of the term “Specified Transaction” or designation of an Unrestricted Subsidiary as a Subsidiary, shall be included, (ii) any prepayment, repayment, retirement, redemption or satisfaction of Indebtedness, and (iii) any Indebtedness incurred or assumed by the Company or any of the Subsidiaries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foregoing pro forma adjustments may be applied to any such test or covenant solely to the extent that such adjustments are consistent with (and subject to applicable limitations included in) the definition of the term “Consolidated EBITDA” and give effect to operating expense reductions that are (i) (x) directly attributable to such transaction, (y) expected to have a continuing impact on the Company and the Subsidiaries and (z) factually supportable or (ii) otherwise consistent with the definition of the term “Pro Forma Adjustment”.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assigned to such term in Section 406 of ERISA and Section 4975(c)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Side Lender Representatives</w:t>
      </w:r>
      <w:r>
        <w:rPr>
          <w:rFonts w:ascii="Arial" w:cs="Arial" w:eastAsia="Arial" w:hAnsi="Arial"/>
          <w:sz w:val="16"/>
          <w:szCs w:val="16"/>
          <w:color w:val="auto"/>
        </w:rPr>
        <w:t>” means, with respect to any Lender, representatives of such Lender that do not wish to receive MNPI.</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Company other than Disqualified Equity Interests.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spacing w:after="0" w:line="18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w:t>
      </w:r>
      <w:r>
        <w:rPr>
          <w:rFonts w:ascii="Arial" w:cs="Arial" w:eastAsia="Arial" w:hAnsi="Arial"/>
          <w:sz w:val="16"/>
          <w:szCs w:val="16"/>
          <w:color w:val="auto"/>
        </w:rPr>
        <w:t>” means any right to payment created by or arising from sales of goods, leases of goods or the rendition of services rendered no matter how evidenced whether or not earned by performance (whether constituting accounts, general intangibles, chattel paper or otherwise).</w:t>
      </w:r>
    </w:p>
    <w:p>
      <w:pPr>
        <w:spacing w:after="0" w:line="12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Entity</w:t>
      </w:r>
      <w:r>
        <w:rPr>
          <w:rFonts w:ascii="Arial" w:cs="Arial" w:eastAsia="Arial" w:hAnsi="Arial"/>
          <w:sz w:val="16"/>
          <w:szCs w:val="16"/>
          <w:color w:val="auto"/>
        </w:rPr>
        <w:t>” means a wholly-owned Subsidiary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Company or any Subsidiary, (ii) is recourse to or obligates the Company or any Subsidiary in any way (other than pursuant to Standard Securitization Undertakings) or (iii) subjects any property or asset of the Company or any Subsidiary, directly or indirectly, contingently or otherwise, to the satisfaction thereof, other than pursuant to Standard Securitization Undertakings, (b) with which neither the Company nor any Subsidiary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Company or such Subsidiary than those that might be obtained at the time from persons that are not Affiliates of the Company, and (c) to which neither the Company nor any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delivering to the Administrative Agent an officer’s certificate of the Company certifying that, to the best of such officer’s knowledge and belief after consultation with counsel, such designation complied with the foregoing conditions</w:t>
      </w:r>
    </w:p>
    <w:p>
      <w:pPr>
        <w:spacing w:after="0" w:line="16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Sellers</w:t>
      </w:r>
      <w:r>
        <w:rPr>
          <w:rFonts w:ascii="Arial" w:cs="Arial" w:eastAsia="Arial" w:hAnsi="Arial"/>
          <w:sz w:val="18"/>
          <w:szCs w:val="18"/>
          <w:color w:val="auto"/>
        </w:rPr>
        <w:t>” means the Company and those Subsidiaries that are from time to time party to the Permitted Receivables Facility Documents (other than any Receivables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and any Lender, or any combination thereof (as the context requires).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Facility Agreement</w:t>
      </w:r>
      <w:r>
        <w:rPr>
          <w:rFonts w:ascii="Arial" w:cs="Arial" w:eastAsia="Arial" w:hAnsi="Arial"/>
          <w:sz w:val="17"/>
          <w:szCs w:val="17"/>
          <w:color w:val="auto"/>
        </w:rPr>
        <w:t xml:space="preserve">” means an amendment to this Agreement, in form and substance reasonably satisfactory to the Administrative Agent and the Company, among the Borrowers, the Administrative Agent and one or more Refinancing Lenders, establishing Refinancing Commitments and effecting such other amendments hereto and to the other Loan Documents as are contemplated by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u w:val="single" w:color="auto"/>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or committed amount, if applicable) of such Refinancing Indebtedness shall not exceed the principal amount (or accreted value or committed amount, if applicable) of such Original Indebtedness except by an amount no greater than accrued and unpaid interest with respect to such Original Indebtedness and any reasonable fees, premiums and expenses relating to such extension, renewal or refinancing; (b) the stated final maturity of such Refinancing Indebtedness shall not be earlier than that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the maturity of such Original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scheduled amortization payments (however denominated) of such Refinancing Indebtedness shall be permitted so long as the weighted average life to maturity of such Refinancing Indebtedness shall be longer than the shorter of the weighted average life to maturity of such Original Indebtedness remaining as of the date of such extension, renewal or refinancing; (d)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the Company if the Company shall not have been an obligor in respect of such Original Indebtedness, and, in each case, shall constitute an obligation of such Subsidiary or of the Company only to the extent of their obligations in respect of such Original Indebtedness; (e) if such Original Indebtedness shall have been subordinated in right of payment or otherwise to the Loan Document Obligations, such Refinancing Indebtedness shall also be subordinated to the Loan Document Obligations on terms not less favorable in any material respect to the Lenders; and (f)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Lenders</w:t>
      </w:r>
      <w:r>
        <w:rPr>
          <w:rFonts w:ascii="Arial" w:cs="Arial" w:eastAsia="Arial" w:hAnsi="Arial"/>
          <w:sz w:val="18"/>
          <w:szCs w:val="18"/>
          <w:color w:val="auto"/>
        </w:rPr>
        <w:t>” means the Refinancing Term Lenders and the Refinancing Revolving Lenders.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Loans</w:t>
      </w:r>
      <w:r>
        <w:rPr>
          <w:rFonts w:ascii="Arial" w:cs="Arial" w:eastAsia="Arial" w:hAnsi="Arial"/>
          <w:sz w:val="18"/>
          <w:szCs w:val="18"/>
          <w:color w:val="auto"/>
        </w:rPr>
        <w:t>” means the Refinancing Term Loans and the Refinancing Revolving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Loans</w:t>
      </w:r>
      <w:r>
        <w:rPr>
          <w:rFonts w:ascii="Arial" w:cs="Arial" w:eastAsia="Arial" w:hAnsi="Arial"/>
          <w:sz w:val="18"/>
          <w:szCs w:val="18"/>
          <w:color w:val="auto"/>
        </w:rPr>
        <w:t>” means any Loans made under the Refinancing Revolving Commitments.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Swingline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9.04(b)(iv)</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bonds, notes, debentures or similar instruments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means the obligation of the Borrowers to reimburse the Issuing Lenders pursuant to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for amounts drawn under Letters of Credit.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directors, officers, partners, trustees, employees, agents, administrators, managers, representatives and advisors of such Person and of such Person’s Affiliates.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indoor or outdoor environment.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“reportable event,” as defined in Section 4043(c) of ERISA or the regulations issued thereunder, with respect to a Plan, other than those events as to which notice is waived pursuant to DOL Reg. § 4043.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Financials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(a) until the Closing Date, the Commitments then in effect and (b) thereafter, the sum of (i) the aggregate principal amount of the Term Loans then outstanding and (ii) the Total Revolving Commitments then in effect or, if the Revolving Commitments have been terminated, the Total Revolving Extensions of Credit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Revolving Commitments of any Class hereunder have been terminated at a time when there are other Revolving Commitments outstanding, but the Lenders in respect thereof have Revolving Extensions of Credit outstanding, for purposes of this definition only, such Lenders shall be deemed to have Revolving Commitments in the amount of their Revolving Extensions of Credit).</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 the Organizational Documents of such Person and (b) any law (including common law), statute, ordinance, treaty, rule, regulation, code, judgment, order, decree, writ, injunction, settlement agreement or determination of any arbitrator or court or other Governmental Authority, in each case applicable to or binding upon such Person or any of its property or to which such Person or any of its property is subject.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Company or any Subsidiary, or any payment or distribution (whether in cash, securities or other property), including any sinking fund or similar deposit, on account of the purchase, redemption, retirement, acquisition, exchange, conversion, cancelation or termination of, or any other return of capital with respect to, any Equity Interests in the Company or any Subsidiary.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that is not an Unrestricted Subsidiary.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and (iii) such additional dates as the Administrative Agent shall determine or the Majority in Interest of the Multicurrency Tranche Revolving Lenders shall require; and (b) with respect to any Letter of Credit, each of the following: (i) each date of issuance, amendment or extension of a Letter of Credit denominated in an Alternative Currency, (ii) each date of any payment by the applicable Issuing Lender under any Letter of Credit by it denominated in an Alternative Currency, (iii) in the case of all Existing Letters of Credit denominated in Alternative Currencies, the Closing Date, and (iv) such additional dates as the Administrative Agent or the applicable Issuing Lender shall determine or the Majority in Interest of the Dollar Tranche Revolving Lenders shall require.</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each Lender, its Dollar Tranche Revolving Commitment and/or Multicurrency Tranche Revolving Commitment, as the context may require.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Period</w:t>
      </w:r>
      <w:r>
        <w:rPr>
          <w:rFonts w:ascii="Arial" w:cs="Arial" w:eastAsia="Arial" w:hAnsi="Arial"/>
          <w:sz w:val="18"/>
          <w:szCs w:val="18"/>
          <w:color w:val="auto"/>
        </w:rPr>
        <w:t>” means the period from and including the Closing Date to the Revolving Termination Date.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its Dollar Tranche Revolving Credit Exposure and/or Multicurrency Tranche Revolving Credit Exposure, as the context may require.</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Extensions of Credit</w:t>
      </w:r>
      <w:r>
        <w:rPr>
          <w:rFonts w:ascii="Arial" w:cs="Arial" w:eastAsia="Arial" w:hAnsi="Arial"/>
          <w:sz w:val="17"/>
          <w:szCs w:val="17"/>
          <w:color w:val="auto"/>
        </w:rPr>
        <w:t>” means, as to any Revolving Lender at any time, an amount equal to (a) in the case of a Dollar Tranche Revolving Lender, the sum of (i) the aggregate principal amount of all Dollar Tranche Revolving Loans held by such Lender then outstanding, (ii) such Lender’s Dollar Tranche Applicable Percentage of the L/C Obligations then outstanding and (iii) such Lender’s Dollar Tranche Applicable Percentage of the aggregate principal amount of Swingline Loans then outstanding and (b) in the case of a Multicurrency Tranche Revolving Lender, the sum of the aggregate principal amount of all Multicurrency Tranche Revolving Loans held by such Lender then outstanding.</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Facilities</w:t>
      </w:r>
      <w:r>
        <w:rPr>
          <w:rFonts w:ascii="Arial" w:cs="Arial" w:eastAsia="Arial" w:hAnsi="Arial"/>
          <w:sz w:val="17"/>
          <w:szCs w:val="17"/>
          <w:color w:val="auto"/>
        </w:rPr>
        <w:t>” means, collectively, the Dollar Tranche Revolving Facility and the Multicurrency Tranche Revolving Facility.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each Lender that has a Revolving Commitment or that holds Revolving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Loans</w:t>
      </w:r>
      <w:r>
        <w:rPr>
          <w:rFonts w:ascii="Arial" w:cs="Arial" w:eastAsia="Arial" w:hAnsi="Arial"/>
          <w:sz w:val="17"/>
          <w:szCs w:val="17"/>
          <w:color w:val="auto"/>
        </w:rPr>
        <w:t>” means Dollar Tranche Revolving Loans and/or Multicurrency Tranche Revolving Loans, as the context may require.</w:t>
      </w:r>
    </w:p>
    <w:p>
      <w:pPr>
        <w:spacing w:after="0" w:line="23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Outstanding Amount</w:t>
      </w:r>
      <w:r>
        <w:rPr>
          <w:rFonts w:ascii="Arial" w:cs="Arial" w:eastAsia="Arial" w:hAnsi="Arial"/>
          <w:sz w:val="17"/>
          <w:szCs w:val="17"/>
          <w:color w:val="auto"/>
        </w:rPr>
        <w:t>” means (i) with respect to Loans (other than Swingline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issuance, extension of the expiry date, or increase in the amount of, any Letter of Credit occurring on such date and any other changes in the aggregate amount of the L/C Obligations as of such date, including as a result of any reimbursements by the Company of Unreimbursed Amounts.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to any Revolving Lender at any time, its Dollar Tranche Applicable Percentage and/or Multicurrency Tranche Applicable Percentage, as the context may require.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Termination Date</w:t>
      </w:r>
      <w:r>
        <w:rPr>
          <w:rFonts w:ascii="Arial" w:cs="Arial" w:eastAsia="Arial" w:hAnsi="Arial"/>
          <w:sz w:val="18"/>
          <w:szCs w:val="18"/>
          <w:color w:val="auto"/>
        </w:rPr>
        <w:t>” means the date that is five years after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Lender,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OFAC’s Specially Designated Nationals and Blocked Persons List or Her Majesty’s Treasury of the United Kingdom’s Consolidated List of Financial Sanctions Targets or any similar list of designated Persons enforced by any other relevant sanctions authority, (b) any Person that is currently the subject or target of any Sanctions, (c) any Person located, organized or resident in a Sanctioned Country or (d) any Person owned 50 percent or more by any Person or Persons described in clause (a), (b) or (c).</w:t>
      </w:r>
    </w:p>
    <w:p>
      <w:pPr>
        <w:spacing w:after="0" w:line="1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(n) the United Nations Security Council, the European Union or Her Majesty’s Treasury of the United Kingdom or any other relevant sanctions authority.</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 arrangement relating to property owned by the Company or any Subsidiary whereby the Company or such Subsidiary sells or transfers such property to any Person that is not the Company or any Subsidiary and the Company or any Subsidiary leases such property, or other property that it intends to use for substantially the same purpose or purposes as the property sold or transferred, from such Person or its Affiliates.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any successor thereto and any analogous Governmental Authority.</w:t>
      </w:r>
    </w:p>
    <w:p>
      <w:pPr>
        <w:spacing w:after="0" w:line="24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Cash Management Obligations</w:t>
      </w:r>
      <w:r>
        <w:rPr>
          <w:rFonts w:ascii="Arial" w:cs="Arial" w:eastAsia="Arial" w:hAnsi="Arial"/>
          <w:sz w:val="16"/>
          <w:szCs w:val="16"/>
          <w:color w:val="auto"/>
        </w:rPr>
        <w:t xml:space="preserve">” means the due and punctual payment and performance of any and all obligations of the Company and each Subsidiary (whether absolute or contingent and however and whenever created, arising, evidenced or acquired (including all renewals, extensions and modifications thereof and substitutions therefor)) arising in respect of Cash Management Services that (a) are owed pursuant to a Cash Management Agreement in effect on the Closing Date, entered into with a party that was a Lender as of the Closing Date or an Affiliate thereof, (b) are owed pursuant to a Cash Management Agreement entered into after the Closing Date with a party that was a Lender or the Administrative Agent or an Affiliate of a Lender or the Administrative Agent, in each case at the time such Cash Management Agreement was entered into, and, in the case of any such Cash Management Agreement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has been designated by the Company in a written notice given to the Administrative Agent as a Cash Management Agreement the obligations under which are to constitute Secured Cash Management Obligations for purposes of the Loan Documents.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Hedging Obligations</w:t>
      </w:r>
      <w:r>
        <w:rPr>
          <w:rFonts w:ascii="Arial" w:cs="Arial" w:eastAsia="Arial" w:hAnsi="Arial"/>
          <w:sz w:val="16"/>
          <w:szCs w:val="16"/>
          <w:color w:val="auto"/>
        </w:rPr>
        <w:t xml:space="preserve">” means the due and punctual payment and performance of any and all obligations of the Company and each Subsidiary arising under each Hedging Agreement that (a) was in effect on the Closing Date with a counterparty that was a Lender as of the Closing Date or an Affiliate thereof, (b) is entered into after the Closing Date with a counterparty that was a Lender or the Administrative Agent or an Affiliate of a Lender or the Administrative Agent, in each case at the time such Hedging Agreement was entered into and, in the case of any such Hedging Agreement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has been designated by the Company in a written notice given to the Administrative Agent as a Hedging Agreement the obligations under which are to constitute Secured Hedging Obligations for purposes of the Loan Documents (it being understood that one notice with respect to a specified ISDA Master Agreement may designate all transactions thereunder as being “Secured Hedging Obligations”, without the need for separate notices for each individual transaction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any Secured Hedging Obligations of a Loan Party, “Secured Hedging Obligations” shall not create any guarantee by a Loan Party of any Excluded Swap Obligation of such Loan Party.</w:t>
      </w:r>
    </w:p>
    <w:p>
      <w:pPr>
        <w:spacing w:after="0" w:line="16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(a) the Lenders, (b) the Administrative Agent, (c) the Arrangers, (d) the Issuing Lenders, (e) the Swingline Lender, (f) each provider of Cash Management Services under a Cash Management Agreement the obligations under which constitute Secured Cash Management Obligations, (g) each counterparty to any Hedging Agreement the obligations under which constitute Secured Hedging Obligations, (h) the beneficiaries of each indemnification obligation undertaken by any Loan Party under this Agreement or any other Loan Document and (i) the successors and permitted assigns of each of the foregoing.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xml:space="preserve">” means the Collateral Agreement, the Mortgages, the Intercompany Note and each other security agreement or other instrument or document executed and delivered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clauses (a)(i)(B)</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the term “Collateral and Guarantee Requirement” to secure the Obligations.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2.22(b)</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xml:space="preserve">” means (a) each Subsidiary (i) with total assets (including the value of Equity Interests of its Subsidiaries and excluding intercompany assets), for the Test Period most recently ended, equal to or greater than 2.5% of Total Assets (or, solely for purposes of </w:t>
      </w:r>
      <w:r>
        <w:rPr>
          <w:rFonts w:ascii="Arial" w:cs="Arial" w:eastAsia="Arial" w:hAnsi="Arial"/>
          <w:sz w:val="16"/>
          <w:szCs w:val="16"/>
          <w:u w:val="single" w:color="auto"/>
          <w:color w:val="auto"/>
        </w:rPr>
        <w:t>clauses (h),</w:t>
      </w:r>
    </w:p>
    <w:p>
      <w:pPr>
        <w:jc w:val="both"/>
        <w:ind w:firstLine="8"/>
        <w:spacing w:after="0" w:line="267" w:lineRule="auto"/>
        <w:tabs>
          <w:tab w:leader="none" w:pos="222" w:val="left"/>
        </w:tabs>
        <w:numPr>
          <w:ilvl w:val="0"/>
          <w:numId w:val="62"/>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equal to or greater than 10.0% of Total Assets) and/or (ii) the gross revenues (net of payroll, taxes, benefits and other deductions permitted under GAAP and excluding intercompany gross revenues) of which, for the Test Period most recently ended, are equal to or greater than 2.5% of such gross revenues of the Company and its Subsidiaries (or, solely for purposes of </w:t>
      </w:r>
      <w:r>
        <w:rPr>
          <w:rFonts w:ascii="Arial" w:cs="Arial" w:eastAsia="Arial" w:hAnsi="Arial"/>
          <w:sz w:val="17"/>
          <w:szCs w:val="17"/>
          <w:u w:val="single" w:color="auto"/>
          <w:color w:val="auto"/>
        </w:rPr>
        <w:t>clauses (h),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equal to or greater than 10.0% of such gross revenues of the Company and its Subsidiaries) and (b) each Subsidiary that owns any Equity Interests of any Subsidiary that would be deemed a Significant Subsidiary under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(a)(ii)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end of any Test Period during the term of this Agreement, the combined aggregate amount of total assets (excluding intercompany assets) as of the last day of any fiscal quarter for which financial statements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5.01(b)</w:t>
      </w:r>
      <w:r>
        <w:rPr>
          <w:rFonts w:ascii="Arial" w:cs="Arial" w:eastAsia="Arial" w:hAnsi="Arial"/>
          <w:sz w:val="17"/>
          <w:szCs w:val="17"/>
          <w:color w:val="auto"/>
        </w:rPr>
        <w:t xml:space="preserve"> or combined aggregate amount of gross revenues (net of payroll, taxes, benefits and other deductions permitted under GAAP and excluding intercompany gross revenues) for the Test Period most recently ended of all Subsidiaries that are not Significant Subsidiaries shall have exceeded 10.0% of the Total Assets of the Company and its Subsidiaries or 10.0% of such gross revenues of the Company and its Subsidiaries, in each case, for the Test Period most recently ended, then one or more of the Subsidiaries that are not Significant Subsidiaries shall be designated by the Company in writing to the Administrative Agent as a Significant Subsidiary until such excess has been eliminated (it being understood that no Subsidiary that is not wholly-owned or is otherwise an Excluded Subsidiary pursuant to the operation of </w:t>
      </w:r>
      <w:r>
        <w:rPr>
          <w:rFonts w:ascii="Arial" w:cs="Arial" w:eastAsia="Arial" w:hAnsi="Arial"/>
          <w:sz w:val="17"/>
          <w:szCs w:val="17"/>
          <w:u w:val="single" w:color="auto"/>
          <w:color w:val="auto"/>
        </w:rPr>
        <w:t>clauses (b)</w:t>
      </w:r>
      <w:r>
        <w:rPr>
          <w:rFonts w:ascii="Arial" w:cs="Arial" w:eastAsia="Arial" w:hAnsi="Arial"/>
          <w:sz w:val="17"/>
          <w:szCs w:val="17"/>
          <w:color w:val="auto"/>
        </w:rPr>
        <w:t>-</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the definition thereof shall be designated a Significant Subsidiary pursuant to this proviso).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GCA Acquisition Agreement Representations</w:t>
      </w:r>
      <w:r>
        <w:rPr>
          <w:rFonts w:ascii="Arial" w:cs="Arial" w:eastAsia="Arial" w:hAnsi="Arial"/>
          <w:sz w:val="17"/>
          <w:szCs w:val="17"/>
          <w:color w:val="auto"/>
        </w:rPr>
        <w:t>” means such of the representations and warranties made by, or with respect to, GCA and its Subsidiaries in the GCA Acquisition Agreement as are material to the interests of the Lenders, but only to the extent that the Company (or its applicable Affiliates) has the right to terminate its (or their) obligations under the GCA Acquisition Agreement or to decline to consummate the GCA Acquisition as a result of a breach of any one or more of such representations and warranties in the GCA Acquisition Agreement.</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Permitted Acquisition Agreement Representations</w:t>
      </w:r>
      <w:r>
        <w:rPr>
          <w:rFonts w:ascii="Arial" w:cs="Arial" w:eastAsia="Arial" w:hAnsi="Arial"/>
          <w:sz w:val="18"/>
          <w:szCs w:val="18"/>
          <w:color w:val="auto"/>
        </w:rPr>
        <w:t>” means, with respect to any Permitted Acquisition or other acquisition or Investment permitted hereunder, such of the representations and warranties made by, or with respect to, the applicable entity to be acquired and its Subsidiaries in the applicable acquisition or investment agreement as are material to the interests of the Lenders, but only to the extent that the Company (or its applicable Affiliates) have the right to terminate its (or their) obligations under such agreement or to decline to consummate such transaction as a result of a breach of any one or more of such representations and warranties in such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Permitted Amount</w:t>
      </w:r>
      <w:r>
        <w:rPr>
          <w:rFonts w:ascii="Arial" w:cs="Arial" w:eastAsia="Arial" w:hAnsi="Arial"/>
          <w:sz w:val="18"/>
          <w:szCs w:val="18"/>
          <w:color w:val="auto"/>
        </w:rPr>
        <w:t xml:space="preserve">” means, as of any date, (a) the greater of (i) $75,000,000 and (ii) 25% of Consolidated EBITDA computed on a Pro Forma Basis for the most recently ended Test Period as of such date less (b) the sum of, without duplication, (i) the aggregate outstanding principal amount of Indebtedness incurred under </w:t>
      </w:r>
      <w:r>
        <w:rPr>
          <w:rFonts w:ascii="Arial" w:cs="Arial" w:eastAsia="Arial" w:hAnsi="Arial"/>
          <w:sz w:val="18"/>
          <w:szCs w:val="18"/>
          <w:u w:val="single" w:color="auto"/>
          <w:color w:val="auto"/>
        </w:rPr>
        <w:t>Section 6.01(n)</w:t>
      </w:r>
      <w:r>
        <w:rPr>
          <w:rFonts w:ascii="Arial" w:cs="Arial" w:eastAsia="Arial" w:hAnsi="Arial"/>
          <w:sz w:val="18"/>
          <w:szCs w:val="18"/>
          <w:color w:val="auto"/>
        </w:rPr>
        <w:t xml:space="preserve"> as of such date and (ii) the aggregate amount of Investments by the Company and the Subsidiaries in Unrestricted Subsidiaries outstanding under </w:t>
      </w:r>
      <w:r>
        <w:rPr>
          <w:rFonts w:ascii="Arial" w:cs="Arial" w:eastAsia="Arial" w:hAnsi="Arial"/>
          <w:sz w:val="18"/>
          <w:szCs w:val="18"/>
          <w:u w:val="single" w:color="auto"/>
          <w:color w:val="auto"/>
        </w:rPr>
        <w:t>Section 6.04(p)</w:t>
      </w:r>
      <w:r>
        <w:rPr>
          <w:rFonts w:ascii="Arial" w:cs="Arial" w:eastAsia="Arial" w:hAnsi="Arial"/>
          <w:sz w:val="18"/>
          <w:szCs w:val="18"/>
          <w:color w:val="auto"/>
        </w:rPr>
        <w:t xml:space="preserve"> as of such date.</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xml:space="preserve">” means the representations and warranties made in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(as it relates solely to the Loan Parties), </w:t>
      </w:r>
      <w:r>
        <w:rPr>
          <w:rFonts w:ascii="Arial" w:cs="Arial" w:eastAsia="Arial" w:hAnsi="Arial"/>
          <w:sz w:val="17"/>
          <w:szCs w:val="17"/>
          <w:u w:val="single" w:color="auto"/>
          <w:color w:val="auto"/>
        </w:rPr>
        <w:t>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3.03(b)</w:t>
      </w:r>
      <w:r>
        <w:rPr>
          <w:rFonts w:ascii="Arial" w:cs="Arial" w:eastAsia="Arial" w:hAnsi="Arial"/>
          <w:sz w:val="17"/>
          <w:szCs w:val="17"/>
          <w:color w:val="auto"/>
        </w:rPr>
        <w:t xml:space="preserve"> (as it relates to the entering into and the performance of the Loan Documents, the establishment of the Commitments, the incurrence of the Loans and granting of Liens hereunder), </w:t>
      </w:r>
      <w:r>
        <w:rPr>
          <w:rFonts w:ascii="Arial" w:cs="Arial" w:eastAsia="Arial" w:hAnsi="Arial"/>
          <w:sz w:val="17"/>
          <w:szCs w:val="17"/>
          <w:u w:val="single" w:color="auto"/>
          <w:color w:val="auto"/>
        </w:rPr>
        <w:t>3.09</w:t>
      </w:r>
      <w:r>
        <w:rPr>
          <w:rFonts w:ascii="Arial" w:cs="Arial" w:eastAsia="Arial" w:hAnsi="Arial"/>
          <w:sz w:val="17"/>
          <w:szCs w:val="17"/>
          <w:color w:val="auto"/>
        </w:rPr>
        <w:t xml:space="preserve">, </w:t>
      </w:r>
      <w:r>
        <w:rPr>
          <w:rFonts w:ascii="Arial" w:cs="Arial" w:eastAsia="Arial" w:hAnsi="Arial"/>
          <w:sz w:val="17"/>
          <w:szCs w:val="17"/>
          <w:u w:val="single" w:color="auto"/>
          <w:color w:val="auto"/>
        </w:rPr>
        <w:t>3.14</w:t>
      </w:r>
      <w:r>
        <w:rPr>
          <w:rFonts w:ascii="Arial" w:cs="Arial" w:eastAsia="Arial" w:hAnsi="Arial"/>
          <w:sz w:val="17"/>
          <w:szCs w:val="17"/>
          <w:color w:val="auto"/>
        </w:rPr>
        <w:t xml:space="preserve">, </w:t>
      </w:r>
      <w:r>
        <w:rPr>
          <w:rFonts w:ascii="Arial" w:cs="Arial" w:eastAsia="Arial" w:hAnsi="Arial"/>
          <w:sz w:val="17"/>
          <w:szCs w:val="17"/>
          <w:u w:val="single" w:color="auto"/>
          <w:color w:val="auto"/>
        </w:rPr>
        <w:t>3.16</w:t>
      </w:r>
      <w:r>
        <w:rPr>
          <w:rFonts w:ascii="Arial" w:cs="Arial" w:eastAsia="Arial" w:hAnsi="Arial"/>
          <w:sz w:val="17"/>
          <w:szCs w:val="17"/>
          <w:color w:val="auto"/>
        </w:rPr>
        <w:t xml:space="preserve"> (after giving effect to the last sentence of </w:t>
      </w:r>
      <w:r>
        <w:rPr>
          <w:rFonts w:ascii="Arial" w:cs="Arial" w:eastAsia="Arial" w:hAnsi="Arial"/>
          <w:sz w:val="17"/>
          <w:szCs w:val="17"/>
          <w:u w:val="single" w:color="auto"/>
          <w:color w:val="auto"/>
        </w:rPr>
        <w:t>Section 4.01(f)</w:t>
      </w:r>
      <w:r>
        <w:rPr>
          <w:rFonts w:ascii="Arial" w:cs="Arial" w:eastAsia="Arial" w:hAnsi="Arial"/>
          <w:sz w:val="17"/>
          <w:szCs w:val="17"/>
          <w:color w:val="auto"/>
        </w:rPr>
        <w:t xml:space="preserve">), </w:t>
      </w:r>
      <w:r>
        <w:rPr>
          <w:rFonts w:ascii="Arial" w:cs="Arial" w:eastAsia="Arial" w:hAnsi="Arial"/>
          <w:sz w:val="17"/>
          <w:szCs w:val="17"/>
          <w:u w:val="single" w:color="auto"/>
          <w:color w:val="auto"/>
        </w:rPr>
        <w:t>3.17</w:t>
      </w:r>
      <w:r>
        <w:rPr>
          <w:rFonts w:ascii="Arial" w:cs="Arial" w:eastAsia="Arial" w:hAnsi="Arial"/>
          <w:sz w:val="17"/>
          <w:szCs w:val="17"/>
          <w:color w:val="auto"/>
        </w:rPr>
        <w:t xml:space="preserve">, </w:t>
      </w:r>
      <w:r>
        <w:rPr>
          <w:rFonts w:ascii="Arial" w:cs="Arial" w:eastAsia="Arial" w:hAnsi="Arial"/>
          <w:sz w:val="17"/>
          <w:szCs w:val="17"/>
          <w:u w:val="single" w:color="auto"/>
          <w:color w:val="auto"/>
        </w:rPr>
        <w:t>3.18</w:t>
      </w:r>
      <w:r>
        <w:rPr>
          <w:rFonts w:ascii="Arial" w:cs="Arial" w:eastAsia="Arial" w:hAnsi="Arial"/>
          <w:sz w:val="17"/>
          <w:szCs w:val="17"/>
          <w:color w:val="auto"/>
        </w:rPr>
        <w:t xml:space="preserve">, </w:t>
      </w:r>
      <w:r>
        <w:rPr>
          <w:rFonts w:ascii="Arial" w:cs="Arial" w:eastAsia="Arial" w:hAnsi="Arial"/>
          <w:sz w:val="17"/>
          <w:szCs w:val="17"/>
          <w:u w:val="single" w:color="auto"/>
          <w:color w:val="auto"/>
        </w:rPr>
        <w:t>3.19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3.20</w:t>
      </w:r>
      <w:r>
        <w:rPr>
          <w:rFonts w:ascii="Arial" w:cs="Arial" w:eastAsia="Arial" w:hAnsi="Arial"/>
          <w:sz w:val="17"/>
          <w:szCs w:val="17"/>
          <w:color w:val="auto"/>
        </w:rPr>
        <w:t>.</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Investment, acquisition, Disposition, incurrence, assumption or repayment of Indebtedness (including the incurrence of Incremental Term Facilities), Restricted Payment, designation of a Subsidiary as an Unrestricted Subsidiary or of an Unrestricted Subsidiary as a Subsidiary or other event that by the terms of this Agreement requires Pro Forma Compliance with a test or covenant hereunder or requires such test or covenant to be calculated on a Pro Forma Basis.</w:t>
      </w:r>
    </w:p>
    <w:p>
      <w:pPr>
        <w:spacing w:after="0" w:line="1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or the applicable Issuing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the applicable Issuing Lender may obtain such spot rate from another financial institution designated by the Administrative Agent or the applicable Issuing Lender if the Person acting in such capacity does not have as of the date of determination a spot buying rate for any such currency;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applicable Issuing Lender may use such spot rate quoted on the date as of which the foreign exchange computation is made in the case of any Letter of Credit denominated in an Alternative Currency.</w:t>
      </w:r>
    </w:p>
    <w:p>
      <w:pPr>
        <w:spacing w:after="0" w:line="17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Securitization Undertakings</w:t>
      </w:r>
      <w:r>
        <w:rPr>
          <w:rFonts w:ascii="Arial" w:cs="Arial" w:eastAsia="Arial" w:hAnsi="Arial"/>
          <w:sz w:val="16"/>
          <w:szCs w:val="16"/>
          <w:color w:val="auto"/>
        </w:rPr>
        <w:t>” means representations, warranties, covenants and indemnities entered into by the Company or any Subsidiary thereof in connection with the Permitted Receivables Facility which are reasonably customary in an accounts receivable financing transaction.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any Person means any Indebtedness of such Person that is contractually subordinated in right of payment to any other Indebtedness of such Person.</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 any Person the accounts of which would be consolidated with those of the parent in the parent’s consolidated financial statements if such financial statements were prepared in accordance with GAAP and (b) any other Person (i) 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qualified, all references to a “Subsidiary” or to “Subsidiaries” in this Agreement shall refer to a Subsidiary or Subsidiaries of the Company; provided, however, that Unrestricted Subsidiaries shall be deemed not to be Subsidiaries for any purpose of this Agreement or the other Loan Documents, unless otherwise specified in this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Designation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Perfection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w:t>
      </w:r>
      <w:r>
        <w:rPr>
          <w:rFonts w:ascii="Arial" w:cs="Arial" w:eastAsia="Arial" w:hAnsi="Arial"/>
          <w:sz w:val="18"/>
          <w:szCs w:val="18"/>
          <w:color w:val="auto"/>
        </w:rPr>
        <w:t>” means any agreement, contract, or transaction that constitutes a “swap” within the meaning of Section 1a(47) of the Commodity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Loan Party, any obligation to pay or perform under any Swap.</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xml:space="preserve">” means the obligation of the Swingline Lender to make Swingline Loans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in an aggregate principal amount at any one time outstanding not to exceed the lesser of $75,000,000 and the amount of the aggregate Dollar Tranche Revolving Commitments. The Swingline Commitment is part of, and not in addition to, the Dollar Tranche Revolving Commitments.</w:t>
      </w:r>
    </w:p>
    <w:p>
      <w:pPr>
        <w:spacing w:after="0" w:line="18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xml:space="preserve">” means, at any time, the sum of the aggregate amount of all outstanding Swingline Loans at such time. The Swingline Exposure of any Dollar Tranche Revolving Lender at any time shall be the sum of, after giving effect to any repayments of Swingline Loans upon the borrowing of a Revolving Loan, (a) its Dollar Tranche Applicable Percentage of the total Swingline Exposure at such time related to Swingline Loans other than any Swingline Loans made by such Lender in its capacity as a Swingline Lender and (b) if such Lender shall be a Swingline Lender, the principal amount of all Swingline Loans made by such Lender outstanding at such time (to the extent that the other Dollar Tranche Revolving Lenders shall not have funded their participations in such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when a Defaulting Lender shall exist, the Swingline Exposure of any Dollar Tranche Revolving Lender shall be adjusted to give effect to any reallocation effected pursuant to </w:t>
      </w:r>
      <w:r>
        <w:rPr>
          <w:rFonts w:ascii="Arial" w:cs="Arial" w:eastAsia="Arial" w:hAnsi="Arial"/>
          <w:sz w:val="16"/>
          <w:szCs w:val="16"/>
          <w:u w:val="single" w:color="auto"/>
          <w:color w:val="auto"/>
        </w:rPr>
        <w:t>Section 2.21(c)</w:t>
      </w:r>
      <w:r>
        <w:rPr>
          <w:rFonts w:ascii="Arial" w:cs="Arial" w:eastAsia="Arial" w:hAnsi="Arial"/>
          <w:sz w:val="16"/>
          <w:szCs w:val="16"/>
          <w:color w:val="auto"/>
        </w:rPr>
        <w: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Bank of America in its capacity as the lender of Swingline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Participation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Syndication Agent</w:t>
      </w:r>
      <w:r>
        <w:rPr>
          <w:rFonts w:ascii="Arial" w:cs="Arial" w:eastAsia="Arial" w:hAnsi="Arial"/>
          <w:sz w:val="17"/>
          <w:szCs w:val="17"/>
          <w:color w:val="auto"/>
        </w:rPr>
        <w:t>” means JPMorgan Chase Bank, N.A., in its capacity as syndication agent for the Facilities provided for herein.</w:t>
      </w:r>
    </w:p>
    <w:p>
      <w:pPr>
        <w:spacing w:after="0" w:line="23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means an Initial Term Loan Commitment or an Incremental Term Commitment of any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Lender with a Term Commitment or an outstanding Term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an Initial Term Loan or an Incremental Term Loan of any Series.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 as to any Term Lender, the aggregate commitment of such Term Lender to make Term Loans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in the most recent Assignment Agreement or other documentation contemplated hereby executed by such Term Lender and (b) as to all Term Lenders, the aggregate commitment of all Term Lenders to make Term Loans, which aggregate commitment shall be $800,000,000 on the date of this Agreement. After advancing the Term Loan, each reference to a Term Lender’s Term Loan Commitment shall refer to that Term Lender’s Applicable Percentage of the Term Loans.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Maturity Date</w:t>
      </w:r>
      <w:r>
        <w:rPr>
          <w:rFonts w:ascii="Arial" w:cs="Arial" w:eastAsia="Arial" w:hAnsi="Arial"/>
          <w:sz w:val="18"/>
          <w:szCs w:val="18"/>
          <w:color w:val="auto"/>
        </w:rPr>
        <w:t>” means the date that is five years after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Period</w:t>
      </w:r>
      <w:r>
        <w:rPr>
          <w:rFonts w:ascii="Arial" w:cs="Arial" w:eastAsia="Arial" w:hAnsi="Arial"/>
          <w:sz w:val="17"/>
          <w:szCs w:val="17"/>
          <w:color w:val="auto"/>
        </w:rPr>
        <w:t>” means each period of four consecutive fiscal quarters of the Company for which financial statements are available.</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of any date, the total assets of the Company and its Subsidiaries on a consolidated basis, as shown on the most recent consolidated balance sheet of the Company and its Subsidiaries, determined on a Pro Forma Basis.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unused Commitments and Revolving Credit Exposure of such Lender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time.</w:t>
      </w:r>
    </w:p>
    <w:p>
      <w:pPr>
        <w:spacing w:after="0" w:line="2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Indebtedness</w:t>
      </w:r>
      <w:r>
        <w:rPr>
          <w:rFonts w:ascii="Arial" w:cs="Arial" w:eastAsia="Arial" w:hAnsi="Arial"/>
          <w:sz w:val="18"/>
          <w:szCs w:val="18"/>
          <w:color w:val="auto"/>
        </w:rPr>
        <w:t xml:space="preserve">” means, on any date, the aggregate principal amount of Indebtedness of the Company and its Subsidiaries outstanding as of such date, in the amount that would be reflected on a balance sheet prepared as of such date on a consolidated basis in accordance with GAAP (but without giving effect to any election to value any Indebtedness at “fair value,” as described in </w:t>
      </w:r>
      <w:r>
        <w:rPr>
          <w:rFonts w:ascii="Arial" w:cs="Arial" w:eastAsia="Arial" w:hAnsi="Arial"/>
          <w:sz w:val="18"/>
          <w:szCs w:val="18"/>
          <w:u w:val="single" w:color="auto"/>
          <w:color w:val="auto"/>
        </w:rPr>
        <w:t>Section 1.04(a)</w:t>
      </w:r>
      <w:r>
        <w:rPr>
          <w:rFonts w:ascii="Arial" w:cs="Arial" w:eastAsia="Arial" w:hAnsi="Arial"/>
          <w:sz w:val="18"/>
          <w:szCs w:val="18"/>
          <w:color w:val="auto"/>
        </w:rPr>
        <w:t>, or any other accounting principle that results in the amount of any such Indebtedness (other than zero coupon Indebtedness) as reflected on such balance sheet to be below the stated principal amount of such Indebtedness) consisting of indebtedness for borrowed money, all obligations (contingent or otherwise) under letters of credit and the principal portion of obligations in respect of Capital Leases.</w:t>
      </w:r>
    </w:p>
    <w:p>
      <w:pPr>
        <w:spacing w:after="0" w:line="193"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means, on any date of determination, the ratio of (a) an amount equal to Total Indebtedness as of the last day of the Test Period most recently ended on or prior to such date to (b) Consolidated EBITDA for the Test Period most recently ended on or prior to such date.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Commitments</w:t>
      </w:r>
      <w:r>
        <w:rPr>
          <w:rFonts w:ascii="Arial" w:cs="Arial" w:eastAsia="Arial" w:hAnsi="Arial"/>
          <w:sz w:val="18"/>
          <w:szCs w:val="18"/>
          <w:color w:val="auto"/>
        </w:rPr>
        <w:t>” means, at any time, the aggregate amount of the Revolving Commitments then in effect.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Extensions of Credit</w:t>
      </w:r>
      <w:r>
        <w:rPr>
          <w:rFonts w:ascii="Arial" w:cs="Arial" w:eastAsia="Arial" w:hAnsi="Arial"/>
          <w:sz w:val="18"/>
          <w:szCs w:val="18"/>
          <w:color w:val="auto"/>
        </w:rPr>
        <w:t>” means, at any time, the aggregate amount of the Revolving Extensions of Credit of the Revolving Lenders outstanding at such time.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means a category of Revolving Commitments and extensions of credit hereunder. For purposes hereof, each of the following comprises a separate Tranche: (a) Multicurrency Tranche Revolving Commitments and Multicurrency Tranche Revolving Loans and (b) Dollar Tranche Revolving Commitments, Dollar Tranche Revolving Loans, Letters of Credit and Swingline Loans.</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Costs</w:t>
      </w:r>
      <w:r>
        <w:rPr>
          <w:rFonts w:ascii="Arial" w:cs="Arial" w:eastAsia="Arial" w:hAnsi="Arial"/>
          <w:sz w:val="17"/>
          <w:szCs w:val="17"/>
          <w:color w:val="auto"/>
        </w:rPr>
        <w:t xml:space="preserve">” means the (i) consideration in connection with the GCA Acquisition, (ii) the fees, costs and expenses incurred in connection with the Transactions, (iii) the GCA Refinancing and (iv) the refinancing of the Existing Credit Agreement contemplated in </w:t>
      </w:r>
      <w:r>
        <w:rPr>
          <w:rFonts w:ascii="Arial" w:cs="Arial" w:eastAsia="Arial" w:hAnsi="Arial"/>
          <w:sz w:val="17"/>
          <w:szCs w:val="17"/>
          <w:u w:val="single" w:color="auto"/>
          <w:color w:val="auto"/>
        </w:rPr>
        <w:t>Section 4.01(g)</w:t>
      </w:r>
      <w:r>
        <w:rPr>
          <w:rFonts w:ascii="Arial" w:cs="Arial" w:eastAsia="Arial" w:hAnsi="Arial"/>
          <w:sz w:val="17"/>
          <w:szCs w:val="17"/>
          <w:color w:val="auto"/>
        </w:rPr>
        <w:t>.</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collectively, (a) the execution, delivery and performance by each Loan Party of the Loan Documents (including this Agreement) to which it is to be a party, (b) the creation and perfection of the security interests provided for in the Security Documents, (c) the consummation of the GCA Acquisition, (d) the GCA Refinancing, (e) the refinancing of the Existing Credit Agreement contemplated in </w:t>
      </w:r>
      <w:r>
        <w:rPr>
          <w:rFonts w:ascii="Arial" w:cs="Arial" w:eastAsia="Arial" w:hAnsi="Arial"/>
          <w:sz w:val="18"/>
          <w:szCs w:val="18"/>
          <w:u w:val="single" w:color="auto"/>
          <w:color w:val="auto"/>
        </w:rPr>
        <w:t>Section 4.01(g)</w:t>
      </w:r>
      <w:r>
        <w:rPr>
          <w:rFonts w:ascii="Arial" w:cs="Arial" w:eastAsia="Arial" w:hAnsi="Arial"/>
          <w:sz w:val="18"/>
          <w:szCs w:val="18"/>
          <w:color w:val="auto"/>
        </w:rPr>
        <w:t xml:space="preserve"> and (e) the payment of the Transaction Costs.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Base Rate or the Eurocurrency Rate.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 Borrower incorporated or organized in the United Kingdom of Great Britain and Northern Ireland.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Borrower DTTP Filing</w:t>
      </w:r>
      <w:r>
        <w:rPr>
          <w:rFonts w:ascii="Arial" w:cs="Arial" w:eastAsia="Arial" w:hAnsi="Arial"/>
          <w:sz w:val="17"/>
          <w:szCs w:val="17"/>
          <w:color w:val="auto"/>
        </w:rPr>
        <w:t>” means an HM Revenue &amp; Customs’ Form DTTP2 duly completed and filed by the relevant Borrower,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which: (i) where it relates to a U.K. Treaty Lender that is a Lender on the date of this Agreement, contains the scheme reference number and jurisdiction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residence stated opposite that Lender’s name in Schedule 1.01(a), and (a) where the Borrower is an Borrower on the date of this Agreement, is filed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HM Revenue &amp; Customs within 30 days of the date of this Agreement; or (b) where the Borrower becomes a Borrower after the date of this Agreement,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HM Revenue &amp; Customs within 30 days of the date on which that Borrower becomes a Borrower under this Agreement; or (ii) where it relates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 Treaty Lender that is not an Lender on the date of this Agreement, contains the scheme reference number and jurisdiction of tax residence stated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of that Lender in the relevant Assignment or Assumption (or, if such Lender becomes Lender otherwise than pursuant to an Assignment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Assumption, in the relevant documentation which it executes on becoming a Lender under this Agreement); and (a) where the Borrower is a Borrower as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date on which that U.K. Treaty Lender becomes a Lender under this Agreement, is filed with HM Revenue &amp; Customs within 30 days of that date; or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where the Borrower is not a Borrower as at the date on which that U.K. Treaty Lender becomes a Lender under this Agreement, is filed with HM Revenue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Customs within 30 days of the date on which that Borrower becomes a Borrower under this Agreement; provided that, in the event that a Borrower uses a HM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&amp; Customs’ Form DTTP2A to make a filing in respect of more than one Lender, such Form DTTP2A shall be deemed to be a HM Revenue &amp;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Customs’ Form DTTP2 in respect of each U.K. Treaty Lender specified therein.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CTA</w:t>
      </w:r>
      <w:r>
        <w:rPr>
          <w:rFonts w:ascii="Arial" w:cs="Arial" w:eastAsia="Arial" w:hAnsi="Arial"/>
          <w:sz w:val="18"/>
          <w:szCs w:val="18"/>
          <w:color w:val="auto"/>
        </w:rPr>
        <w:t>” means the U.K. Corporation Tax Act 2009.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ITA</w:t>
      </w:r>
      <w:r>
        <w:rPr>
          <w:rFonts w:ascii="Arial" w:cs="Arial" w:eastAsia="Arial" w:hAnsi="Arial"/>
          <w:sz w:val="18"/>
          <w:szCs w:val="18"/>
          <w:color w:val="auto"/>
        </w:rPr>
        <w:t>” means the U.K. Income Tax Act 2007.</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Non-Bank Lender</w:t>
      </w:r>
      <w:r>
        <w:rPr>
          <w:rFonts w:ascii="Arial" w:cs="Arial" w:eastAsia="Arial" w:hAnsi="Arial"/>
          <w:sz w:val="17"/>
          <w:szCs w:val="17"/>
          <w:color w:val="auto"/>
        </w:rPr>
        <w:t>” means: (i) where a Lender becomes a party to this Agreement on the date of this Agreement, a Lender which is designated as a U.K. Non-Bank Lender in Schedule 1.01(a); and (ii) where a Lender becomes a party to this Agreement after the date of this Agreement, a Lender which gives a U.K. Tax Confirmation in the relevant Assignment or Assumption (or, if such Lender becomes Lender otherwise than pursuant to an Assignment and Assumption, in the relevant documentation which it executes on becoming a Lender under this Agreement).</w:t>
      </w:r>
    </w:p>
    <w:p>
      <w:pPr>
        <w:spacing w:after="0" w:line="17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Qualifying Lender</w:t>
      </w:r>
      <w:r>
        <w:rPr>
          <w:rFonts w:ascii="Arial" w:cs="Arial" w:eastAsia="Arial" w:hAnsi="Arial"/>
          <w:sz w:val="17"/>
          <w:szCs w:val="17"/>
          <w:color w:val="auto"/>
        </w:rPr>
        <w:t>” means a Lender which is beneficially entitled to interest payable to that Lender in respect of an advance under a Loan Document and is (a) a Lender: (i) which is a bank (as defined for the purpose of section 879 of the U.K. ITA) making an advance under a Loan Document and is within the charge to U.K. corporation tax as respects any payments of interest made in respect of that advance or would be within such charge as respects such payments apart from section 18A of the U.K. CTA; or (ii) in respect of an advance made under a Loan Document by a person that was a bank (as defined for the purpose of section 879 of the U.K. ITA) at the time that that advance was made and within the charge to U.K. corporation tax as respects any payments of interest made in respect of that advance; or (b) a Lender which is: (i) a company resident in the United Kingdom for U.K. tax purposes; or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(c) a U.K. Treaty Lender or (d) a building society (as defined for the purposes of section 880 of the U.K. ITA) making an advance under a Loan Document.</w:t>
      </w:r>
    </w:p>
    <w:p>
      <w:pPr>
        <w:spacing w:after="0" w:line="18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Tax Confirmation</w:t>
      </w:r>
      <w:r>
        <w:rPr>
          <w:rFonts w:ascii="Arial" w:cs="Arial" w:eastAsia="Arial" w:hAnsi="Arial"/>
          <w:sz w:val="16"/>
          <w:szCs w:val="16"/>
          <w:color w:val="auto"/>
        </w:rPr>
        <w:t>” means a confirmation by a Lender that the person beneficially entitled to interest payable to that Lender in respect of an advance under a Loan Document is either: (a) a company resident in the United Kingdom for United Kingdom tax purposes; or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pacing w:after="0" w:line="16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Tax Deduction</w:t>
      </w:r>
      <w:r>
        <w:rPr>
          <w:rFonts w:ascii="Arial" w:cs="Arial" w:eastAsia="Arial" w:hAnsi="Arial"/>
          <w:sz w:val="18"/>
          <w:szCs w:val="18"/>
          <w:color w:val="auto"/>
        </w:rPr>
        <w:t>” means a deduction or withholding for or on account of Tax imposed by the United Kingdom from a payment under a Loan Document, other than a deduction or withholding required by FATCA.</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u w:val="single" w:color="auto"/>
          <w:color w:val="auto"/>
        </w:rPr>
        <w:t>U.K. Treaty</w:t>
      </w:r>
      <w:r>
        <w:rPr>
          <w:rFonts w:ascii="Arial" w:cs="Arial" w:eastAsia="Arial" w:hAnsi="Arial"/>
          <w:sz w:val="18"/>
          <w:szCs w:val="18"/>
          <w:color w:val="auto"/>
        </w:rPr>
        <w:t>”) with the United Kingdom which makes provision for full exemption from tax imposed by the United Kingdom on interest.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Treaty Lender</w:t>
      </w:r>
      <w:r>
        <w:rPr>
          <w:rFonts w:ascii="Arial" w:cs="Arial" w:eastAsia="Arial" w:hAnsi="Arial"/>
          <w:sz w:val="17"/>
          <w:szCs w:val="17"/>
          <w:color w:val="auto"/>
        </w:rPr>
        <w:t>” means a Lender which: (1) is treated as a resident of a U.K. Treaty State for the purposes of a U.K. Treaty; (2) does not carry on a business in the United Kingdom through a permanent establishment with which that Lender’s participation in the Loan is effectively connected; and (3) fulfils any conditions which must be fulfilled under that U.K. Treaty to obtain full exemption from United Kingdom tax on interest payable to that Lender in respect of an advance under a Loan Document, subject to the completion of any necessary procedural formalities.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Cash</w:t>
      </w:r>
      <w:r>
        <w:rPr>
          <w:rFonts w:ascii="Arial" w:cs="Arial" w:eastAsia="Arial" w:hAnsi="Arial"/>
          <w:sz w:val="17"/>
          <w:szCs w:val="17"/>
          <w:color w:val="auto"/>
        </w:rPr>
        <w:t xml:space="preserve">” means cash and Permitted Investments of the Company and its Subsidiaries which are not subject to any Liens (other than Permitted Encumbrances of the type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of the definition thereof and Liens permitted by </w:t>
      </w:r>
      <w:r>
        <w:rPr>
          <w:rFonts w:ascii="Arial" w:cs="Arial" w:eastAsia="Arial" w:hAnsi="Arial"/>
          <w:sz w:val="17"/>
          <w:szCs w:val="17"/>
          <w:u w:val="single" w:color="auto"/>
          <w:color w:val="auto"/>
        </w:rPr>
        <w:t>Sections 6.02(a)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w:t>
      </w:r>
    </w:p>
    <w:p>
      <w:pPr>
        <w:spacing w:after="0" w:line="14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Subsidiary</w:t>
      </w:r>
      <w:r>
        <w:rPr>
          <w:rFonts w:ascii="Arial" w:cs="Arial" w:eastAsia="Arial" w:hAnsi="Arial"/>
          <w:sz w:val="17"/>
          <w:szCs w:val="17"/>
          <w:color w:val="auto"/>
        </w:rPr>
        <w:t xml:space="preserve">” means (a) any Subsidiary of the Company that is designated as an Unrestricted Subsidiary by the Company on the Closing Date or pursuant to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subsequent to the Closing Date and (b) any Subsidiary of an Unrestricted Subsidiary.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2.18(g)(ii)(B)(3)</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xml:space="preserve">”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or imposed elsewhere.</w:t>
      </w:r>
    </w:p>
    <w:p>
      <w:pPr>
        <w:spacing w:after="0" w:line="18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Voluntary Prepayment Amount</w:t>
      </w:r>
      <w:r>
        <w:rPr>
          <w:rFonts w:ascii="Arial" w:cs="Arial" w:eastAsia="Arial" w:hAnsi="Arial"/>
          <w:sz w:val="18"/>
          <w:szCs w:val="18"/>
          <w:color w:val="auto"/>
        </w:rPr>
        <w:t>” means, as of any date, an amount equal to (a) the sum of (i) the aggregate principal amount of all optional prepayments of Term Loans and Incremental Equivalent Debt in the form of term loans made prior to such date (excluding prepayments made with the proceeds of long-term Indebtedness) and (ii) the aggregate principal amount all optional prepayments of Revolving Loans or Incremental Equivalent Debt in the form of revolving loans made prior to such date (excluding prepayments made with the proceeds of long-term Indebtedness), solely to the extent accompanied by an equivalent permanent reduction of Revolving Commitments or the revolving commitments under such Incremental Equivalent Debt, as applicable, less (b) the sum of (i) the aggregate amount of all Incremental Commitments extended prior to such date in reliance on the Voluntary Prepayment Amount and (ii) the aggregate principal amount of all Incremental Equivalent Debt incurred prior to such date in reliance on the Voluntary Prepayment Amount.</w:t>
      </w:r>
    </w:p>
    <w:p>
      <w:pPr>
        <w:spacing w:after="0" w:line="19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wholly-owned Subsidiary of such Person or any combination thereof.</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Class (e.g., a “</w:t>
      </w:r>
      <w:r>
        <w:rPr>
          <w:rFonts w:ascii="Arial" w:cs="Arial" w:eastAsia="Arial" w:hAnsi="Arial"/>
          <w:sz w:val="18"/>
          <w:szCs w:val="18"/>
          <w:u w:val="single" w:color="auto"/>
          <w:color w:val="auto"/>
        </w:rPr>
        <w:t>Term Loan</w:t>
      </w:r>
      <w:r>
        <w:rPr>
          <w:rFonts w:ascii="Arial" w:cs="Arial" w:eastAsia="Arial" w:hAnsi="Arial"/>
          <w:sz w:val="18"/>
          <w:szCs w:val="18"/>
          <w:color w:val="auto"/>
        </w:rPr>
        <w:t>” or “</w:t>
      </w:r>
      <w:r>
        <w:rPr>
          <w:rFonts w:ascii="Arial" w:cs="Arial" w:eastAsia="Arial" w:hAnsi="Arial"/>
          <w:sz w:val="18"/>
          <w:szCs w:val="18"/>
          <w:u w:val="single" w:color="auto"/>
          <w:color w:val="auto"/>
        </w:rPr>
        <w:t>Term Loan Borrowing</w:t>
      </w:r>
      <w:r>
        <w:rPr>
          <w:rFonts w:ascii="Arial" w:cs="Arial" w:eastAsia="Arial" w:hAnsi="Arial"/>
          <w:sz w:val="18"/>
          <w:szCs w:val="18"/>
          <w:color w:val="auto"/>
        </w:rPr>
        <w:t>”) or by Type (e.g., a “</w:t>
      </w:r>
      <w:r>
        <w:rPr>
          <w:rFonts w:ascii="Arial" w:cs="Arial" w:eastAsia="Arial" w:hAnsi="Arial"/>
          <w:sz w:val="18"/>
          <w:szCs w:val="18"/>
          <w:u w:val="single" w:color="auto"/>
          <w:color w:val="auto"/>
        </w:rPr>
        <w:t>Eurocurrency Loan</w:t>
      </w:r>
      <w:r>
        <w:rPr>
          <w:rFonts w:ascii="Arial" w:cs="Arial" w:eastAsia="Arial" w:hAnsi="Arial"/>
          <w:sz w:val="18"/>
          <w:szCs w:val="18"/>
          <w:color w:val="auto"/>
        </w:rPr>
        <w:t>” or “</w:t>
      </w:r>
      <w:r>
        <w:rPr>
          <w:rFonts w:ascii="Arial" w:cs="Arial" w:eastAsia="Arial" w:hAnsi="Arial"/>
          <w:sz w:val="18"/>
          <w:szCs w:val="18"/>
          <w:u w:val="single" w:color="auto"/>
          <w:color w:val="auto"/>
        </w:rPr>
        <w:t>Eurocurrency Borrowing</w:t>
      </w:r>
      <w:r>
        <w:rPr>
          <w:rFonts w:ascii="Arial" w:cs="Arial" w:eastAsia="Arial" w:hAnsi="Arial"/>
          <w:sz w:val="18"/>
          <w:szCs w:val="18"/>
          <w:color w:val="auto"/>
        </w:rPr>
        <w:t>”) or by Class and Type (e.g., a “</w:t>
      </w:r>
      <w:r>
        <w:rPr>
          <w:rFonts w:ascii="Arial" w:cs="Arial" w:eastAsia="Arial" w:hAnsi="Arial"/>
          <w:sz w:val="18"/>
          <w:szCs w:val="18"/>
          <w:u w:val="single" w:color="auto"/>
          <w:color w:val="auto"/>
        </w:rPr>
        <w:t>Eurocurrency Term Loan</w:t>
      </w:r>
      <w:r>
        <w:rPr>
          <w:rFonts w:ascii="Arial" w:cs="Arial" w:eastAsia="Arial" w:hAnsi="Arial"/>
          <w:sz w:val="18"/>
          <w:szCs w:val="18"/>
          <w:color w:val="auto"/>
        </w:rPr>
        <w:t>” or “</w:t>
      </w:r>
      <w:r>
        <w:rPr>
          <w:rFonts w:ascii="Arial" w:cs="Arial" w:eastAsia="Arial" w:hAnsi="Arial"/>
          <w:sz w:val="18"/>
          <w:szCs w:val="18"/>
          <w:u w:val="single" w:color="auto"/>
          <w:color w:val="auto"/>
        </w:rPr>
        <w:t>Eurocurrency Term Borrowing</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amended and restated, extended, supplemented or otherwise modified (subject to any restrictions on such amendments, restatements, amendment and restatements, extensions, supplements or modifications set forth herein), (b) any definition of or reference to any statute, rule or regulation shall be construed as referring thereto as from time to time amended, consolidated, replaced, interpreted,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 In the computation of periods of time from a specified date to a later specified date, the word “</w:t>
      </w:r>
      <w:r>
        <w:rPr>
          <w:rFonts w:ascii="Arial" w:cs="Arial" w:eastAsia="Arial" w:hAnsi="Arial"/>
          <w:sz w:val="16"/>
          <w:szCs w:val="16"/>
          <w:u w:val="single" w:color="auto"/>
          <w:color w:val="auto"/>
        </w:rPr>
        <w:t>from</w:t>
      </w:r>
      <w:r>
        <w:rPr>
          <w:rFonts w:ascii="Arial" w:cs="Arial" w:eastAsia="Arial" w:hAnsi="Arial"/>
          <w:sz w:val="16"/>
          <w:szCs w:val="16"/>
          <w:color w:val="auto"/>
        </w:rPr>
        <w:t>” means “</w:t>
      </w:r>
      <w:r>
        <w:rPr>
          <w:rFonts w:ascii="Arial" w:cs="Arial" w:eastAsia="Arial" w:hAnsi="Arial"/>
          <w:sz w:val="16"/>
          <w:szCs w:val="16"/>
          <w:u w:val="single" w:color="auto"/>
          <w:color w:val="auto"/>
        </w:rPr>
        <w:t>from and including</w:t>
      </w:r>
      <w:r>
        <w:rPr>
          <w:rFonts w:ascii="Arial" w:cs="Arial" w:eastAsia="Arial" w:hAnsi="Arial"/>
          <w:sz w:val="16"/>
          <w:szCs w:val="16"/>
          <w:color w:val="auto"/>
        </w:rPr>
        <w:t>,” the words “</w:t>
      </w:r>
      <w:r>
        <w:rPr>
          <w:rFonts w:ascii="Arial" w:cs="Arial" w:eastAsia="Arial" w:hAnsi="Arial"/>
          <w:sz w:val="16"/>
          <w:szCs w:val="16"/>
          <w:u w:val="single" w:color="auto"/>
          <w:color w:val="auto"/>
        </w:rPr>
        <w:t>to</w:t>
      </w:r>
      <w:r>
        <w:rPr>
          <w:rFonts w:ascii="Arial" w:cs="Arial" w:eastAsia="Arial" w:hAnsi="Arial"/>
          <w:sz w:val="16"/>
          <w:szCs w:val="16"/>
          <w:color w:val="auto"/>
        </w:rPr>
        <w:t>” and “</w:t>
      </w:r>
      <w:r>
        <w:rPr>
          <w:rFonts w:ascii="Arial" w:cs="Arial" w:eastAsia="Arial" w:hAnsi="Arial"/>
          <w:sz w:val="16"/>
          <w:szCs w:val="16"/>
          <w:u w:val="single" w:color="auto"/>
          <w:color w:val="auto"/>
        </w:rPr>
        <w:t>until</w:t>
      </w:r>
      <w:r>
        <w:rPr>
          <w:rFonts w:ascii="Arial" w:cs="Arial" w:eastAsia="Arial" w:hAnsi="Arial"/>
          <w:sz w:val="16"/>
          <w:szCs w:val="16"/>
          <w:color w:val="auto"/>
        </w:rPr>
        <w:t>” each mean “</w:t>
      </w:r>
      <w:r>
        <w:rPr>
          <w:rFonts w:ascii="Arial" w:cs="Arial" w:eastAsia="Arial" w:hAnsi="Arial"/>
          <w:sz w:val="16"/>
          <w:szCs w:val="16"/>
          <w:u w:val="single" w:color="auto"/>
          <w:color w:val="auto"/>
        </w:rPr>
        <w:t>to but excluding</w:t>
      </w:r>
      <w:r>
        <w:rPr>
          <w:rFonts w:ascii="Arial" w:cs="Arial" w:eastAsia="Arial" w:hAnsi="Arial"/>
          <w:sz w:val="16"/>
          <w:szCs w:val="16"/>
          <w:color w:val="auto"/>
        </w:rPr>
        <w:t>,” and the word “</w:t>
      </w:r>
      <w:r>
        <w:rPr>
          <w:rFonts w:ascii="Arial" w:cs="Arial" w:eastAsia="Arial" w:hAnsi="Arial"/>
          <w:sz w:val="16"/>
          <w:szCs w:val="16"/>
          <w:u w:val="single" w:color="auto"/>
          <w:color w:val="auto"/>
        </w:rPr>
        <w:t>through</w:t>
      </w:r>
      <w:r>
        <w:rPr>
          <w:rFonts w:ascii="Arial" w:cs="Arial" w:eastAsia="Arial" w:hAnsi="Arial"/>
          <w:sz w:val="16"/>
          <w:szCs w:val="16"/>
          <w:color w:val="auto"/>
        </w:rPr>
        <w:t>” means “</w:t>
      </w:r>
      <w:r>
        <w:rPr>
          <w:rFonts w:ascii="Arial" w:cs="Arial" w:eastAsia="Arial" w:hAnsi="Arial"/>
          <w:sz w:val="16"/>
          <w:szCs w:val="16"/>
          <w:u w:val="single" w:color="auto"/>
          <w:color w:val="auto"/>
        </w:rPr>
        <w:t>to and including</w:t>
      </w:r>
      <w:r>
        <w:rPr>
          <w:rFonts w:ascii="Arial" w:cs="Arial" w:eastAsia="Arial" w:hAnsi="Arial"/>
          <w:sz w:val="16"/>
          <w:szCs w:val="16"/>
          <w:color w:val="auto"/>
        </w:rPr>
        <w:t>.”</w:t>
      </w:r>
    </w:p>
    <w:p>
      <w:pPr>
        <w:spacing w:after="0" w:line="17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 Pro Forma Calculations</w:t>
      </w:r>
      <w:r>
        <w:rPr>
          <w:rFonts w:ascii="Arial" w:cs="Arial" w:eastAsia="Arial" w:hAnsi="Arial"/>
          <w:sz w:val="17"/>
          <w:szCs w:val="17"/>
          <w:color w:val="auto"/>
        </w:rPr>
        <w:t xml:space="preserve">. (a) Except as otherwise expressly provided herein, all terms of an accounting or financial nature used herein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Company, by notice to the Administrative Agent, shall request an amendment to any provision hereof to eliminate the effect of any change occurring after the Closing Date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and all computations of amounts and ratios referred to herein shall be made, without giving effect to (A) any election under Accounting Standards Codification 825-10-25 (previously referred to as Statement of Financial Accounting Standards 159, The Fair Value Option for Financial Assets and Financial Liabilities), or any successor thereto (including pursuant to the Accounting Standards Codification), to value any Indebtedness of the Company or any Subsidiary at “fair value,” as defined therein and (B) any treatment of Indebtedness relating to convertible or equity-linked securities under Accounting Standards Codification 470-20 (or any other Accounting Standards Codification or Financial Accounting Standard having a similar result or effect) requiring the valuation of any such Indebtedness in a reduced or bifurcated manner as described therein, and such Indebtedness shall at all times be valued at the full stated principal amount thereof. For purposes of the foregoing, any change by the Company in its accounting principles and standards to adopt International Financial Reporting Standards, regardless of whether required by applicable laws and regulations, will be deemed a change in GAAP.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jc w:val="both"/>
        <w:ind w:firstLine="1305"/>
        <w:spacing w:after="0" w:line="259" w:lineRule="auto"/>
        <w:tabs>
          <w:tab w:leader="none" w:pos="1956"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 change in GAAP after the Closing Date that would require obligations that would be classified and accounted for as an operating lease under GAAP as existing on the Closing Date to be classified and accounted for as capital leases or otherwise reflected on the consolidated balance sheet of the Company and its Subsidiaries (including its Unrestricted Subsidiaries), such obligations shall continue to be treated as operating leases for all purposes under this Agreement.</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2007"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any test or covenant contained in this Agreement with respect to any period during which any Initiative occurs or during which any designation of any Subsidiary as an Unrestricted Subsidiary and any Unrestricted Subsidiary as a Subsidiary in accordance with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occurs (a “</w:t>
      </w:r>
      <w:r>
        <w:rPr>
          <w:rFonts w:ascii="Arial" w:cs="Arial" w:eastAsia="Arial" w:hAnsi="Arial"/>
          <w:sz w:val="17"/>
          <w:szCs w:val="17"/>
          <w:u w:val="single" w:color="auto"/>
          <w:color w:val="auto"/>
        </w:rPr>
        <w:t>Subsidiary Designation</w:t>
      </w:r>
      <w:r>
        <w:rPr>
          <w:rFonts w:ascii="Arial" w:cs="Arial" w:eastAsia="Arial" w:hAnsi="Arial"/>
          <w:sz w:val="17"/>
          <w:szCs w:val="17"/>
          <w:color w:val="auto"/>
        </w:rPr>
        <w:t>”), or for purposes of determining whether any Initiative or Subsidiary Designation is permitted hereunder, Consolidated EBITDA, the Total Leverage Ratio, Adjusted Consolidated EBITDAR and the Fixed Charge Coverage Ratio shall be calculated with respect to such period on a Pro Forma Basis, giving effect to such Initiative or Subsidiary Designation.</w:t>
      </w:r>
    </w:p>
    <w:p>
      <w:pPr>
        <w:spacing w:after="0" w:line="17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Excluded Swap Obligations</w:t>
      </w:r>
      <w:r>
        <w:rPr>
          <w:rFonts w:ascii="Arial" w:cs="Arial" w:eastAsia="Arial" w:hAnsi="Arial"/>
          <w:sz w:val="17"/>
          <w:szCs w:val="17"/>
          <w:color w:val="auto"/>
        </w:rPr>
        <w:t>. Notwithstanding any provision of this Agreement or any other Loan Document, no Guarantee by any Loan Party under any Loan Document shall include a Guarantee of any Obligation that, as to such Loan Party, is an Excluded Swap Obligation and no Collateral provided by any Loan Party shall secure any Obligation that, as to such Loan Party, is an Excluded Swap Obligation. In the event that any payment is made by, or any collection is realized from, any Loan Party as to which any Obligations are Excluded Swap Obligations, or from any Collateral provided by such Loan Party, the proceeds thereof shall be applied to pay the Obligations of such Loan Party as otherwise provided herein without giving effect to such Excluded Swap Obligations and each reference in this Agreement or any other Loan Document to the ratable application of such amounts as among the Obligations or any specified portion of the Obligations that would otherwise include such Excluded Swap Obligations shall be deemed so to provide, but appropriate adjustments shall be made with respect to payments from the other Loan Parties (or on account of their assets) to preserve the ratable application thereof as set forth in this Agreement.</w:t>
      </w:r>
    </w:p>
    <w:p>
      <w:pPr>
        <w:spacing w:after="0" w:line="18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Limited Condition Acquisitions</w:t>
      </w:r>
      <w:r>
        <w:rPr>
          <w:rFonts w:ascii="Arial" w:cs="Arial" w:eastAsia="Arial" w:hAnsi="Arial"/>
          <w:sz w:val="16"/>
          <w:szCs w:val="16"/>
          <w:color w:val="auto"/>
        </w:rPr>
        <w:t>. In connection with the incurrence of any Indebtedness or Liens or the making of any Investments, Restricted Payments, prepayments of Restricted Indebtedness, Dispositions or fundamental changes or the designation of any Subsidiaries or Unrestricted Subsidiaries, in each case, in connection with a Limited Condition Acquisition (any of the foregoing, an “</w:t>
      </w:r>
      <w:r>
        <w:rPr>
          <w:rFonts w:ascii="Arial" w:cs="Arial" w:eastAsia="Arial" w:hAnsi="Arial"/>
          <w:sz w:val="16"/>
          <w:szCs w:val="16"/>
          <w:u w:val="single" w:color="auto"/>
          <w:color w:val="auto"/>
        </w:rPr>
        <w:t>LCA Action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LCA Actions</w:t>
      </w:r>
      <w:r>
        <w:rPr>
          <w:rFonts w:ascii="Arial" w:cs="Arial" w:eastAsia="Arial" w:hAnsi="Arial"/>
          <w:sz w:val="16"/>
          <w:szCs w:val="16"/>
          <w:color w:val="auto"/>
        </w:rPr>
        <w:t>”), for purposes of determining compliance with any provision of this Agreement which requires that no Default or Event of Default has occurred, is continuing or would result from any such LCA Action or that the representations and warranties shall be true and correct (or true and correct in all material respects), as applicable, such condition shall, at the option of the Company (the Company’s election to exercise such option in connection with any Limited Condition Acquisition, an “</w:t>
      </w:r>
      <w:r>
        <w:rPr>
          <w:rFonts w:ascii="Arial" w:cs="Arial" w:eastAsia="Arial" w:hAnsi="Arial"/>
          <w:sz w:val="16"/>
          <w:szCs w:val="16"/>
          <w:u w:val="single" w:color="auto"/>
          <w:color w:val="auto"/>
        </w:rPr>
        <w:t>LCA Election</w:t>
      </w:r>
      <w:r>
        <w:rPr>
          <w:rFonts w:ascii="Arial" w:cs="Arial" w:eastAsia="Arial" w:hAnsi="Arial"/>
          <w:sz w:val="16"/>
          <w:szCs w:val="16"/>
          <w:color w:val="auto"/>
        </w:rPr>
        <w:t>”), be deemed satisfied, so long as no Default or Event of Default exists and the representations and warranties are true and correct (or true and correct in all material respects, as applicable) on the date the definitive agreements for such Limited Condition Acquisition are entered into (the “</w:t>
      </w:r>
      <w:r>
        <w:rPr>
          <w:rFonts w:ascii="Arial" w:cs="Arial" w:eastAsia="Arial" w:hAnsi="Arial"/>
          <w:sz w:val="16"/>
          <w:szCs w:val="16"/>
          <w:u w:val="single" w:color="auto"/>
          <w:color w:val="auto"/>
        </w:rPr>
        <w:t>LCA Test Date</w:t>
      </w:r>
      <w:r>
        <w:rPr>
          <w:rFonts w:ascii="Arial" w:cs="Arial" w:eastAsia="Arial" w:hAnsi="Arial"/>
          <w:sz w:val="16"/>
          <w:szCs w:val="16"/>
          <w:color w:val="auto"/>
        </w:rPr>
        <w:t xml:space="preserve">”) and no Event of Default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have occurred and is continuing on the effective date of such LCA Action. For the avoidance of doubt, if the Company has exercised the LCA Election, and any Default or Event of Default occurs (including as a result of the representations and warranties not being true and correct) following the LCA Test Date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connection with any LCA Action, for purposes of:</w:t>
      </w:r>
    </w:p>
    <w:p>
      <w:pPr>
        <w:spacing w:after="0" w:line="225" w:lineRule="exact"/>
        <w:rPr>
          <w:sz w:val="20"/>
          <w:szCs w:val="20"/>
          <w:color w:val="auto"/>
        </w:rPr>
      </w:pPr>
    </w:p>
    <w:p>
      <w:pPr>
        <w:ind w:left="1920" w:hanging="615"/>
        <w:spacing w:after="0"/>
        <w:tabs>
          <w:tab w:leader="none" w:pos="19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determining compliance with any provision of this Agreement which requires the calculation of the Total Leverage Ratio; or</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testing baskets set forth in this Agreement;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each case, upon the LCA Election, the date of determination of whether any such action is permitted hereunder, shall be the LCA Test Date, and if, after giving effect to the Limited Condition Acquisition and the other transactions to be entered into in connection therewith (including any incurrence of Indebtedness and the use of proceeds thereof) on a Pro Forma Basis as if they had occurred at the beginning of the most recent four consecutive fiscal quarters ending prior to the LCA Test Date for which consolidated financial statements of the Company are available, the Company could have taken such action on the relevant LCA Test Date in compliance with such ratio or basket, such ratio or basket shall be deemed to have been complied with. For the avoidance of doubt, if the Company has made an LCA Election and any of the ratios or baskets for which compliance was determined or tested as of the LCA Test Date are exceeded as a result of fluctuations in any such ratio or basket, including due to fluctuations in Consolidated EBITDA of the Company or the Person subject to such Limited Condition Acquisition, at or prior to the consummation of the relevant transaction or action, such baskets or ratios will not be deemed to have been exceeded as a result of such fluctuations. If the Company has made an LCA Election for any Limited Condition Acquisition, then in connection with any subsequent calculation of any ratio or basket availability with respect to the incurrence of any Indebtedness or Liens or the making of any Investments, Restricted Payments, prepayments of Restricted Indebtedness, Dispositions or fundamental changes or the designation of any Subsidiaries or Unrestricted Subsidiaries, in each case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both (y) on a Pro Forma Basis assuming such Limited Condition Acquisition and other transactions in connection therewith (including any incurrence of Indebtedness and the use of proceeds thereof) have been consummated and (z) assuming such Limited Condition Acquisition and other transactions in connection therewith have not been consummated.</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Exchange Rates; Currency Equivalents; Rates</w:t>
      </w:r>
      <w:r>
        <w:rPr>
          <w:rFonts w:ascii="Arial" w:cs="Arial" w:eastAsia="Arial" w:hAnsi="Arial"/>
          <w:sz w:val="17"/>
          <w:szCs w:val="17"/>
          <w:color w:val="auto"/>
        </w:rPr>
        <w:t>. (a) The Administrative Agent or the applicable Issuing Lender, as applicable, shall determine the Spot Rates as of each Revaluation Date to be used for calculating Dollar Equivalent amounts of Revolving Extensions of Credit and Revolving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Company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Lender, as applicable.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ind w:firstLine="1305"/>
        <w:spacing w:after="0" w:line="276" w:lineRule="auto"/>
        <w:tabs>
          <w:tab w:leader="none" w:pos="2104"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Lender, as the case may be.</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20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“Eurocurrency Rate” or with respect to any comparable or successor rate thereto.</w:t>
      </w:r>
    </w:p>
    <w:p>
      <w:pPr>
        <w:spacing w:after="0" w:line="18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Additional Alternative Currencies</w:t>
      </w:r>
      <w:r>
        <w:rPr>
          <w:rFonts w:ascii="Arial" w:cs="Arial" w:eastAsia="Arial" w:hAnsi="Arial"/>
          <w:sz w:val="17"/>
          <w:szCs w:val="17"/>
          <w:color w:val="auto"/>
        </w:rPr>
        <w:t xml:space="preserve">. (a) The 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requested currency is an Eligible Currency and (ii) such requested currency shall be treated as a “LIBOR Quoted Currency” only to the extent that there is a published LIBOR Rate for such currency. In the case of any such request with respect to the making of Eurocurrency Rate Loans, such request shall be subject to the approval of the Administrative Agent and the Multicurrency Tranche Revolving Lenders; and in the case of any such request with respect to the issuance of Letters of Credit, such request shall be subject to the approval of the Administrative Agent and the applicable Issuing Lender.</w:t>
      </w:r>
    </w:p>
    <w:p>
      <w:pPr>
        <w:spacing w:after="0" w:line="178" w:lineRule="exact"/>
        <w:rPr>
          <w:sz w:val="20"/>
          <w:szCs w:val="20"/>
          <w:color w:val="auto"/>
        </w:rPr>
      </w:pPr>
    </w:p>
    <w:p>
      <w:pPr>
        <w:jc w:val="both"/>
        <w:ind w:firstLine="1305"/>
        <w:spacing w:after="0" w:line="290" w:lineRule="auto"/>
        <w:tabs>
          <w:tab w:leader="none" w:pos="2037"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20 Business Days prior to the date of the desired Borrowing or issuance of a Letter of Credit (or such other time or date as may be agreed by the Administrative Agent and, in the case of any such request pertaining to Letters of Credit, the applicable Issuing Lender, in its or their sole discretion). In the case of any such request pertaining to Eurocurrency Rate Loans, the Administrative Agent shall promptly notify each Multicurrency Tranche Revolving Lender thereof; and in the case of any such request pertaining to Letters of Credit, the Administrative Agent shall promptly notify the applicable Issuing Lender thereof. Each Multicurrency Tranche Revolving Lender (in the case of any such request pertaining to Eurocurrency Rate Loans) or the applicable Issuing Lender (in the case of a request pertaining to Letters of Credit) shall notify the Administrative Agent, not later than 11:00 a.m., ten Business Days after receipt of such request whether it consents, in its sole discretion, to the making of Eurocurrency Rate Loans or the issuance of Letters of Credit, as the case may be, in such requested currency.</w:t>
      </w:r>
    </w:p>
    <w:p>
      <w:pPr>
        <w:spacing w:after="0" w:line="166" w:lineRule="exact"/>
        <w:rPr>
          <w:rFonts w:ascii="Arial" w:cs="Arial" w:eastAsia="Arial" w:hAnsi="Arial"/>
          <w:sz w:val="16"/>
          <w:szCs w:val="16"/>
          <w:color w:val="auto"/>
        </w:rPr>
      </w:pPr>
    </w:p>
    <w:p>
      <w:pPr>
        <w:jc w:val="both"/>
        <w:ind w:firstLine="1305"/>
        <w:spacing w:after="0" w:line="283" w:lineRule="auto"/>
        <w:tabs>
          <w:tab w:leader="none" w:pos="2041"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failure by a Multicurrency Tranche Revolving Lender or an Issuing Lender, as the case may be, to respond to such request within the time period specified in the preceding sentence shall be deemed to be a refusal by such Lender or such Issuing Lender, as the case may be, to permit Eurocurrency Rate Loans to be made or Letters of Credit to be issued in such requested currency. If the Administrative Agent and all the Multicurrency Tranche Revolving Lenders consent to making Eurocurrency Rate Loans in such requested currency and the Administrative Agent and the Multicurrency Tranche Revolving Lenders determine that there is an appropriate interest rate to be used for such requested currency, the Administrative Agent shall so notify the Company and (i) the Administrative Agent and such Lenders may amend the definition of Eurocurrency Rate for any Non-LIBOR Quoted Currency to the extent necessary to add the applicable Eurocurrency Rate for such currency and (ii) to the extent the definition of Eurocurrency Rate reflects the appropriate interest rate for such currency or has been amended to reflect the appropriate rate for such currency, such currency shall thereupon be deemed for all purposes to be an Alternative Currency for purposes of any Borrowings of Eurocurrency Rate Loans; and if the Administrative Agent and the applicable Issuing Lender consent to the issuance of Letters of Credit in such requested currency, the Administrative Agent shall so notify the Company and</w:t>
      </w:r>
    </w:p>
    <w:p>
      <w:pPr>
        <w:spacing w:after="0" w:line="5" w:lineRule="exact"/>
        <w:rPr>
          <w:rFonts w:ascii="Arial" w:cs="Arial" w:eastAsia="Arial" w:hAnsi="Arial"/>
          <w:sz w:val="16"/>
          <w:szCs w:val="16"/>
          <w:color w:val="auto"/>
        </w:rPr>
      </w:pPr>
    </w:p>
    <w:p>
      <w:pPr>
        <w:jc w:val="both"/>
        <w:ind w:firstLine="8"/>
        <w:spacing w:after="0" w:line="269" w:lineRule="auto"/>
        <w:tabs>
          <w:tab w:leader="none" w:pos="298"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Administrative Agent and the applicable Issuing Lender may amend the definition of Eurocurrency Rate for any Non-LIBOR Quoted Currency to the extent necessary to add the applicable Eurocurrency Rate for such currency and (B) to the extent the definition of Eurocurrency Rate reflects the appropriate interest rate for such currency or has been amended to reflect the appropriate rate for such currency, such currency shall thereupon be deemed for all purposes to be an Alternative Currency, for purposes of any Letter of Credit issuances by such Issuing Lender. If the Administrative Agent shall fail to obtain consent to any request for an additional currency under this </w:t>
      </w:r>
      <w:r>
        <w:rPr>
          <w:rFonts w:ascii="Arial" w:cs="Arial" w:eastAsia="Arial" w:hAnsi="Arial"/>
          <w:sz w:val="17"/>
          <w:szCs w:val="17"/>
          <w:u w:val="single" w:color="auto"/>
          <w:color w:val="auto"/>
        </w:rPr>
        <w:t>Section 1.08</w:t>
      </w:r>
      <w:r>
        <w:rPr>
          <w:rFonts w:ascii="Arial" w:cs="Arial" w:eastAsia="Arial" w:hAnsi="Arial"/>
          <w:sz w:val="17"/>
          <w:szCs w:val="17"/>
          <w:color w:val="auto"/>
        </w:rPr>
        <w:t>, the Administrative Agent shall promptly so notify the Company.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ind w:firstLine="1297"/>
        <w:spacing w:after="0" w:line="272"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Change of Currency</w:t>
      </w:r>
      <w:r>
        <w:rPr>
          <w:rFonts w:ascii="Arial" w:cs="Arial" w:eastAsia="Arial" w:hAnsi="Arial"/>
          <w:sz w:val="17"/>
          <w:szCs w:val="17"/>
          <w:color w:val="auto"/>
        </w:rPr>
        <w:t xml:space="preserve">. (a) 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78" w:lineRule="exact"/>
        <w:rPr>
          <w:sz w:val="20"/>
          <w:szCs w:val="20"/>
          <w:color w:val="auto"/>
        </w:rPr>
      </w:pPr>
    </w:p>
    <w:p>
      <w:pPr>
        <w:jc w:val="both"/>
        <w:ind w:firstLine="1305"/>
        <w:spacing w:after="0" w:line="264" w:lineRule="auto"/>
        <w:tabs>
          <w:tab w:leader="none" w:pos="20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(a) Subject to the terms and conditions set forth herein, each Term Lender agrees to make a Term Loan in Dollars to the Company on the Closing Date in a principal amount not exceeding its Initial Term Loan Commitment. Amounts repaid or prepaid in respect of Term Loans may not be reborrowed.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both"/>
        <w:ind w:firstLine="1305"/>
        <w:spacing w:after="0" w:line="269" w:lineRule="auto"/>
        <w:tabs>
          <w:tab w:leader="none" w:pos="2078"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(i) each Dollar Tranche Revolving Lender agrees to make revolving credit loans (“</w:t>
      </w:r>
      <w:r>
        <w:rPr>
          <w:rFonts w:ascii="Arial" w:cs="Arial" w:eastAsia="Arial" w:hAnsi="Arial"/>
          <w:sz w:val="17"/>
          <w:szCs w:val="17"/>
          <w:u w:val="single" w:color="auto"/>
          <w:color w:val="auto"/>
        </w:rPr>
        <w:t>Dollar Tranche Revolving Loans</w:t>
      </w:r>
      <w:r>
        <w:rPr>
          <w:rFonts w:ascii="Arial" w:cs="Arial" w:eastAsia="Arial" w:hAnsi="Arial"/>
          <w:sz w:val="17"/>
          <w:szCs w:val="17"/>
          <w:color w:val="auto"/>
        </w:rPr>
        <w:t xml:space="preserve">”) in Dollars to the Borrowers from time to time during the Revolving Commitment Period in an aggregate principal amount that will not result (after giving effect to any application of proceeds of such Revolving Loans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in (x) the sum of the total Dollar Tranche Revolving Credit Exposures exceeding the aggregate Dollar Tranche Revolving Commitments or (y) the Dollar Tranche Revolving Credit Exposure of any Lender exceeding such Lender’s Dollar Tranche Revolving Commitment and (ii) each Multicurrency Tranche Revolving Lender agrees to make revolving credit loans (“</w:t>
      </w:r>
      <w:r>
        <w:rPr>
          <w:rFonts w:ascii="Arial" w:cs="Arial" w:eastAsia="Arial" w:hAnsi="Arial"/>
          <w:sz w:val="17"/>
          <w:szCs w:val="17"/>
          <w:u w:val="single" w:color="auto"/>
          <w:color w:val="auto"/>
        </w:rPr>
        <w:t>Multicurrency Tranche Revolving Loans</w:t>
      </w:r>
      <w:r>
        <w:rPr>
          <w:rFonts w:ascii="Arial" w:cs="Arial" w:eastAsia="Arial" w:hAnsi="Arial"/>
          <w:sz w:val="17"/>
          <w:szCs w:val="17"/>
          <w:color w:val="auto"/>
        </w:rPr>
        <w:t>”) in Dollars or in one or more Alternative Currencies to the Borrowers from time to time during the Revolving Commitment Period in an aggregate principal amount that will not result in (x) the sum of the total Multicurrency Tranche Revolving Credit Exposures exceeding the aggregate Multicurrency Tranche Revolving Commitments, (y) the Multicurrency Tranche Revolving Credit Exposure of any Lender exceeding such Lender’s Multicurrency Tranche Revolving Commitment or (z) the sum of the total Revolving Credit Exposures denominated in an Alternative Currency exceeding the Alternative Currency Sublimit. During the Revolving Commitment Period the Borrowers may use the Revolving Commitments by borrowing, prepaying the Revolving Loans in whole or in part, and reborrowing, all in accordance with the terms and conditions hereof.</w:t>
      </w:r>
    </w:p>
    <w:p>
      <w:pPr>
        <w:spacing w:after="0" w:line="18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(i) Each Term Loan shall be made as part of a Borrowing made by the Lenders ratably in accordance with their Term Commitments of the applicable Class. The failure of any Term Lender to make any Term Loan required to be made by it shall not relieve any other Term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Commitments of the Term Lenders are several and no Term Lender shall be responsible for any other Term Lender’s failure to make Loans as required.</w:t>
      </w:r>
    </w:p>
    <w:p>
      <w:pPr>
        <w:spacing w:after="0" w:line="187" w:lineRule="exact"/>
        <w:rPr>
          <w:sz w:val="20"/>
          <w:szCs w:val="20"/>
          <w:color w:val="auto"/>
        </w:rPr>
      </w:pPr>
    </w:p>
    <w:p>
      <w:pPr>
        <w:jc w:val="both"/>
        <w:ind w:firstLine="1305"/>
        <w:spacing w:after="0" w:line="257" w:lineRule="auto"/>
        <w:tabs>
          <w:tab w:leader="none" w:pos="19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Each Revolving Loan shall be made as part of a Borrowing consisting of Revolving Loans of the same Class and Type made by the applicable Lenders ratably in accordance with their Revolving Commitments of the applicable Class. The failure of any Revolving Lender to make any Revolving Loan required to be made by it shall not relieve any other Revolving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Commitments of the Revolving Lenders are several and no Revolving Lender shall be responsible for any other Revolving Lender’s failure to make Loans as required.</w:t>
      </w:r>
    </w:p>
    <w:p>
      <w:pPr>
        <w:spacing w:after="0" w:line="188" w:lineRule="exact"/>
        <w:rPr>
          <w:sz w:val="20"/>
          <w:szCs w:val="20"/>
          <w:color w:val="auto"/>
        </w:rPr>
      </w:pPr>
    </w:p>
    <w:p>
      <w:pPr>
        <w:jc w:val="both"/>
        <w:ind w:firstLine="1305"/>
        <w:spacing w:after="0" w:line="279" w:lineRule="auto"/>
        <w:tabs>
          <w:tab w:leader="none" w:pos="2058"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each Borrowing shall be comprised entirely of Base Rate Loans or Eurocurrency Loans as the relevant Borrower may request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Base Rate Loan shall only be made in Dollars. Each Lender at its option may make any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relevant Borrower to repay such Loan in accordance with the terms of this Agreement.</w:t>
      </w:r>
    </w:p>
    <w:p>
      <w:pPr>
        <w:spacing w:after="0" w:line="171" w:lineRule="exact"/>
        <w:rPr>
          <w:rFonts w:ascii="Arial" w:cs="Arial" w:eastAsia="Arial" w:hAnsi="Arial"/>
          <w:sz w:val="17"/>
          <w:szCs w:val="17"/>
          <w:color w:val="auto"/>
        </w:rPr>
      </w:pPr>
    </w:p>
    <w:p>
      <w:pPr>
        <w:jc w:val="both"/>
        <w:ind w:firstLine="1305"/>
        <w:spacing w:after="0" w:line="254" w:lineRule="auto"/>
        <w:tabs>
          <w:tab w:leader="none" w:pos="20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Eurocurrency Borrowing, such Borrowing shall be in an aggregate amount that is an integral multiple of the Borrowing Multiple and not less than the Borrowing Minimum;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Eurocurrency Borrowing that results from a continuation of an outstanding Eurocurrency Borrowing may be in an aggregate amount that is equal to such outstanding Borrowing. At the time that each Base Rate Borrowing is made, such Borrowing shall be in an aggregate amount that is an integral multiple of the Borrowing Multiple and not less than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may request, on behalf of the Borrowers, borrowings under the Dollar Tranche Revolving Commitments that are Base Rate Loans in other amounts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ten (10) Interest Periods in effect in respect of the Initial Term Facility and ten (10) Interest Periods in effect in respect of the Revolving Facilities.</w:t>
      </w:r>
    </w:p>
    <w:p>
      <w:pPr>
        <w:spacing w:after="0" w:line="192" w:lineRule="exact"/>
        <w:rPr>
          <w:rFonts w:ascii="Arial" w:cs="Arial" w:eastAsia="Arial" w:hAnsi="Arial"/>
          <w:sz w:val="18"/>
          <w:szCs w:val="18"/>
          <w:color w:val="auto"/>
        </w:rPr>
      </w:pPr>
    </w:p>
    <w:p>
      <w:pPr>
        <w:ind w:firstLine="1305"/>
        <w:spacing w:after="0" w:line="308" w:lineRule="auto"/>
        <w:tabs>
          <w:tab w:leader="none" w:pos="2145"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no Borrower shall be entitled to request, or to elect to convert to or continue, any Eurocurrency Borrowing if the Interest Period requested with respect thereto would end after the Maturity Date applicable thereto.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both"/>
        <w:ind w:firstLine="1297"/>
        <w:spacing w:after="0" w:line="284"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(a) To request a Borrowing (other than a Borrowing of Swingline Loans), the applicable Borrower (or the Company on behalf of the applicable Borrower) shall notify the Administrative Agent, which notice may be given by a Borrowing Request or telephone (provided that any telephonic notice must be confirmed immediately by delivery to the Administrative Agent of a Borrowing Request), not later than 11:00 a.m., (a) in the case of a Eurocurrency Borrowing denominated in Dollars, three Business Days (or, in the case of the Term Loan Borrowing to be made on the Closing Date, such shorter period as may be agreed by the Administrative Agent) before the date of the proposed Borrowing (or such shorter period of time as may be agreed to by the Administrative Agent and the Lenders), (b) in the case of a Eurocurrency Borrowing denominated in an Alternative Currency (other than a Special Notice Currency), four Business Days before the date of the proposed Borrowing (or such shorter period of time as may be agreed to by the Administrative Agent and the Multicurrency Tranche Revolving Lenders), (c) in the case of a Eurocurrency Borrowing denominated in a Special Notice Currency, five Business Days before the date of the proposed Borrowing (or such shorter period of time as may be agreed to by the Administrative Agent and the Multicurrency Tranche Revolving Lenders), and (d) on the requested date of any Base Rate Borrowing (or such shorter period of time as may be agreed to by the Administrative Agent and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Borrower wishes to request Eurocurrency Rate Loans having an Interest Period other than one week or one, two, three or six months in duration as provided in the definition of “Interest Period,” the applicable notice must be received by the Administrative Agent at least one Business Day earlier than that otherwise provided in this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whereupon the Administrative Agent shall give prompt notice to the Lenders of such request and determine whether the requested Interest Period is acceptable to all of them. Not later than 11:00 a.m., (i) three Business Days before the requested date of such Borrowing, conversion or continuation of Eurocurrency Rate Loans denominated in Dollars, or (ii) four Business Days (or five Business days in the case of a Special Notice Currency) prior to the requested date of such Borrowing of Eurocurrency Rate Loans denominated in Alternative Currencies, the Administrative Agent shall notify the applicable Borrower (which notice may be by telephone) whether or not the requested Interest Period has been consented to by all the Lenders. Each such Borrowing Request shall be irrevocable, except that a Borrowing Request may be conditioned on the occurrence of any subsequent event (including a Permitted Acquisition or other Investment), in which case, such notice may be revoked by the applicable Borrower (by written notice to the Administrative Agent on or prior to the date of such funding) if such event does not occur. Each such written Borrowing Request shall specify the following information in compliance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82" w:lineRule="exact"/>
        <w:rPr>
          <w:sz w:val="20"/>
          <w:szCs w:val="20"/>
          <w:color w:val="auto"/>
        </w:rPr>
      </w:pPr>
    </w:p>
    <w:p>
      <w:pPr>
        <w:ind w:left="1920" w:hanging="615"/>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name of the applicable Borrower;</w:t>
      </w:r>
    </w:p>
    <w:p>
      <w:pPr>
        <w:spacing w:after="0" w:line="225" w:lineRule="exact"/>
        <w:rPr>
          <w:rFonts w:ascii="Arial" w:cs="Arial" w:eastAsia="Arial" w:hAnsi="Arial"/>
          <w:sz w:val="18"/>
          <w:szCs w:val="18"/>
          <w:color w:val="auto"/>
        </w:rPr>
      </w:pPr>
    </w:p>
    <w:p>
      <w:pPr>
        <w:ind w:left="660" w:firstLine="645"/>
        <w:spacing w:after="0" w:line="277" w:lineRule="auto"/>
        <w:tabs>
          <w:tab w:leader="none" w:pos="19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requested Borrowing is to be a Term Loan Borrowing, an Incremental Term Loan Borrowing of a particular Series or a Revolving Loan Borrowing;</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aggregate amount of such Borrowing;</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660" w:firstLine="645"/>
        <w:spacing w:after="0" w:line="308" w:lineRule="auto"/>
        <w:tabs>
          <w:tab w:leader="none" w:pos="2085"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whether such Borrowing is to be a Base Rate Borrowing or a Eurocurrency Borrowing and, in the case of a Revolving Loan Borrowing in Dollars, whether such Borrowing is to be a Dollar Tranche Revolving Borrowing or a Multicurrency Tranche Revolving Borrowing;</w:t>
      </w:r>
    </w:p>
    <w:p>
      <w:pPr>
        <w:spacing w:after="0" w:line="146" w:lineRule="exact"/>
        <w:rPr>
          <w:rFonts w:ascii="Arial" w:cs="Arial" w:eastAsia="Arial" w:hAnsi="Arial"/>
          <w:sz w:val="17"/>
          <w:szCs w:val="17"/>
          <w:color w:val="auto"/>
        </w:rPr>
      </w:pPr>
    </w:p>
    <w:p>
      <w:pPr>
        <w:ind w:left="660" w:firstLine="645"/>
        <w:spacing w:after="0" w:line="277" w:lineRule="auto"/>
        <w:tabs>
          <w:tab w:leader="none" w:pos="19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 Eurocurrency Borrowing, the currency of such Borrowing and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Applicable Funding Account.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spacing w:after="0" w:line="297" w:lineRule="auto"/>
        <w:rPr>
          <w:sz w:val="20"/>
          <w:szCs w:val="20"/>
          <w:color w:val="auto"/>
        </w:rPr>
      </w:pPr>
      <w:r>
        <w:rPr>
          <w:rFonts w:ascii="Arial" w:cs="Arial" w:eastAsia="Arial" w:hAnsi="Arial"/>
          <w:sz w:val="16"/>
          <w:szCs w:val="16"/>
          <w:color w:val="auto"/>
        </w:rPr>
        <w:t xml:space="preserve">If no election as to the Type of Borrowing is specified, then the requested Borrowing shall be a Base Rate Borrowing and if no election as to the currency of Borrowing is specified, then the requested Borrowing shall be made in Dollars made under the Dollar Tranche Revolving Commitments. If no Interest Period is specified with respect to any requested Eurocurrency Borrowing, then the relevant Borrower shall be deemed to have selected an Interest Period of one month’s duration. Promptly following receipt of a Borrowing Request in accordance with this </w:t>
      </w:r>
      <w:r>
        <w:rPr>
          <w:rFonts w:ascii="Arial" w:cs="Arial" w:eastAsia="Arial" w:hAnsi="Arial"/>
          <w:sz w:val="16"/>
          <w:szCs w:val="16"/>
          <w:u w:val="single" w:color="auto"/>
          <w:color w:val="auto"/>
        </w:rPr>
        <w:t>Section 2.03</w:t>
      </w:r>
      <w:r>
        <w:rPr>
          <w:rFonts w:ascii="Arial" w:cs="Arial" w:eastAsia="Arial" w:hAnsi="Arial"/>
          <w:sz w:val="16"/>
          <w:szCs w:val="16"/>
          <w:color w:val="auto"/>
        </w:rPr>
        <w:t>, the Administrative Agent shall advise each Lender of the applicable Class of the details thereof and of the amount (and currency) of such Lender’s Loan to be made as part of the requested Borrowing.</w:t>
      </w:r>
    </w:p>
    <w:p>
      <w:pPr>
        <w:spacing w:after="0" w:line="15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Swingline Commitments</w:t>
      </w:r>
      <w:r>
        <w:rPr>
          <w:rFonts w:ascii="Arial" w:cs="Arial" w:eastAsia="Arial" w:hAnsi="Arial"/>
          <w:sz w:val="17"/>
          <w:szCs w:val="17"/>
          <w:color w:val="auto"/>
        </w:rPr>
        <w:t>. (a) Subject to the terms and conditions set forth herein, from time to time during the Revolving Commitment Period, the Swingline Lender may, in its discretion, make a portion of the credit otherwise available to the Company under the Dollar Tranche Revolving Commitments by making swing line loans (“</w:t>
      </w:r>
      <w:r>
        <w:rPr>
          <w:rFonts w:ascii="Arial" w:cs="Arial" w:eastAsia="Arial" w:hAnsi="Arial"/>
          <w:sz w:val="17"/>
          <w:szCs w:val="17"/>
          <w:u w:val="single" w:color="auto"/>
          <w:color w:val="auto"/>
        </w:rPr>
        <w:t>Swingline Loans</w:t>
      </w:r>
      <w:r>
        <w:rPr>
          <w:rFonts w:ascii="Arial" w:cs="Arial" w:eastAsia="Arial" w:hAnsi="Arial"/>
          <w:sz w:val="17"/>
          <w:szCs w:val="17"/>
          <w:color w:val="auto"/>
        </w:rPr>
        <w:t xml:space="preserve">”) in Dollars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sum of (x) the Swingline Exposure of such Swingline Lender (in its capacity as a Dollar Tranche Revolving Lender), (y) the aggregate principal amount of outstanding Dollar Tranche Revolving Loans made by such Swingline Lender (in its capacity as a Dollar Tranche Revolving Lender) and (z) the L/C Exposure of such Swingline Lender (in its capacity as a Dollar Tranche Revolving Lender) shall not exceed its Dollar Tranche Revolving Commitment then in effect, (ii) the sum of the outstanding Swingline Loans shall not exceed the Swingline Commitment, (iii) the Company shall not request, and no Swingline Lender shall make, any Swingline Loan if, after giving effect to the making of such Swingline Loan, the aggregate amount of the Available Revolving Commitments with respect to the Dollar Tranche Lenders would be less than zero and (iv) the Swingline Lender shall not be under any obligation to make any Swingline Loan if it shall determine (which determination shall be conclusive and binding absent manifest error) that it has, or by such Swingline Loan may have, Fronting Exposure. During the Revolving Commitment Period, the Company may use the Swingline Commitment by borrowing, repaying and reborrowing, all in accordance with the terms and conditions hereof. Swingline Loans shall be Base Rate Loans only.</w:t>
      </w:r>
    </w:p>
    <w:p>
      <w:pPr>
        <w:spacing w:after="0" w:line="180" w:lineRule="exact"/>
        <w:rPr>
          <w:sz w:val="20"/>
          <w:szCs w:val="20"/>
          <w:color w:val="auto"/>
        </w:rPr>
      </w:pPr>
    </w:p>
    <w:p>
      <w:pPr>
        <w:jc w:val="both"/>
        <w:ind w:firstLine="1305"/>
        <w:spacing w:after="0" w:line="259" w:lineRule="auto"/>
        <w:tabs>
          <w:tab w:leader="none" w:pos="20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Company shall repay to the Swingline Lender the then unpaid principal amount of each Swingline Loan on the earlier of the Revolving Termination Date and five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Dollar Tranche Revolving Loan is borrowed, the Company shall repay all Swingline Loans then outstanding and the proceeds of any such Dollar Tranche Revolving Loans shall be applied by the Administrative Agent to repay any Swingline Loans outstanding.</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Procedure for Swingline Borrowing; Refunding of Swingline Loans</w:t>
      </w:r>
      <w:r>
        <w:rPr>
          <w:rFonts w:ascii="Arial" w:cs="Arial" w:eastAsia="Arial" w:hAnsi="Arial"/>
          <w:sz w:val="17"/>
          <w:szCs w:val="17"/>
          <w:color w:val="auto"/>
        </w:rPr>
        <w:t xml:space="preserve">. (a) Whenever the Company desires that the Swingline Lender make Swingline Loans it shall give the Swingline Lender irrevocable telephonic notice confirmed promptly in writing (which telephonic notice must be received by the Swingline Lender not later than 1:00 p.m. on the date of the proposed Borrowing), substantially in the form of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or any other form approved by the Swingline Lender, specifying (i) the amount to be borrowed and (ii) the requested date of Borrowing (which shall be a Business Day during the Revolving Commitment Period). Each borrowing under the Swingline Commitment shall be in an amount equal to $500,000 or a whole multiple of $100,000 in excess thereof. Not later than 3:00 p.m. on the proposed Borrowing date specified in a notice in respect of Swingline Loans, the Swingline Lender shall make available to the Administrative Agent at the Funding Office an amount in immediately available funds equal to the requested Swingline Loan. The Administrative Agent shall make the proceeds of such Swingline Loan available to the Company on such Borrowing date by depositing such proceeds in the account of the Company with the Administrative Agent on such Borrowing date in immediately available funds.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left="-20" w:firstLine="1305"/>
        <w:spacing w:after="0" w:line="269" w:lineRule="auto"/>
        <w:tabs>
          <w:tab w:leader="none" w:pos="195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Swingline Lender, at any time and from time to time in its sole and absolute discretion may, on behalf of the Company (which hereby irrevocably directs the Swingline Lender to act on its behalf), on one Business Day’s notice given by such Swingline Lender no later than 12:00 Noon request each Dollar Tranche Revolving Lender to make, and each Dollar Tranche Revolving Lender hereby agrees to make, a Dollar Tranche Revolving Loan, in an amount equal to such Dollar Tranche Revolving Lender’s Dollar Tranche Applicable Percentage of the aggregate amount of the Swingline Loans (the “</w:t>
      </w:r>
      <w:r>
        <w:rPr>
          <w:rFonts w:ascii="Arial" w:cs="Arial" w:eastAsia="Arial" w:hAnsi="Arial"/>
          <w:sz w:val="17"/>
          <w:szCs w:val="17"/>
          <w:u w:val="single" w:color="auto"/>
          <w:color w:val="auto"/>
        </w:rPr>
        <w:t>Refunded Swingline Loans</w:t>
      </w:r>
      <w:r>
        <w:rPr>
          <w:rFonts w:ascii="Arial" w:cs="Arial" w:eastAsia="Arial" w:hAnsi="Arial"/>
          <w:sz w:val="17"/>
          <w:szCs w:val="17"/>
          <w:color w:val="auto"/>
        </w:rPr>
        <w:t>”) outstanding on the date of such notice, to repay the Swingline Lender. Each Dollar Tranche Revolving Lender shall make the amount of such Dollar Tranche Revolving Loan available to the Administrative Agent at the Funding Office in Same Day Funds (and the Administrative Agent may apply Cash Collateral available with respect to the applicable Swingline Loan) not later than 10:00 a.m. one Business Day after the date of such notice. The proceeds of such Dollar Tranche Revolving Loans shall be immediately made available by the Administrative Agent to the Swingline Lender for application by the Swingline Lender to the repayment of the Refunded Swingline Loans. The Company irrevocably authorizes the Swingline Lender to charge the Company’s accounts with the Administrative Agent (up to the amount available in each such account) in order to immediately pay the amount of such Refunded Swingline Loans to the extent amounts received from the Dollar Tranche Revolving Lenders are not sufficient to repay in full such Refunded Swingline Loans.</w:t>
      </w:r>
    </w:p>
    <w:p>
      <w:pPr>
        <w:spacing w:after="0" w:line="179" w:lineRule="exact"/>
        <w:rPr>
          <w:rFonts w:ascii="Arial" w:cs="Arial" w:eastAsia="Arial" w:hAnsi="Arial"/>
          <w:sz w:val="17"/>
          <w:szCs w:val="17"/>
          <w:color w:val="auto"/>
        </w:rPr>
      </w:pPr>
    </w:p>
    <w:p>
      <w:pPr>
        <w:jc w:val="both"/>
        <w:ind w:left="-20" w:firstLine="1305"/>
        <w:spacing w:after="0" w:line="291" w:lineRule="auto"/>
        <w:tabs>
          <w:tab w:leader="none" w:pos="2056"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If prior to the time a Dollar Tranche Revolving Loan would have otherwise been made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one of the events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have occurred and be continuing with respect to the Company or if for any other reason, as determined by any Swingline Lender in its sole discretion, Dollar Tranche Revolving Loans may not be made as contemplated by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each Dollar Tranche Revolving Lender shall, on the date such Dollar Tranche Revolving Loan was to have been made pursuant to the notice referred to in </w:t>
      </w:r>
      <w:r>
        <w:rPr>
          <w:rFonts w:ascii="Arial" w:cs="Arial" w:eastAsia="Arial" w:hAnsi="Arial"/>
          <w:sz w:val="16"/>
          <w:szCs w:val="16"/>
          <w:u w:val="single" w:color="auto"/>
          <w:color w:val="auto"/>
        </w:rPr>
        <w:t>Section 2.05(b)</w:t>
      </w:r>
      <w:r>
        <w:rPr>
          <w:rFonts w:ascii="Arial" w:cs="Arial" w:eastAsia="Arial" w:hAnsi="Arial"/>
          <w:sz w:val="16"/>
          <w:szCs w:val="16"/>
          <w:color w:val="auto"/>
        </w:rPr>
        <w:t>, purchase for cash an undivided participating interest in the then outstanding Swingline Loans by paying to the Swingline Lender an amount (the “</w:t>
      </w:r>
      <w:r>
        <w:rPr>
          <w:rFonts w:ascii="Arial" w:cs="Arial" w:eastAsia="Arial" w:hAnsi="Arial"/>
          <w:sz w:val="16"/>
          <w:szCs w:val="16"/>
          <w:u w:val="single" w:color="auto"/>
          <w:color w:val="auto"/>
        </w:rPr>
        <w:t>Swingline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Participation Amount</w:t>
      </w:r>
      <w:r>
        <w:rPr>
          <w:rFonts w:ascii="Arial" w:cs="Arial" w:eastAsia="Arial" w:hAnsi="Arial"/>
          <w:sz w:val="16"/>
          <w:szCs w:val="16"/>
          <w:color w:val="auto"/>
        </w:rPr>
        <w:t>”) equal to (i) such Dollar Tranche Revolving Lender’s Dollar Tranche Applicable Percentage times (ii) the sum of the aggregate principal amount of Swingline Loans of the Swingline Lender then outstanding that were to have been repaid with such Dollar Tranche Revolving Loans.</w:t>
      </w:r>
    </w:p>
    <w:p>
      <w:pPr>
        <w:spacing w:after="0" w:line="167" w:lineRule="exact"/>
        <w:rPr>
          <w:rFonts w:ascii="Arial" w:cs="Arial" w:eastAsia="Arial" w:hAnsi="Arial"/>
          <w:sz w:val="16"/>
          <w:szCs w:val="16"/>
          <w:color w:val="auto"/>
        </w:rPr>
      </w:pPr>
    </w:p>
    <w:p>
      <w:pPr>
        <w:jc w:val="both"/>
        <w:ind w:left="-20" w:firstLine="1305"/>
        <w:spacing w:after="0" w:line="255" w:lineRule="auto"/>
        <w:tabs>
          <w:tab w:leader="none" w:pos="21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Whenever, at any time after the Swingline Lender has received from any Dollar Tranche Revolving Lender such Lender’s Swingline Participation Amount, the Swingline Lender receives any payment on account of the Swingline Loans, the Swingline Lender will distribute to such Lender its ratable portion of such payment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such payment received by the Swingline Lender is required to be returned, such Dollar Tranche Revolving Lender will return to the Swingline Lender any portion thereof previously distributed to it by the Swingline Lender.</w:t>
      </w:r>
    </w:p>
    <w:p>
      <w:pPr>
        <w:spacing w:after="0" w:line="189" w:lineRule="exact"/>
        <w:rPr>
          <w:rFonts w:ascii="Arial" w:cs="Arial" w:eastAsia="Arial" w:hAnsi="Arial"/>
          <w:sz w:val="18"/>
          <w:szCs w:val="18"/>
          <w:color w:val="auto"/>
        </w:rPr>
      </w:pPr>
    </w:p>
    <w:p>
      <w:pPr>
        <w:jc w:val="both"/>
        <w:ind w:left="-20" w:firstLine="1305"/>
        <w:spacing w:after="0" w:line="255" w:lineRule="auto"/>
        <w:tabs>
          <w:tab w:leader="none" w:pos="19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Each Dollar Tranche Revolving Lender’s obligation to make the Loans referred to in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and to purchase participating interests pursuant to S</w:t>
      </w:r>
      <w:r>
        <w:rPr>
          <w:rFonts w:ascii="Arial" w:cs="Arial" w:eastAsia="Arial" w:hAnsi="Arial"/>
          <w:sz w:val="18"/>
          <w:szCs w:val="18"/>
          <w:u w:val="single" w:color="auto"/>
          <w:color w:val="auto"/>
        </w:rPr>
        <w:t>ection 2.05(c)</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that such Dollar Tranche Revolving Lender or the Company may have against the Swingline Lender, the Company or any other Person for any reason whatsoever, (ii) the occurrence or continuance of a Default or an Event of Default or the failure to satisfy any of the other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(iii) any adverse change in the condition (financial or otherwise) of the Company, (iv) any breach of this Agreement or any other Loan Document by the Company, any other Loan Party or any other Revolving Lender or (v) any other circumstance, happening or event whatsoever, whether or not similar to any of the foregoing.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4" w:name="page105"/>
    <w:bookmarkEnd w:id="104"/>
    <w:p>
      <w:pPr>
        <w:ind w:left="1280"/>
        <w:spacing w:after="0"/>
        <w:tabs>
          <w:tab w:leader="none" w:pos="27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 (a)</w:t>
      </w:r>
      <w:r>
        <w:rPr>
          <w:rFonts w:ascii="Arial" w:cs="Arial" w:eastAsia="Arial" w:hAnsi="Arial"/>
          <w:sz w:val="16"/>
          <w:szCs w:val="16"/>
          <w:u w:val="single" w:color="auto"/>
          <w:color w:val="auto"/>
        </w:rPr>
        <w:t xml:space="preserve"> L/C Commitment</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6" w:lineRule="auto"/>
        <w:tabs>
          <w:tab w:leader="none" w:pos="150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hereof, each Issuing Lender, in reliance on the agreements of the other Dollar Tranche Revolving Lenders set forth in </w:t>
      </w:r>
      <w:r>
        <w:rPr>
          <w:rFonts w:ascii="Arial" w:cs="Arial" w:eastAsia="Arial" w:hAnsi="Arial"/>
          <w:sz w:val="16"/>
          <w:szCs w:val="16"/>
          <w:u w:val="single" w:color="auto"/>
          <w:color w:val="auto"/>
        </w:rPr>
        <w:t>Section 2.06(d)(i)</w:t>
      </w:r>
      <w:r>
        <w:rPr>
          <w:rFonts w:ascii="Arial" w:cs="Arial" w:eastAsia="Arial" w:hAnsi="Arial"/>
          <w:sz w:val="16"/>
          <w:szCs w:val="16"/>
          <w:color w:val="auto"/>
        </w:rPr>
        <w:t>, agrees, from time to time on any Business Day during the period from the Closing Date until the Letter of Credit Expiration Date, to issue standby letters of credit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for the account of the Company or any Subsidiary (including, to the extent not prohibited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Unrestricted Subsidiaries) and to amend or extend Letters of Credit previously issued by it, in accordance with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on any Business Day during the Revolving Commitment Period in such form as may be approved from time to time by such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issuance, amendment, increase or extension of any Letter of Credit, (w) the sum of the total Dollar Tranche Revolving Credit Exposures shall not exceed the aggregate Dollar Tranche Revolving Commitments, (x) the Dollar Tranche Revolving Credit Exposure of any Lender shall not exceed such Lender’s Dollar Tranche Revolving Commitment, (y) the sum of the total Revolving Credit Exposures denominated in an Alternative Currency shall not exceed the Alternative Currency Sublimit and (z) the L/C Exposure shall not exceed the L/C Commitment. Each request by the Company for the issuance, amendment, increase or extension of any Letter of Credit shall be deemed to be a representation by the Company that such requested issuance, amendment, increase or extension, as applicable, complies with the conditions set forth in the proviso to the preceding sentence. Each Letter of Credit shall be denominated in Dollars or one or more Alternative Currencies. All letters of credit identified on </w:t>
      </w:r>
      <w:r>
        <w:rPr>
          <w:rFonts w:ascii="Arial" w:cs="Arial" w:eastAsia="Arial" w:hAnsi="Arial"/>
          <w:sz w:val="16"/>
          <w:szCs w:val="16"/>
          <w:u w:val="single" w:color="auto"/>
          <w:color w:val="auto"/>
        </w:rPr>
        <w:t>Schedule 2.06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shall be deemed to have been issued pursuant hereto, and from and after the Closing Date shall be subject to and governed by the terms and conditions hereof.</w:t>
      </w:r>
    </w:p>
    <w:p>
      <w:pPr>
        <w:spacing w:after="0" w:line="174" w:lineRule="exact"/>
        <w:rPr>
          <w:rFonts w:ascii="Arial" w:cs="Arial" w:eastAsia="Arial" w:hAnsi="Arial"/>
          <w:sz w:val="16"/>
          <w:szCs w:val="16"/>
          <w:color w:val="auto"/>
        </w:rPr>
      </w:pPr>
    </w:p>
    <w:p>
      <w:pPr>
        <w:ind w:left="1900" w:hanging="615"/>
        <w:spacing w:after="0"/>
        <w:tabs>
          <w:tab w:leader="none" w:pos="1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Issuing Lender shall issue any Letter of Credit, if:</w:t>
      </w:r>
    </w:p>
    <w:p>
      <w:pPr>
        <w:spacing w:after="0" w:line="225" w:lineRule="exact"/>
        <w:rPr>
          <w:rFonts w:ascii="Arial" w:cs="Arial" w:eastAsia="Arial" w:hAnsi="Arial"/>
          <w:sz w:val="18"/>
          <w:szCs w:val="18"/>
          <w:color w:val="auto"/>
        </w:rPr>
      </w:pPr>
    </w:p>
    <w:p>
      <w:pPr>
        <w:jc w:val="both"/>
        <w:ind w:left="1280" w:firstLine="653"/>
        <w:spacing w:after="0" w:line="264" w:lineRule="auto"/>
        <w:tabs>
          <w:tab w:leader="none" w:pos="2705"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2.06(b)(iii)</w:t>
      </w:r>
      <w:r>
        <w:rPr>
          <w:rFonts w:ascii="Arial" w:cs="Arial" w:eastAsia="Arial" w:hAnsi="Arial"/>
          <w:sz w:val="18"/>
          <w:szCs w:val="18"/>
          <w:color w:val="auto"/>
        </w:rPr>
        <w:t>, the expiry date of the requested Letter of Credit would occur more than twelve months after the date of issuance or last extension, unless the Majority in Interest of the Dollar Tranche Revolving Lenders have approved such expiry date; or</w:t>
      </w:r>
    </w:p>
    <w:p>
      <w:pPr>
        <w:spacing w:after="0" w:line="181" w:lineRule="exact"/>
        <w:rPr>
          <w:rFonts w:ascii="Arial" w:cs="Arial" w:eastAsia="Arial" w:hAnsi="Arial"/>
          <w:sz w:val="18"/>
          <w:szCs w:val="18"/>
          <w:color w:val="auto"/>
        </w:rPr>
      </w:pPr>
    </w:p>
    <w:p>
      <w:pPr>
        <w:ind w:left="1280" w:firstLine="653"/>
        <w:spacing w:after="0" w:line="277" w:lineRule="auto"/>
        <w:tabs>
          <w:tab w:leader="none" w:pos="26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more than 12 months after the Revolving Termination Date, unless all the Dollar Tranche Revolving Lenders have approved such expiry date.</w:t>
      </w:r>
    </w:p>
    <w:p>
      <w:pPr>
        <w:spacing w:after="0" w:line="170" w:lineRule="exact"/>
        <w:rPr>
          <w:rFonts w:ascii="Arial" w:cs="Arial" w:eastAsia="Arial" w:hAnsi="Arial"/>
          <w:sz w:val="18"/>
          <w:szCs w:val="18"/>
          <w:color w:val="auto"/>
        </w:rPr>
      </w:pPr>
    </w:p>
    <w:p>
      <w:pPr>
        <w:ind w:left="1920" w:hanging="635"/>
        <w:spacing w:after="0"/>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Issuing Lender shall be under any obligation to issue any Letter of Credit if:</w:t>
      </w:r>
    </w:p>
    <w:p>
      <w:pPr>
        <w:spacing w:after="0" w:line="225" w:lineRule="exact"/>
        <w:rPr>
          <w:rFonts w:ascii="Arial" w:cs="Arial" w:eastAsia="Arial" w:hAnsi="Arial"/>
          <w:sz w:val="18"/>
          <w:szCs w:val="18"/>
          <w:color w:val="auto"/>
        </w:rPr>
      </w:pPr>
    </w:p>
    <w:p>
      <w:pPr>
        <w:jc w:val="both"/>
        <w:ind w:left="1280" w:firstLine="653"/>
        <w:spacing w:after="0" w:line="254" w:lineRule="auto"/>
        <w:tabs>
          <w:tab w:leader="none" w:pos="262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Issuing Lender from issuing the Letter of Credit, or any Requirement of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or shall impose upon such Issuing Lender with respect to the Letter of Credit any restriction, reserve or capital requirement (for which such Issuing Lender is not otherwise compensated hereunder) not in effect on the Closing Date, or shall impose upon such Issuing Lender any unreimbursed loss, cost or expense which was not applicable on the Closing Date and which such Issuing Lender in good faith deems material to it;</w:t>
      </w:r>
    </w:p>
    <w:p>
      <w:pPr>
        <w:spacing w:after="0" w:line="192" w:lineRule="exact"/>
        <w:rPr>
          <w:rFonts w:ascii="Arial" w:cs="Arial" w:eastAsia="Arial" w:hAnsi="Arial"/>
          <w:sz w:val="18"/>
          <w:szCs w:val="18"/>
          <w:color w:val="auto"/>
        </w:rPr>
      </w:pPr>
    </w:p>
    <w:p>
      <w:pPr>
        <w:ind w:left="2720" w:hanging="787"/>
        <w:spacing w:after="0"/>
        <w:tabs>
          <w:tab w:leader="none" w:pos="272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issuance of the Letter of Credit would violate one or more policies of such Issuing Lender applicable to letters of</w:t>
      </w:r>
    </w:p>
    <w:p>
      <w:pPr>
        <w:spacing w:after="0" w:line="34" w:lineRule="exact"/>
        <w:rPr>
          <w:rFonts w:ascii="Arial" w:cs="Arial" w:eastAsia="Arial" w:hAnsi="Arial"/>
          <w:sz w:val="17"/>
          <w:szCs w:val="17"/>
          <w:color w:val="auto"/>
        </w:rPr>
      </w:pPr>
    </w:p>
    <w:p>
      <w:pPr>
        <w:ind w:left="1280"/>
        <w:spacing w:after="0"/>
        <w:rPr>
          <w:rFonts w:ascii="Arial" w:cs="Arial" w:eastAsia="Arial" w:hAnsi="Arial"/>
          <w:sz w:val="17"/>
          <w:szCs w:val="17"/>
          <w:color w:val="auto"/>
        </w:rPr>
      </w:pPr>
      <w:r>
        <w:rPr>
          <w:rFonts w:ascii="Arial" w:cs="Arial" w:eastAsia="Arial" w:hAnsi="Arial"/>
          <w:sz w:val="18"/>
          <w:szCs w:val="18"/>
          <w:color w:val="auto"/>
        </w:rPr>
        <w:t>credit generally;</w:t>
      </w:r>
    </w:p>
    <w:p>
      <w:pPr>
        <w:spacing w:after="0" w:line="210" w:lineRule="exact"/>
        <w:rPr>
          <w:rFonts w:ascii="Arial" w:cs="Arial" w:eastAsia="Arial" w:hAnsi="Arial"/>
          <w:sz w:val="17"/>
          <w:szCs w:val="17"/>
          <w:color w:val="auto"/>
        </w:rPr>
      </w:pPr>
    </w:p>
    <w:p>
      <w:pPr>
        <w:ind w:left="1280" w:firstLine="653"/>
        <w:spacing w:after="0" w:line="277" w:lineRule="auto"/>
        <w:tabs>
          <w:tab w:leader="none" w:pos="2582"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Lender, the Letter of Credit is in an initial stated amount less than $250,000;</w:t>
      </w:r>
    </w:p>
    <w:p>
      <w:pPr>
        <w:spacing w:after="0" w:line="170" w:lineRule="exact"/>
        <w:rPr>
          <w:rFonts w:ascii="Arial" w:cs="Arial" w:eastAsia="Arial" w:hAnsi="Arial"/>
          <w:sz w:val="18"/>
          <w:szCs w:val="18"/>
          <w:color w:val="auto"/>
        </w:rPr>
      </w:pPr>
    </w:p>
    <w:p>
      <w:pPr>
        <w:ind w:left="1280" w:firstLine="653"/>
        <w:spacing w:after="0" w:line="277" w:lineRule="auto"/>
        <w:tabs>
          <w:tab w:leader="none" w:pos="28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Lender, the Letter of Credit is to be denominated in a currency other than Dollars or an Alternative Currency;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5" w:name="page106"/>
    <w:bookmarkEnd w:id="105"/>
    <w:p>
      <w:pPr>
        <w:ind w:left="1580" w:hanging="827"/>
        <w:spacing w:after="0"/>
        <w:tabs>
          <w:tab w:leader="none" w:pos="15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such Issuing Lender does not as of the issuance date of the requested Letter of Credit issue Letters of Credit in the</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requested currency;</w:t>
      </w:r>
    </w:p>
    <w:p>
      <w:pPr>
        <w:spacing w:after="0" w:line="210" w:lineRule="exact"/>
        <w:rPr>
          <w:rFonts w:ascii="Arial" w:cs="Arial" w:eastAsia="Arial" w:hAnsi="Arial"/>
          <w:sz w:val="17"/>
          <w:szCs w:val="17"/>
          <w:color w:val="auto"/>
        </w:rPr>
      </w:pPr>
    </w:p>
    <w:p>
      <w:pPr>
        <w:jc w:val="both"/>
        <w:ind w:left="100" w:firstLine="653"/>
        <w:spacing w:after="0" w:line="276" w:lineRule="auto"/>
        <w:tabs>
          <w:tab w:leader="none" w:pos="1454"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any Lender is at that time a Defaulting Lender, unless such Issuing Lender has entered into arrangements, including the delivery of Cash Collateral, satisfactory to the Issuing Lender (in its sole discretion) with the Company or such Lender to eliminate the Issuing Lender’s actual or potential Fronting Exposure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with respect to the Defaulting Lender arising from either the Letter of Credit then proposed to be issued or that Letter of Credit and all other L/C Obligations as to which such Issuing Lender has actual or potential Fronting Exposure, as it may elect in its sole discretion; or</w:t>
      </w:r>
    </w:p>
    <w:p>
      <w:pPr>
        <w:spacing w:after="0" w:line="172" w:lineRule="exact"/>
        <w:rPr>
          <w:rFonts w:ascii="Arial" w:cs="Arial" w:eastAsia="Arial" w:hAnsi="Arial"/>
          <w:sz w:val="17"/>
          <w:szCs w:val="17"/>
          <w:color w:val="auto"/>
        </w:rPr>
      </w:pPr>
    </w:p>
    <w:p>
      <w:pPr>
        <w:ind w:left="1700" w:hanging="947"/>
        <w:spacing w:after="0"/>
        <w:tabs>
          <w:tab w:leader="none" w:pos="17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540" w:firstLine="645"/>
        <w:spacing w:after="0" w:line="277" w:lineRule="auto"/>
        <w:tabs>
          <w:tab w:leader="none" w:pos="7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Issuing Lender shall amend any Letter of Credit if such Issuing Lender would not be permitted at such time to issue the Letter of Credit in its amended form under the terms hereof.</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7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Issuing Lender shall be under any obligation to amend any Letter of Credit if (A) such Issuing Lender would have no obligation at such time to issue the Letter of Credit in its amended form under the terms hereof, or (B) the beneficiary of the Letter of Credit does not accept the proposed amendment to the Letter of Credit.</w:t>
      </w:r>
    </w:p>
    <w:p>
      <w:pPr>
        <w:spacing w:after="0" w:line="181" w:lineRule="exact"/>
        <w:rPr>
          <w:rFonts w:ascii="Arial" w:cs="Arial" w:eastAsia="Arial" w:hAnsi="Arial"/>
          <w:sz w:val="18"/>
          <w:szCs w:val="18"/>
          <w:color w:val="auto"/>
        </w:rPr>
      </w:pPr>
    </w:p>
    <w:p>
      <w:pPr>
        <w:jc w:val="both"/>
        <w:ind w:left="-540" w:firstLine="645"/>
        <w:spacing w:after="0" w:line="297" w:lineRule="auto"/>
        <w:tabs>
          <w:tab w:leader="none" w:pos="9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Each Issuing Lender shall act on behalf of the Lenders with respect to any Letters of Credit issued by it and the documents associated therewith, and such Issuing Lender shall have all of the benefits and immunities (A) provided to the Administrative Agent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any acts taken or omissions suffered by such Issuing Lender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included such Issuing Lender with respect to such acts or omissions, and (B) as additionally provided herein with respect to such Issuing Lender.</w:t>
      </w:r>
    </w:p>
    <w:p>
      <w:pPr>
        <w:spacing w:after="0" w:line="158" w:lineRule="exact"/>
        <w:rPr>
          <w:sz w:val="20"/>
          <w:szCs w:val="20"/>
          <w:color w:val="auto"/>
        </w:rPr>
      </w:pPr>
    </w:p>
    <w:p>
      <w:pPr>
        <w:ind w:left="760" w:hanging="655"/>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Procedure for Issuance and Amendment of Letters of Credit; Auto-Extension Letters of Credit</w:t>
      </w:r>
      <w:r>
        <w:rPr>
          <w:rFonts w:ascii="Arial" w:cs="Arial" w:eastAsia="Arial" w:hAnsi="Arial"/>
          <w:sz w:val="18"/>
          <w:szCs w:val="18"/>
          <w:color w:val="auto"/>
        </w:rPr>
        <w:t>.</w:t>
      </w:r>
    </w:p>
    <w:p>
      <w:pPr>
        <w:spacing w:after="0" w:line="225" w:lineRule="exact"/>
        <w:rPr>
          <w:sz w:val="20"/>
          <w:szCs w:val="20"/>
          <w:color w:val="auto"/>
        </w:rPr>
      </w:pPr>
    </w:p>
    <w:p>
      <w:pPr>
        <w:jc w:val="both"/>
        <w:ind w:left="-540" w:firstLine="645"/>
        <w:spacing w:after="0" w:line="285" w:lineRule="auto"/>
        <w:tabs>
          <w:tab w:leader="none" w:pos="7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Company delivered to the applicable Issuing Lender (with a copy to the Administrative Agent) in the form of an Application, appropriately completed and signed by a Responsible Officer of the Company. Such Application may be sent by facsimile, by United States mail, by overnight courier, by electronic transmission using the system provided by the applicable Issuing Lender, by personal delivery or by any other means acceptable to such Issuing Lender. Such Application must be received by the applicable Issuing Lender and the Administrative Agent not later than 11:00 a.m. at least two Business Days (or such later date and time as the Administrative Agent and such Issuing Lender may agree in a particular instance in their sole discretion) prior to the proposed issuance date or date of amendment, as the case may be. In the case of a request for an initial issuance of a Letter of Credit, such Application shall specify in form and detail satisfactory to the applicable Issuing Lender: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Issuing Lender may require. In the case of a request for an amendment of any outstanding Letter of Credit, such Application shall specify in form and detail satisfactory to the applicable Issuing Lender (A) the Letter of Credit to be amended; (B) the proposed date of amendment thereof (which shall be a Business Day); (C) the nature of the proposed amendment; and (D) such other matters as such Issuing Lender may require. Additionally, the Company shall furnish to the applicable Issuing Lender and the Administrative Agent such other documents and information pertaining to such requested Letter of Credit issuance or amendment, including any Issuer Documents, as such Issuing Lender or the Administrative Agent may require.</w:t>
      </w:r>
    </w:p>
    <w:p>
      <w:pPr>
        <w:spacing w:after="0" w:line="39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6" w:name="page107"/>
    <w:bookmarkEnd w:id="106"/>
    <w:p>
      <w:pPr>
        <w:jc w:val="both"/>
        <w:ind w:left="-540" w:firstLine="645"/>
        <w:spacing w:after="0" w:line="291" w:lineRule="auto"/>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Promptly after receipt of any Application, the applicable Issuing Lender will confirm with the Administrative Agent (by telephone or in writing) that the Administrative Agent has received a copy of such Application from the Company and, if not, such Issuing Lender will provide the Administrative Agent with a copy thereof. Unless the applicable Issuing Lender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such Issuing Lender shall, on the requested date, issue a Letter of Credit for the account of the Company (or the applicable Subsidiary) or enter into the applicable amendment, as the case may be, in each case in accordance with such Issuing Lender’s usual and customary business practices.</w:t>
      </w:r>
    </w:p>
    <w:p>
      <w:pPr>
        <w:spacing w:after="0" w:line="167" w:lineRule="exact"/>
        <w:rPr>
          <w:rFonts w:ascii="Arial" w:cs="Arial" w:eastAsia="Arial" w:hAnsi="Arial"/>
          <w:sz w:val="16"/>
          <w:szCs w:val="16"/>
          <w:color w:val="auto"/>
        </w:rPr>
      </w:pPr>
    </w:p>
    <w:p>
      <w:pPr>
        <w:jc w:val="both"/>
        <w:ind w:left="-540" w:firstLine="645"/>
        <w:spacing w:after="0" w:line="268" w:lineRule="auto"/>
        <w:tabs>
          <w:tab w:leader="none" w:pos="792"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the Company so requests in any applicable Application, an Issuing Lender may, in its sole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the applicable Issuing Lender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at the time such Letter of Credit is issued. Unless otherwise directed by the applicable Issuing Lender, the Company shall not be required to make a specific request to such Issuing Lender for any such extension. Once an Auto-Extension Letter of Credit has been issued, the Lenders shall be deemed to have authorized (but may not require) the applicable Issuing Lender to permit the extension of such Letter of Credit at any time to an expiry date not later than twelve months after the Revolving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applicable Issuing Lender shall not permit any such extension if (A) such Issuing Lender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or otherwise), or (B) it has received notice (which may be by telephone or in writing) on or before the day that is seven Business Days before the Non-Extension Notice Date (1) from the Administrative Agent that the Majority in Interest of the Dollar Tranche Revolving Lenders have elected not to permit such extension or (2) from the Administrative Agent, any Lender or the Company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and in each such case directing the applicable Issuing Lender not to permit such extension.</w:t>
      </w:r>
    </w:p>
    <w:p>
      <w:pPr>
        <w:spacing w:after="0" w:line="183" w:lineRule="exact"/>
        <w:rPr>
          <w:rFonts w:ascii="Arial" w:cs="Arial" w:eastAsia="Arial" w:hAnsi="Arial"/>
          <w:sz w:val="17"/>
          <w:szCs w:val="17"/>
          <w:color w:val="auto"/>
        </w:rPr>
      </w:pPr>
    </w:p>
    <w:p>
      <w:pPr>
        <w:jc w:val="both"/>
        <w:ind w:left="-540" w:firstLine="645"/>
        <w:spacing w:after="0" w:line="286" w:lineRule="auto"/>
        <w:tabs>
          <w:tab w:leader="none" w:pos="74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Company so requests in any applicable Application, the applicable Issuing Lender may, in its sole discretion, agree to issue a Letter of Credit that permits the automatic reinstatement of all or a portion of the stated amount thereof after any drawing thereunder (each, an “</w:t>
      </w:r>
      <w:r>
        <w:rPr>
          <w:rFonts w:ascii="Arial" w:cs="Arial" w:eastAsia="Arial" w:hAnsi="Arial"/>
          <w:sz w:val="16"/>
          <w:szCs w:val="16"/>
          <w:u w:val="single" w:color="auto"/>
          <w:color w:val="auto"/>
        </w:rPr>
        <w:t>Auto-Reinstatement Letter of Credit</w:t>
      </w:r>
      <w:r>
        <w:rPr>
          <w:rFonts w:ascii="Arial" w:cs="Arial" w:eastAsia="Arial" w:hAnsi="Arial"/>
          <w:sz w:val="16"/>
          <w:szCs w:val="16"/>
          <w:color w:val="auto"/>
        </w:rPr>
        <w:t>”). Unless otherwise directed by the an Issuing Lender, the Company shall not be required to make a specific request to such Issuing Lender to permit such reinstatement. Once an Auto-Reinstatement Letter of Credit has been issued, except as provided in the following sentence, the Lenders shall be deemed to have authorized (but may not require) the applicable Issuing Lender to reinstate all or a portion of the stated amount thereof in accordance with the provisions of such Letter of Credit. Notwithstanding the foregoing, if such Auto-Reinstatement Letter of Credit permits the applicable Issuing Lender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6"/>
          <w:szCs w:val="16"/>
          <w:u w:val="single" w:color="auto"/>
          <w:color w:val="auto"/>
        </w:rPr>
        <w:t>Non-Reinstatement Deadline</w:t>
      </w:r>
      <w:r>
        <w:rPr>
          <w:rFonts w:ascii="Arial" w:cs="Arial" w:eastAsia="Arial" w:hAnsi="Arial"/>
          <w:sz w:val="16"/>
          <w:szCs w:val="16"/>
          <w:color w:val="auto"/>
        </w:rPr>
        <w:t xml:space="preserve">”), such Issuing Lender shall not permit such reinstatement if it has received a notice (which may be by telephone or in writing) on or before the day that is seven Business Days before the Non-Reinstatement Deadline (A) from the Administrative Agent that the Majority in Interest of the Dollar Tranche Revolving Lenders have elected not to permit such reinstatement or (B) from the Administrative Agent, any Lender or the Company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(treating such reinstatement as a Revolving Extension of Credit for purposes of this clause) and, in each case, directing the applicable Issuing Lender not to permit such reinstatement.</w:t>
      </w:r>
    </w:p>
    <w:p>
      <w:pPr>
        <w:spacing w:after="0" w:line="39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07" w:name="page108"/>
    <w:bookmarkEnd w:id="107"/>
    <w:p>
      <w:pPr>
        <w:jc w:val="both"/>
        <w:ind w:left="640" w:firstLine="645"/>
        <w:spacing w:after="0" w:line="264" w:lineRule="auto"/>
        <w:tabs>
          <w:tab w:leader="none" w:pos="19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Issuing Lender will also deliver to the Company and the Administrative Agent a true and complete copy of such Letter of Credit or amendment.</w:t>
      </w:r>
    </w:p>
    <w:p>
      <w:pPr>
        <w:spacing w:after="0" w:line="181" w:lineRule="exact"/>
        <w:rPr>
          <w:sz w:val="20"/>
          <w:szCs w:val="20"/>
          <w:color w:val="auto"/>
        </w:rPr>
      </w:pPr>
    </w:p>
    <w:p>
      <w:pPr>
        <w:jc w:val="both"/>
        <w:ind w:left="-20" w:firstLine="1305"/>
        <w:spacing w:after="0" w:line="273" w:lineRule="auto"/>
        <w:tabs>
          <w:tab w:leader="none" w:pos="206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Fees and Other Charges</w:t>
      </w:r>
      <w:r>
        <w:rPr>
          <w:rFonts w:ascii="Arial" w:cs="Arial" w:eastAsia="Arial" w:hAnsi="Arial"/>
          <w:sz w:val="17"/>
          <w:szCs w:val="17"/>
          <w:color w:val="auto"/>
        </w:rPr>
        <w:t>. (i) The Company will pay a fee on the maximum amount available to be drawn under each Letter of Credit that is issued and outstanding at a per annum rate equal to (i) 1.00% with respect to the first $75,000,000 of issued and outstanding Letters of Credit and (ii) the Applicable Rate then in effect with respect to Eurocurrency Loans with respect to the remaining amount of issued and outstanding Letters of Credit, shared ratably among the Dollar Tranche Revolving Lenders and payable quarterly in arrears on each Fee Payment Date after the issuance date. In addition, the Company shall pay to each Issuing Lender for its own account a fronting fee of 0.125% per annum on the undrawn and unexpired amount of each Letter of Credit, payable quarterly in arrears on each Fee Payment Date after the issuance date.</w:t>
      </w:r>
    </w:p>
    <w:p>
      <w:pPr>
        <w:spacing w:after="0" w:line="178" w:lineRule="exact"/>
        <w:rPr>
          <w:sz w:val="20"/>
          <w:szCs w:val="20"/>
          <w:color w:val="auto"/>
        </w:rPr>
      </w:pPr>
    </w:p>
    <w:p>
      <w:pPr>
        <w:jc w:val="both"/>
        <w:ind w:left="640" w:firstLine="645"/>
        <w:spacing w:after="0" w:line="264" w:lineRule="auto"/>
        <w:tabs>
          <w:tab w:leader="none" w:pos="19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addition to the foregoing fees, the Company shall pay or reimburse each Issuing Lender for such normal and customary costs and expenses as are incurred or charged by such Issuing Lender in issuing, negotiating, effecting payment under, amending or otherwise administering any Letter of Credit.</w:t>
      </w:r>
    </w:p>
    <w:p>
      <w:pPr>
        <w:spacing w:after="0" w:line="181" w:lineRule="exact"/>
        <w:rPr>
          <w:sz w:val="20"/>
          <w:szCs w:val="20"/>
          <w:color w:val="auto"/>
        </w:rPr>
      </w:pPr>
    </w:p>
    <w:p>
      <w:pPr>
        <w:jc w:val="both"/>
        <w:ind w:left="-20" w:firstLine="1305"/>
        <w:spacing w:after="0" w:line="285" w:lineRule="auto"/>
        <w:tabs>
          <w:tab w:leader="none" w:pos="201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L/C Participations</w:t>
      </w:r>
      <w:r>
        <w:rPr>
          <w:rFonts w:ascii="Arial" w:cs="Arial" w:eastAsia="Arial" w:hAnsi="Arial"/>
          <w:sz w:val="16"/>
          <w:szCs w:val="16"/>
          <w:color w:val="auto"/>
        </w:rPr>
        <w:t xml:space="preserve">. (i)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immediately upon the issuance of a Letter of Credit, for such L/C Participant’s own account and risk an undivided interest equal to such L/C Participant’s Dollar Tranche Applicable Percentage in such Issuing Lender’s obligations and rights under and in respect of each Letter of Credit and the amount of each draft paid by such Issuing Lender thereunder. Each L/C Participant agrees with each such Issuing Lender that, if a draft is paid under any Letter of Credit for which such Issuing Lender is not reimbursed in full by the Company in accordance with the terms of this Agreement (or in the event that any reimbursement received by such Issuing Lender shall be required to be returned by it at any time), such L/C Participant shall pay upon demand an amount in Dollars, to the Administrative Agent, at the Administrative Agent’s office for Dollar-denominated payments, equal to such L/C Participant’s Dollar Tranche Applicable Percentage of the amount that is not so reimbursed (or is so returned) not later than 1:00 p.m. on the Business Day specified in the demand therefore. The Administrative Agent shall remit the funds so received to the applicable Issuing Lender in Dollars. Each L/C Participant’s obligation to pay such amount shall be absolute and unconditional and shall not be affected by any circumstance, including (i) any setoff, counterclaim, recoupment, defense or other right that such L/C Participant may have against such Issuing Lender, the Company or any other Person for any reason whatsoever, (ii) the occurrence or continuance of a Default or an Event of Default or the failure to satisfy any of the other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(iii) any adverse change in the condition (financial or otherwise) of the Company, (iv) any breach of this Agreement or any other Loan Document by the Company, any other Loan Party or any other L/C Participant or (v) any other circumstance, happening or event whatsoever, whether or not similar to any of the foregoing. If any Lender fails to make available to the Administrative Agent for the account of the applicable Issuing Lender any amount required to be paid by such Lender pursuant to the foregoing provisions of this </w:t>
      </w:r>
      <w:r>
        <w:rPr>
          <w:rFonts w:ascii="Arial" w:cs="Arial" w:eastAsia="Arial" w:hAnsi="Arial"/>
          <w:sz w:val="16"/>
          <w:szCs w:val="16"/>
          <w:u w:val="single" w:color="auto"/>
          <w:color w:val="auto"/>
        </w:rPr>
        <w:t>Section 2.06(d)</w:t>
      </w:r>
      <w:r>
        <w:rPr>
          <w:rFonts w:ascii="Arial" w:cs="Arial" w:eastAsia="Arial" w:hAnsi="Arial"/>
          <w:sz w:val="16"/>
          <w:szCs w:val="16"/>
          <w:color w:val="auto"/>
        </w:rPr>
        <w:t xml:space="preserve"> by the time specified herein, then, without limiting the other provisions of this Agreement, the applicable Issuing Lender shall be entitled to recover from such Lender (acting through the Administrative Agent), on demand, such amount with interest thereon for the period from the date such payment is required to the date on which such payment is immediately available to such Issuing Lender at a rate per annum equal to the applicable Overnight Rate from time to time in effect, plus any administrative, processing or similar fees customarily charged by such Issuing Lender in connection with the foregoing.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8" w:name="page109"/>
    <w:bookmarkEnd w:id="108"/>
    <w:p>
      <w:pPr>
        <w:ind w:left="1940" w:hanging="655"/>
        <w:spacing w:after="0"/>
        <w:tabs>
          <w:tab w:leader="none" w:pos="19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the applicable Issuing Lender pursuant to </w:t>
      </w:r>
      <w:r>
        <w:rPr>
          <w:rFonts w:ascii="Arial" w:cs="Arial" w:eastAsia="Arial" w:hAnsi="Arial"/>
          <w:sz w:val="16"/>
          <w:szCs w:val="16"/>
          <w:u w:val="single" w:color="auto"/>
          <w:color w:val="auto"/>
        </w:rPr>
        <w:t>Section 2.06(d)</w:t>
      </w:r>
    </w:p>
    <w:p>
      <w:pPr>
        <w:spacing w:after="0" w:line="46" w:lineRule="exact"/>
        <w:rPr>
          <w:rFonts w:ascii="Arial" w:cs="Arial" w:eastAsia="Arial" w:hAnsi="Arial"/>
          <w:sz w:val="16"/>
          <w:szCs w:val="16"/>
          <w:color w:val="auto"/>
        </w:rPr>
      </w:pPr>
    </w:p>
    <w:p>
      <w:pPr>
        <w:jc w:val="both"/>
        <w:ind w:left="640" w:hanging="4"/>
        <w:spacing w:after="0" w:line="253" w:lineRule="auto"/>
        <w:tabs>
          <w:tab w:leader="none" w:pos="885" w:val="left"/>
        </w:tabs>
        <w:numPr>
          <w:ilvl w:val="0"/>
          <w:numId w:val="87"/>
        </w:numPr>
        <w:rPr>
          <w:rFonts w:ascii="Arial" w:cs="Arial" w:eastAsia="Arial" w:hAnsi="Arial"/>
          <w:sz w:val="18"/>
          <w:szCs w:val="18"/>
          <w:u w:val="single" w:color="auto"/>
          <w:color w:val="auto"/>
        </w:rPr>
      </w:pPr>
      <w:r>
        <w:rPr>
          <w:rFonts w:ascii="Arial" w:cs="Arial" w:eastAsia="Arial" w:hAnsi="Arial"/>
          <w:sz w:val="18"/>
          <w:szCs w:val="18"/>
          <w:color w:val="auto"/>
        </w:rPr>
        <w:t>is required to be returned under any of the circumstances (including pursuant to any settlement entered into by such Issuing Lender in its discretion), each Lender shall pay to the Administrative Agent for the account of such Issuing Lender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91" w:lineRule="exact"/>
        <w:rPr>
          <w:rFonts w:ascii="Arial" w:cs="Arial" w:eastAsia="Arial" w:hAnsi="Arial"/>
          <w:sz w:val="18"/>
          <w:szCs w:val="18"/>
          <w:u w:val="single" w:color="auto"/>
          <w:color w:val="auto"/>
        </w:rPr>
      </w:pPr>
    </w:p>
    <w:p>
      <w:pPr>
        <w:jc w:val="both"/>
        <w:ind w:left="640" w:firstLine="645"/>
        <w:spacing w:after="0" w:line="273" w:lineRule="auto"/>
        <w:tabs>
          <w:tab w:leader="none" w:pos="2067"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Whenever, at any time after an Issuing Lender has made payment under any Letter of Credit and has received from any L/C Participant its pro rata share of such payment in accordance with </w:t>
      </w:r>
      <w:r>
        <w:rPr>
          <w:rFonts w:ascii="Arial" w:cs="Arial" w:eastAsia="Arial" w:hAnsi="Arial"/>
          <w:sz w:val="17"/>
          <w:szCs w:val="17"/>
          <w:u w:val="single" w:color="auto"/>
          <w:color w:val="auto"/>
        </w:rPr>
        <w:t>Section 2.06(d)(i)</w:t>
      </w:r>
      <w:r>
        <w:rPr>
          <w:rFonts w:ascii="Arial" w:cs="Arial" w:eastAsia="Arial" w:hAnsi="Arial"/>
          <w:sz w:val="17"/>
          <w:szCs w:val="17"/>
          <w:color w:val="auto"/>
        </w:rPr>
        <w:t xml:space="preserve">, such Issuing Lender receives any payment related to such Letter of Credit (whether directly from the Company or otherwise, including proceeds of collateral applied thereto by such Issuing Lender), or any payment of interest on account thereof, such Issuing Lender will distribute to such L/C Participant its pro rata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78" w:lineRule="exact"/>
        <w:rPr>
          <w:sz w:val="20"/>
          <w:szCs w:val="20"/>
          <w:color w:val="auto"/>
        </w:rPr>
      </w:pPr>
    </w:p>
    <w:p>
      <w:pPr>
        <w:jc w:val="both"/>
        <w:ind w:left="-20" w:firstLine="1305"/>
        <w:spacing w:after="0" w:line="284" w:lineRule="auto"/>
        <w:tabs>
          <w:tab w:leader="none" w:pos="208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Reimbursement Obligation of the Company</w:t>
      </w:r>
      <w:r>
        <w:rPr>
          <w:rFonts w:ascii="Arial" w:cs="Arial" w:eastAsia="Arial" w:hAnsi="Arial"/>
          <w:sz w:val="16"/>
          <w:szCs w:val="16"/>
          <w:color w:val="auto"/>
        </w:rPr>
        <w:t>. If any draft is paid under any Letter of Credit, the Company shall reimburse the applicable Issuing Lender for the amount of (i) the draft so paid and (ii) any taxes, fees, charges or other costs or expenses incurred by such Issuing Lender in connection with such payment, not later than 11:00 a.m. on the date of any payment by the applicable Issuing Lender under a Letter of Credit to be reimbursed in Dollars, or the Applicable Time on the date of any payment by the applicable Issuing Lender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Each such payment shall be made to the applicable Issuing Lender at its address for notices referred to herein in immediately available funds. In the case of a Letter of Credit denominated in an Alternative Currency, the Company shall reimburse the applicable Issuing Lender in such Alternative Currency, unless (A) such Issuing Lender (at its option) shall have specified in such notice that it will require reimbursement in Dollars, or (B) in the absence of any such requirement for reimbursement in Dollars, the Company shall have notified such Issuing Lender promptly following receipt of the notice of drawing that the Company will reimburse such Issuing Lender in Dollars. In the case of any such reimbursement in Dollars of a drawing under a Letter of Credit denominated in an Alternative Currency, the applicable Issuing Lender shall notify the Company of the Dollar Equivalent of the amount of the drawing promptly following the determination thereof. In the event that (A) a drawing denominated in an Alternative Currency is to be reimbursed in Dollars pursuant to the immediately preceding sentence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Issuing Lender for the loss resulting from its inability on that date to purchase the Alternative Currency in the full amount of the drawing. If the Company fails to timely reimburse the applicable Issuing Lender on the Honor Date,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Company shall be deemed to have requested a Dollar Tranche Revolving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aggregate Dollar Tranche Revolving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Borrowing Request). Any notice given by an Issuing Lender or the Administrative Agent pursuant to this </w:t>
      </w:r>
      <w:r>
        <w:rPr>
          <w:rFonts w:ascii="Arial" w:cs="Arial" w:eastAsia="Arial" w:hAnsi="Arial"/>
          <w:sz w:val="16"/>
          <w:szCs w:val="16"/>
          <w:u w:val="single" w:color="auto"/>
          <w:color w:val="auto"/>
        </w:rPr>
        <w:t>Section 2.06(e)</w:t>
      </w:r>
      <w:r>
        <w:rPr>
          <w:rFonts w:ascii="Arial" w:cs="Arial" w:eastAsia="Arial" w:hAnsi="Arial"/>
          <w:sz w:val="16"/>
          <w:szCs w:val="16"/>
          <w:color w:val="auto"/>
        </w:rPr>
        <w:t xml:space="preserve"> may be given by telephone if immediately confirmed in writing; provided that the lack of such an immediate confirmation shall not affect the conclusiveness or binding effect of such notice. Interest shall be payable on any such amounts from the date on which the relevant draft is paid until payment in full at the rate set forth in (A) until the Business Day next succeeding the date of the relevant notice,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and (B) thereafter, </w:t>
      </w:r>
      <w:r>
        <w:rPr>
          <w:rFonts w:ascii="Arial" w:cs="Arial" w:eastAsia="Arial" w:hAnsi="Arial"/>
          <w:sz w:val="16"/>
          <w:szCs w:val="16"/>
          <w:u w:val="single" w:color="auto"/>
          <w:color w:val="auto"/>
        </w:rPr>
        <w:t>Section 2.14(c)</w:t>
      </w:r>
      <w:r>
        <w:rPr>
          <w:rFonts w:ascii="Arial" w:cs="Arial" w:eastAsia="Arial" w:hAnsi="Arial"/>
          <w:sz w:val="16"/>
          <w:szCs w:val="16"/>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9" w:name="page110"/>
    <w:bookmarkEnd w:id="109"/>
    <w:p>
      <w:pPr>
        <w:jc w:val="both"/>
        <w:ind w:left="-20" w:firstLine="1305"/>
        <w:spacing w:after="0" w:line="266" w:lineRule="auto"/>
        <w:tabs>
          <w:tab w:leader="none" w:pos="2001"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Company’s obligations under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be absolute, unconditional and irrevocable under any and all circumstances and irrespective of any setoff, counterclaim or defense to payment that the Company may have or have had against any Issuing Lender, any beneficiary of a Letter of Credit or any other Person. The Company also agrees with the Issuing Lenders that no Issuing Lenders shall be responsible for, and the Company’s Reimbursement Obligations under </w:t>
      </w:r>
      <w:r>
        <w:rPr>
          <w:rFonts w:ascii="Arial" w:cs="Arial" w:eastAsia="Arial" w:hAnsi="Arial"/>
          <w:sz w:val="17"/>
          <w:szCs w:val="17"/>
          <w:u w:val="single" w:color="auto"/>
          <w:color w:val="auto"/>
        </w:rPr>
        <w:t>Section 2.06(e)</w:t>
      </w:r>
      <w:r>
        <w:rPr>
          <w:rFonts w:ascii="Arial" w:cs="Arial" w:eastAsia="Arial" w:hAnsi="Arial"/>
          <w:sz w:val="17"/>
          <w:szCs w:val="17"/>
          <w:color w:val="auto"/>
        </w:rPr>
        <w:t xml:space="preserve"> shall not be affected by, among other things, (i) any lack of validity or enforceability of any Letter of Credit or this Agreement, or any term or provision therein, (ii) any draft or other document presented under a Letter of Credit proving to be invalid, fraudulent or forged in any respect or any statement therein being untrue or inaccurate in any respect, (iii) any dispute between or among the Company and any beneficiary of any Letter of Credit or any other party to which such Letter of Credit may be transferred or any claims whatsoever of the Company against any beneficiary of such Letter of Credit or any such transferee, (iv) payment by an Issuing Lender under a Letter of Credit against presentation of a draft or other document that does not comply with the terms of such Letter of Credit or any payment by an Issuing Lender under a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 (v) any other event or circumstance whatsoever, whether or not similar to any of the foregoing, that might, but for the provisions of this Section, constitute a legal or equitable discharge of, or provide a right of setoff against, the Company’s obligations hereunder. No Issuing Lender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message or advice, however transmitted, in connection with any Letter of Credit (including any document required to make a drawing thereunder), any error in interpretation of technical terms or any consequence arising from causes beyond the control of any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any Issuing Lender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any Issuing Lender (as finally determined by a court of competent jurisdiction), such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0" w:name="page111"/>
    <w:bookmarkEnd w:id="110"/>
    <w:p>
      <w:pPr>
        <w:jc w:val="both"/>
        <w:spacing w:after="0" w:line="312" w:lineRule="auto"/>
        <w:rPr>
          <w:sz w:val="20"/>
          <w:szCs w:val="20"/>
          <w:color w:val="auto"/>
        </w:rPr>
      </w:pPr>
      <w:r>
        <w:rPr>
          <w:rFonts w:ascii="Arial" w:cs="Arial" w:eastAsia="Arial" w:hAnsi="Arial"/>
          <w:sz w:val="16"/>
          <w:szCs w:val="16"/>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Issuing Lender. The Company shall be conclusively deemed to have waived any such claim against any Issuing Lender and its correspondents unless such notice is given as aforesaid.</w:t>
      </w:r>
    </w:p>
    <w:p>
      <w:pPr>
        <w:spacing w:after="0" w:line="147" w:lineRule="exact"/>
        <w:rPr>
          <w:sz w:val="20"/>
          <w:szCs w:val="20"/>
          <w:color w:val="auto"/>
        </w:rPr>
      </w:pPr>
    </w:p>
    <w:p>
      <w:pPr>
        <w:jc w:val="both"/>
        <w:ind w:firstLine="1305"/>
        <w:spacing w:after="0" w:line="267" w:lineRule="auto"/>
        <w:tabs>
          <w:tab w:leader="none" w:pos="201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Role of Issuing Lender</w:t>
      </w:r>
      <w:r>
        <w:rPr>
          <w:rFonts w:ascii="Arial" w:cs="Arial" w:eastAsia="Arial" w:hAnsi="Arial"/>
          <w:sz w:val="17"/>
          <w:szCs w:val="17"/>
          <w:color w:val="auto"/>
        </w:rPr>
        <w:t xml:space="preserve">. Each Lender and the Company agree that, in paying any drawing under a Letter of Credit, the applicable Issuing Lender shall not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the Issuing Lender, the Administrative Agent, any of their respective Related Parties nor any correspondent, participant or assignee of the Issuing Lender shall be liable to any Lender for (i) any action taken or omitted in connection herewith at the request or with the approval of the Majority in Interest of the Dollar Tranche Revolving Lenders, all of the Dollar Tranche Revolving Lenders, the Required Lenders or all of the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this assumption is not intended to, and shall not, preclude the Company’s pursuing such rights and remedies as it may have against the beneficiary or transferee at law or under any other agreement. None of the applicable Issuing Lender, the Administrative Agent, any of their respective Related Parties nor any correspondent, participant or assignee of the Issuing Lender shall be liable or responsible for any of the matters described in </w:t>
      </w:r>
      <w:r>
        <w:rPr>
          <w:rFonts w:ascii="Arial" w:cs="Arial" w:eastAsia="Arial" w:hAnsi="Arial"/>
          <w:sz w:val="17"/>
          <w:szCs w:val="17"/>
          <w:u w:val="single" w:color="auto"/>
          <w:color w:val="auto"/>
        </w:rPr>
        <w:t>Section 2.06(f)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the Company may have a claim against the applicable Issuing Lender, and the applicable Issuing Lender may be liable to the Company, to the extent, but only to the extent, of any direct, as opposed to consequential or exemplary, damages suffered by the Company which the Company proves, as determined by a final nonappealable judgment of a court of competent jurisdiction, were caused by such Issuing Lender’s willful misconduct or gross negligence or such Issuing Lender’s willful failure to pay under any Letter of Credit after the presentation to it by the beneficiary of a sight or time draft and certificate(s) strictly complying with the terms and conditions of a Letter of Credit. In furtherance and not in limitation of the foregoing, the Issuing Lender may accept documents that appear on their face to be in order, without responsibility for further investigation, regardless of any notice or information to the contrary, and the applicable Issuing Lender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applicable Issuing Lender may send a Letter of Credit or conduct any communication to or from the beneficiary via the Society for Worldwide Interbank Financial Telecommunication (“</w:t>
      </w:r>
      <w:r>
        <w:rPr>
          <w:rFonts w:ascii="Arial" w:cs="Arial" w:eastAsia="Arial" w:hAnsi="Arial"/>
          <w:sz w:val="17"/>
          <w:szCs w:val="17"/>
          <w:u w:val="single" w:color="auto"/>
          <w:color w:val="auto"/>
        </w:rPr>
        <w:t>SWIFT</w:t>
      </w:r>
      <w:r>
        <w:rPr>
          <w:rFonts w:ascii="Arial" w:cs="Arial" w:eastAsia="Arial" w:hAnsi="Arial"/>
          <w:sz w:val="17"/>
          <w:szCs w:val="17"/>
          <w:color w:val="auto"/>
        </w:rPr>
        <w:t>”) message or overnight courier, or any other commercially reasonable means of communicating with a beneficiary.</w:t>
      </w:r>
    </w:p>
    <w:p>
      <w:pPr>
        <w:spacing w:after="0" w:line="184" w:lineRule="exact"/>
        <w:rPr>
          <w:rFonts w:ascii="Arial" w:cs="Arial" w:eastAsia="Arial" w:hAnsi="Arial"/>
          <w:sz w:val="17"/>
          <w:szCs w:val="17"/>
          <w:color w:val="auto"/>
        </w:rPr>
      </w:pPr>
    </w:p>
    <w:p>
      <w:pPr>
        <w:jc w:val="both"/>
        <w:ind w:firstLine="1305"/>
        <w:spacing w:after="0" w:line="257" w:lineRule="auto"/>
        <w:tabs>
          <w:tab w:leader="none" w:pos="205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draft shall be presented for payment under any Letter of Credit, the applicable Issuing Lender shall promptly notify the Company of the date and amount thereof. The responsibility of any Issuing Lender to the Company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ind w:left="-8" w:firstLine="1305"/>
        <w:spacing w:after="0" w:line="277" w:lineRule="auto"/>
        <w:tabs>
          <w:tab w:leader="none" w:pos="1949"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Applications</w:t>
      </w:r>
      <w:r>
        <w:rPr>
          <w:rFonts w:ascii="Arial" w:cs="Arial" w:eastAsia="Arial" w:hAnsi="Arial"/>
          <w:sz w:val="18"/>
          <w:szCs w:val="18"/>
          <w:color w:val="auto"/>
        </w:rPr>
        <w:t xml:space="preserve">. To the extent that any provision of any Application related to any Letter of Credit is inconsistent with the provisions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apply.</w:t>
      </w:r>
    </w:p>
    <w:p>
      <w:pPr>
        <w:spacing w:after="0" w:line="170" w:lineRule="exact"/>
        <w:rPr>
          <w:rFonts w:ascii="Arial" w:cs="Arial" w:eastAsia="Arial" w:hAnsi="Arial"/>
          <w:sz w:val="18"/>
          <w:szCs w:val="18"/>
          <w:color w:val="auto"/>
        </w:rPr>
      </w:pPr>
    </w:p>
    <w:p>
      <w:pPr>
        <w:jc w:val="both"/>
        <w:ind w:left="-8" w:firstLine="1305"/>
        <w:spacing w:after="0" w:line="285" w:lineRule="auto"/>
        <w:tabs>
          <w:tab w:leader="none" w:pos="1935"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Replacement of an Issuing Lender</w:t>
      </w:r>
      <w:r>
        <w:rPr>
          <w:rFonts w:ascii="Arial" w:cs="Arial" w:eastAsia="Arial" w:hAnsi="Arial"/>
          <w:sz w:val="16"/>
          <w:szCs w:val="16"/>
          <w:color w:val="auto"/>
        </w:rPr>
        <w:t xml:space="preserve">. An Issuing Lender may be replaced at any time by written agreement among the Company, the Administrative Agent, the replaced Issuing Lender and the successor Issuing Lender. The Administrative Agent shall notify the Dollar Tranche Revolving Lenders of any such replacement of the Issuing Lender. At the time any such replacement shall become effective, the Company shall pay all unpaid fees accrued for the account of the replaced Issuing Lender pursuant to </w:t>
      </w:r>
      <w:r>
        <w:rPr>
          <w:rFonts w:ascii="Arial" w:cs="Arial" w:eastAsia="Arial" w:hAnsi="Arial"/>
          <w:sz w:val="16"/>
          <w:szCs w:val="16"/>
          <w:u w:val="single" w:color="auto"/>
          <w:color w:val="auto"/>
        </w:rPr>
        <w:t>Section 2.06(c)</w:t>
      </w:r>
      <w:r>
        <w:rPr>
          <w:rFonts w:ascii="Arial" w:cs="Arial" w:eastAsia="Arial" w:hAnsi="Arial"/>
          <w:sz w:val="16"/>
          <w:szCs w:val="16"/>
          <w:color w:val="auto"/>
        </w:rPr>
        <w:t>. From and after the effective date of any such replacement, (i) the successor Issuing Lender shall have all the rights and obligations of the Issuing Lender under this Agreement with respect to Letters of Credit to be issued thereafter and</w:t>
      </w:r>
    </w:p>
    <w:p>
      <w:pPr>
        <w:spacing w:after="0" w:line="2" w:lineRule="exact"/>
        <w:rPr>
          <w:rFonts w:ascii="Arial" w:cs="Arial" w:eastAsia="Arial" w:hAnsi="Arial"/>
          <w:sz w:val="16"/>
          <w:szCs w:val="16"/>
          <w:color w:val="auto"/>
        </w:rPr>
      </w:pPr>
    </w:p>
    <w:p>
      <w:pPr>
        <w:jc w:val="both"/>
        <w:ind w:left="-8" w:firstLine="8"/>
        <w:spacing w:after="0" w:line="254" w:lineRule="auto"/>
        <w:tabs>
          <w:tab w:leader="none" w:pos="2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89" w:lineRule="exact"/>
        <w:rPr>
          <w:rFonts w:ascii="Arial" w:cs="Arial" w:eastAsia="Arial" w:hAnsi="Arial"/>
          <w:sz w:val="18"/>
          <w:szCs w:val="18"/>
          <w:color w:val="auto"/>
        </w:rPr>
      </w:pPr>
    </w:p>
    <w:p>
      <w:pPr>
        <w:jc w:val="both"/>
        <w:ind w:left="-8" w:firstLine="1305"/>
        <w:spacing w:after="0" w:line="257" w:lineRule="auto"/>
        <w:tabs>
          <w:tab w:leader="none" w:pos="2016"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xml:space="preserve">. Notwithstanding that a Letter of Credit issued or outstanding hereunder is in support of obligations of, or is for the account of, a Subsidiary (including, to the extent not prohibited by </w:t>
      </w:r>
      <w:r>
        <w:rPr>
          <w:rFonts w:ascii="Arial" w:cs="Arial" w:eastAsia="Arial" w:hAnsi="Arial"/>
          <w:sz w:val="18"/>
          <w:szCs w:val="18"/>
          <w:u w:val="single" w:color="auto"/>
          <w:color w:val="auto"/>
        </w:rPr>
        <w:t>Section 6.04</w:t>
      </w:r>
      <w:r>
        <w:rPr>
          <w:rFonts w:ascii="Arial" w:cs="Arial" w:eastAsia="Arial" w:hAnsi="Arial"/>
          <w:sz w:val="18"/>
          <w:szCs w:val="18"/>
          <w:color w:val="auto"/>
        </w:rPr>
        <w:t>, Unrestricted Subsidiaries) of the Company shall be obligated to reimburse the applicable Issuing Lender for any and all such drawings under such Letter of Credit. The Company hereby acknowledges that the issuance of Letters of Credit for the account of Subsidiaries inures to the benefit of the Company, and that the Company’s business derives substantial benefits from the business of such Subsidiaries.</w:t>
      </w:r>
    </w:p>
    <w:p>
      <w:pPr>
        <w:spacing w:after="0" w:line="188" w:lineRule="exact"/>
        <w:rPr>
          <w:rFonts w:ascii="Arial" w:cs="Arial" w:eastAsia="Arial" w:hAnsi="Arial"/>
          <w:sz w:val="18"/>
          <w:szCs w:val="18"/>
          <w:color w:val="auto"/>
        </w:rPr>
      </w:pPr>
    </w:p>
    <w:p>
      <w:pPr>
        <w:jc w:val="both"/>
        <w:ind w:left="-8" w:firstLine="1305"/>
        <w:spacing w:after="0" w:line="288" w:lineRule="auto"/>
        <w:tabs>
          <w:tab w:leader="none" w:pos="1935"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 Limitation of Liability</w:t>
      </w:r>
      <w:r>
        <w:rPr>
          <w:rFonts w:ascii="Arial" w:cs="Arial" w:eastAsia="Arial" w:hAnsi="Arial"/>
          <w:sz w:val="16"/>
          <w:szCs w:val="16"/>
          <w:color w:val="auto"/>
        </w:rPr>
        <w:t>. Unless otherwise expressly agreed by the applicable Issuing Lender and the Company when a Letter of Credit is issued (including any such agreement applicable to an Existing Letter of Credit), (i) the rules of the ISP shall apply to each Letter of Credit. Notwithstanding the foregoing, no Issuing Lender shall be responsible to the Company for, and each Issuing Lender’s rights and remedies against the Company shall not be impaired by, any action or inaction of such Issuing Lender required or permitted under any law, order, or practice that is required or permitted to be applied to any Letter of Credit or this Agreement, including the Requirement of Law or any order of a jurisdiction where the applicable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In addition, any Issuing Lender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69" w:lineRule="exact"/>
        <w:rPr>
          <w:rFonts w:ascii="Arial" w:cs="Arial" w:eastAsia="Arial" w:hAnsi="Arial"/>
          <w:sz w:val="16"/>
          <w:szCs w:val="16"/>
          <w:color w:val="auto"/>
        </w:rPr>
      </w:pPr>
    </w:p>
    <w:p>
      <w:pPr>
        <w:jc w:val="both"/>
        <w:ind w:left="-8" w:firstLine="1305"/>
        <w:spacing w:after="0" w:line="268" w:lineRule="auto"/>
        <w:tabs>
          <w:tab w:leader="none" w:pos="2039"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Issuing Lender Reports to the Administrative Agent</w:t>
      </w:r>
      <w:r>
        <w:rPr>
          <w:rFonts w:ascii="Arial" w:cs="Arial" w:eastAsia="Arial" w:hAnsi="Arial"/>
          <w:sz w:val="17"/>
          <w:szCs w:val="17"/>
          <w:color w:val="auto"/>
        </w:rPr>
        <w:t>. Unless otherwise agreed by the Administrative Agent, each Issuing Lender shall, in addition to its notification obligations set forth elsewhere in this Section, provide the Administrative Agent a Letter of Credit Report (i) reasonably prior to the time that such Issuing Lender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 (ii) on each Business Day on which such Issuing Lender makes a payment pursuant to a Letter of Credit, the date and amount of such payment; (iii) on any Business Day on which the Company fails to reimburse a payment made pursuant to a Letter of Credit required to be reimbursed to such Issuing Lender on such day, the date of such failure and the amount of such payment; (iv) on any other Business Day, such other information as the Administrative Agent shall reasonably request as to the Letters of Credit issued by such Issuing Lender; and (v) for so long as any Letter of Credit issued by an Issuing Lender is outstanding, such Issuing Lender shall deliver to the Administrative Agent (A) on the last Business Day of each calendar month, (B) at all other times a Letter of Credit Report is required to be delivered pursuant to this Agreement, and (C) on each date that (1) such Issuing Lender issues, amends, renews, increases or extends a Letter of Credit or (2) there is any expiration, cancellation and/or disbursement, in each case, with respect to any such Letter of Credit, a Letter of Credit Report appropriately completed with the information for every outstanding Letter of Credit issued by such Issuing Lender.</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2" w:name="page113"/>
    <w:bookmarkEnd w:id="112"/>
    <w:p>
      <w:pPr>
        <w:ind w:left="1300"/>
        <w:spacing w:after="0"/>
        <w:tabs>
          <w:tab w:leader="none" w:pos="28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6" w:lineRule="auto"/>
        <w:tabs>
          <w:tab w:leader="none" w:pos="2005"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Lender shall make the amount of each Loan to be made by it hereunder available to the Administrative Agent in Same Day Funds at the Administrative Agent’s Office for the applicable currency no later than 1:00 p.m., in the case of any Loan denominated in Dollars, and not later than the Applicable Time specified by the Administrative Agent in the case of any Loan in an Alternative Currency, in each case on the proposed date thereof (or in the case of the Loans to be made on the Closing Date, 11:00 a.m.). The Administrative Agent will make such Loans available to the relevant Borrower by promptly remitting the amounts so received, in like funds, to the Applicable Funding Account.</w:t>
      </w:r>
    </w:p>
    <w:p>
      <w:pPr>
        <w:spacing w:after="0" w:line="172" w:lineRule="exact"/>
        <w:rPr>
          <w:rFonts w:ascii="Arial" w:cs="Arial" w:eastAsia="Arial" w:hAnsi="Arial"/>
          <w:sz w:val="17"/>
          <w:szCs w:val="17"/>
          <w:color w:val="auto"/>
        </w:rPr>
      </w:pPr>
    </w:p>
    <w:p>
      <w:pPr>
        <w:jc w:val="both"/>
        <w:ind w:firstLine="1305"/>
        <w:spacing w:after="0" w:line="268" w:lineRule="auto"/>
        <w:tabs>
          <w:tab w:leader="none" w:pos="2019"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may, in reliance 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applicable Overnight Rate from time to time in effect, plus any administrative, processing or similar fees customarily charged by the Administrative Agent in connection with the foregoing or (ii) in the case of a payment to be made by such Borrower, the interest rate applicable to Base Rate Term Loans or, in the case of Alternative Currencies in accordance with such market practice, in each case, as applicable. If any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85" w:lineRule="exact"/>
        <w:rPr>
          <w:rFonts w:ascii="Arial" w:cs="Arial" w:eastAsia="Arial" w:hAnsi="Arial"/>
          <w:sz w:val="17"/>
          <w:szCs w:val="17"/>
          <w:color w:val="auto"/>
        </w:rPr>
      </w:pPr>
    </w:p>
    <w:p>
      <w:pPr>
        <w:jc w:val="both"/>
        <w:ind w:firstLine="1305"/>
        <w:spacing w:after="0" w:line="264" w:lineRule="auto"/>
        <w:tabs>
          <w:tab w:leader="none" w:pos="2016"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8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Interest Elections</w:t>
      </w:r>
      <w:r>
        <w:rPr>
          <w:rFonts w:ascii="Arial" w:cs="Arial" w:eastAsia="Arial" w:hAnsi="Arial"/>
          <w:sz w:val="17"/>
          <w:szCs w:val="17"/>
          <w:color w:val="auto"/>
        </w:rPr>
        <w:t xml:space="preserve">. (a) Each Borrowing (other than a Borrowing of Swingline Loans) initially shall be of the Type and, in the case of a Eurocurrency Borrowing, shall have an initial Interest Period as specified in the applicable Borrowing Request or as otherwise provided in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Thereafter, the relevant Borrower may elect to convert such Borrowing to a Borrowing of a different Type or to continue such Borrowing and, in the case of a Eurocurrency Borrowing, may elect Interest Periods therefor, all as provided in this </w:t>
      </w:r>
      <w:r>
        <w:rPr>
          <w:rFonts w:ascii="Arial" w:cs="Arial" w:eastAsia="Arial" w:hAnsi="Arial"/>
          <w:sz w:val="17"/>
          <w:szCs w:val="17"/>
          <w:u w:val="single" w:color="auto"/>
          <w:color w:val="auto"/>
        </w:rPr>
        <w:t>Section 2.08</w:t>
      </w:r>
      <w:r>
        <w:rPr>
          <w:rFonts w:ascii="Arial" w:cs="Arial" w:eastAsia="Arial" w:hAnsi="Arial"/>
          <w:sz w:val="17"/>
          <w:szCs w:val="17"/>
          <w:color w:val="auto"/>
        </w:rPr>
        <w:t>.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ind w:firstLine="1305"/>
        <w:spacing w:after="0" w:line="273" w:lineRule="auto"/>
        <w:tabs>
          <w:tab w:leader="none" w:pos="1969"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To make an election pursuant to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 Borrower, or the Company on its behalf, shall notify the Administrative Agent of such election by telephone by the time that a Borrowing Request would be required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such Borrower, or the Company on its behalf, was requesting a Borrowing of the Type resulting from such election to be made on the effective date of such election (it being understood and agreed that such an election may be made prior to the Closing Date). Each such telephonic Interest Election Request shall be irrevocable and shall be confirmed promptly by delivery to the Administrative Agent of an executed written Interest Election Request in accordance with the notice provisions set forth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Each telephonic and written Interest Election Request shall specify the following information in compliance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178" w:lineRule="exact"/>
        <w:rPr>
          <w:sz w:val="20"/>
          <w:szCs w:val="20"/>
          <w:color w:val="auto"/>
        </w:rPr>
      </w:pPr>
    </w:p>
    <w:p>
      <w:pPr>
        <w:jc w:val="both"/>
        <w:ind w:left="660" w:firstLine="645"/>
        <w:spacing w:after="0" w:line="264" w:lineRule="auto"/>
        <w:tabs>
          <w:tab w:leader="none" w:pos="19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0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resulting Borrowing is to be a Base Rate Borrowing or a Eurocurrency Borrowing and, in the case of a Revolving Borrowing in Dollars, whether such Borrowing is to be a Dollar Tranche Revolving Borrowing or a Multicurrency Tranche Revolving Borrowing; and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9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applicable Borrower shall be deemed to have selected an Interest Period of one month’s duration.</w:t>
      </w:r>
    </w:p>
    <w:p>
      <w:pPr>
        <w:spacing w:after="0" w:line="170" w:lineRule="exact"/>
        <w:rPr>
          <w:sz w:val="20"/>
          <w:szCs w:val="20"/>
          <w:color w:val="auto"/>
        </w:rPr>
      </w:pPr>
    </w:p>
    <w:p>
      <w:pPr>
        <w:ind w:firstLine="1305"/>
        <w:spacing w:after="0" w:line="277" w:lineRule="auto"/>
        <w:tabs>
          <w:tab w:leader="none" w:pos="205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Promptly following receipt of an Interest Election Request in accordance with this </w:t>
      </w:r>
      <w:r>
        <w:rPr>
          <w:rFonts w:ascii="Arial" w:cs="Arial" w:eastAsia="Arial" w:hAnsi="Arial"/>
          <w:sz w:val="18"/>
          <w:szCs w:val="18"/>
          <w:u w:val="single" w:color="auto"/>
          <w:color w:val="auto"/>
        </w:rPr>
        <w:t>Section 2.08</w:t>
      </w:r>
      <w:r>
        <w:rPr>
          <w:rFonts w:ascii="Arial" w:cs="Arial" w:eastAsia="Arial" w:hAnsi="Arial"/>
          <w:sz w:val="18"/>
          <w:szCs w:val="18"/>
          <w:color w:val="auto"/>
        </w:rPr>
        <w:t>, the Administrative Agent shall advise each Lender of the applicable Class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1305"/>
        <w:spacing w:after="0" w:line="287" w:lineRule="auto"/>
        <w:tabs>
          <w:tab w:leader="none" w:pos="2028"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If the relevant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continued as a Eurocurrency Borrowing for an additional Interest Period of one month. Notwithstanding any contrary provision hereof, if an Event of Default under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 and is continuing with respect to the Company or any Borrower, or if any other Event of Default has occurred and is continuing and the Administrative Agent, at the request of a Majority in Interest of Lenders of any Class, has notified the Company of the election to give effect to this sentence on account of such other Event of Default, then, in each such case, so long as such Event of Default is continuing, (i) no outstanding Borrowing of such Class may be converted to or continued as a Eurocurrency Borrowing and (ii) unless repaid, each Eurocurrency Borrowing of such Class shall be converted to a Base Rate Borrowing at the end of the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failure to deliver a timely Interest Election Request with respect to a Eurocurrency Borrowing in an Alternative Currency, such Loans shall be continued as Eurocurrency Rate Loans in their original currency with an Interest Period of one month. No Borrowing or Loan may be converted into or continued as a Borrowing denominated in a different currency, but instead must be prepaid in the original currency of such Borrowing and reborrowed in the other currency.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ind w:firstLine="1305"/>
        <w:spacing w:after="0" w:line="277" w:lineRule="auto"/>
        <w:tabs>
          <w:tab w:leader="none" w:pos="21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After giving effect to all Interest Election Requests, the number of Interest Periods in effect shall not at any time exceed the maximum number of Interest Periods permitted pursuant to Section 2.02(c).</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xml:space="preserve">. (a) Unless previously terminated, (i) the Initial Term Loan Commitments shall automatically terminate on the Closing Date (upon funding of the Initial Term Loans), (ii) the Multicurrency Tranche Revolving Commitments and Dollar Tranche Revolving Commitments shall automatically terminate on the Revolving Termination Date and (iii) the Aggregate Revolving Commitments shall automatically be reduced on the first anniversary of the Closing Date to an amount equal to the lesser of (x) $800,000,000 and (y) the Aggregate Revolving Commitments at such time immediately prior to giving effect to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it being understood and agreed that such reduction of the Aggregate Revolving Commitments pursuant to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be applied ratably between the Multicurrency Tranche Revolving Commitments and the Dollar Tranche Revolving Commitments based on the respective Revolving Commitments in each Tranche on the first anniversary of the Closing Date.</w:t>
      </w:r>
    </w:p>
    <w:p>
      <w:pPr>
        <w:spacing w:after="0" w:line="167" w:lineRule="exact"/>
        <w:rPr>
          <w:sz w:val="20"/>
          <w:szCs w:val="20"/>
          <w:color w:val="auto"/>
        </w:rPr>
      </w:pPr>
    </w:p>
    <w:p>
      <w:pPr>
        <w:jc w:val="both"/>
        <w:ind w:firstLine="1305"/>
        <w:spacing w:after="0" w:line="268" w:lineRule="auto"/>
        <w:tabs>
          <w:tab w:leader="none" w:pos="199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Company may at any time terminate, or from time to time permanently reduce, the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partial reduction of the Commitments of any Class shall be in an amount that is an integral multiple of $1,000,000 and not less than $5,000,000;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 no such termination or reduction of Multicurrency Tranche Revolving Commitments shall be permitted if, after giving effect thereto and to any prepayments of the Multicurrency Tranche Revolving Loans made on the effective date thereof, the Revolving Extensions of Credit of any Multicurrency Tranche Revolving Lender would exceed its Multicurrency Tranche Revolving Commitments, (ii) no such termination or reduction of Dollar Tranche Revolving Commitments shall be permitted if, after giving effect thereto and to any prepayments of the Dollar Tranche Revolving Loans and Swingline Loans made on the effective date thereof, the Revolving Extensions of Credit of any Dollar Tranche Revolving Lender would exceed its Dollar Tranche Revolving Commitments, (iii) if after giving effect to any reduction of the Dollar Tranche Revolving Commitments, the L/C Commitment exceeds the amount of the Dollar Tranche Revolving Commitments, such commitment shall be automatically reduced by such excess, (iv) if after giving effect to any reduction of the Dollar Tranche Revolving Commitments, the Swingline Commitment exceeds the amount of the Dollar Tranche Revolving Commitments, such commitment shall be automatically reduced by such excess, (v) if after giving effect to any reduction of the Aggregate Revolving Commitments, the Alternative Currency Sublimit exceeds the amount of the Aggregate Revolving Commitments, such sublimit shall be automatically reduced by such excess and (vi) no such termination or reduction of any Revolving Commitments shall be permitted if, after giving effect thereto and to any prepayments of the Revolving Loans and Swingline Loans made on the effective date thereof, the sum of the total Revolving Credit Exposures denominated in an Alternative Currency exceeds the Alternative Currency Sublimit.</w:t>
      </w:r>
    </w:p>
    <w:p>
      <w:pPr>
        <w:spacing w:after="0" w:line="183" w:lineRule="exact"/>
        <w:rPr>
          <w:rFonts w:ascii="Arial" w:cs="Arial" w:eastAsia="Arial" w:hAnsi="Arial"/>
          <w:sz w:val="17"/>
          <w:szCs w:val="17"/>
          <w:color w:val="auto"/>
        </w:rPr>
      </w:pPr>
    </w:p>
    <w:p>
      <w:pPr>
        <w:jc w:val="both"/>
        <w:ind w:firstLine="1305"/>
        <w:spacing w:after="0" w:line="272" w:lineRule="auto"/>
        <w:tabs>
          <w:tab w:leader="none" w:pos="1998"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Company shall notify the Administrative Agent of any election to terminate or reduce the Commitments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by 11:00 a.m. at least five Business Days prior to the effective date of such termination or reduction, specifying the effective date thereof. Promptly following receipt of any such notice, the Administrative Agent shall advise the Lenders of the applicable Class of the contents thereof. Each notice delivered by the Company pursuant to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be irrevocable. Any termination or reduction of the Commitments of any Class shall be permanent. A notice of termination of the Commitments delivered by the Company may state that such notice is conditioned upon the effectiveness of other credit facilities being funded, the occurrence of a Specified Transaction or other contingent event, in which case such notice may be revoked by the Company (by notice to the Administrative Agent on or prior to the specified effective date) if such condition is not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ind w:firstLine="1297"/>
        <w:spacing w:after="0" w:line="29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xml:space="preserve">. (a) Each Borrower hereby unconditionally promises to pay (i) to the Administrative Agent for the account of each Lender the then unpaid principal amount of each Initial Term Loan of such Lender made to such Borrower as provided in </w:t>
      </w:r>
      <w:r>
        <w:rPr>
          <w:rFonts w:ascii="Arial" w:cs="Arial" w:eastAsia="Arial" w:hAnsi="Arial"/>
          <w:sz w:val="16"/>
          <w:szCs w:val="16"/>
          <w:u w:val="single" w:color="auto"/>
          <w:color w:val="auto"/>
        </w:rPr>
        <w:t>Section 2.11</w:t>
      </w:r>
      <w:r>
        <w:rPr>
          <w:rFonts w:ascii="Arial" w:cs="Arial" w:eastAsia="Arial" w:hAnsi="Arial"/>
          <w:sz w:val="16"/>
          <w:szCs w:val="16"/>
          <w:color w:val="auto"/>
        </w:rPr>
        <w:t>, (ii) to the Administrative Agent for the account of each Lender the then unpaid principal amount of each Incremental Term Loan of such Lender on the Maturity Date applicable to such Incremental Term Loans made to such Borrower and (iii) to the Administrative Agent for the account of each Lender the then unpaid principal amount of each Revolving Loan of such Lender made to such Borrower on the Revolving Termination Date.</w:t>
      </w:r>
    </w:p>
    <w:p>
      <w:pPr>
        <w:spacing w:after="0" w:line="158" w:lineRule="exact"/>
        <w:rPr>
          <w:sz w:val="20"/>
          <w:szCs w:val="20"/>
          <w:color w:val="auto"/>
        </w:rPr>
      </w:pPr>
    </w:p>
    <w:p>
      <w:pPr>
        <w:jc w:val="both"/>
        <w:ind w:firstLine="1305"/>
        <w:spacing w:after="0" w:line="259" w:lineRule="auto"/>
        <w:tabs>
          <w:tab w:leader="none" w:pos="20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records maintained by the Administrative Agent and the Lenders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of each Borrower in respect of Loans, interest and fees due or accrued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Administrative Agent or any Lender to maintain such records or any error therein shall not in any manner affect the obligation of any Borrower to pay any amounts due hereunder in accordance with the terms of this Agreement.</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1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Lender may request that Loans of any Class made by it to any Borrower be evidenced by a promissory note. In such event, the relevant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be represented by one or more promissory notes in such form payable to the payee named therein (or to such payee and its registered assigns).</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Amortization of Term Loans</w:t>
      </w:r>
      <w:r>
        <w:rPr>
          <w:rFonts w:ascii="Arial" w:cs="Arial" w:eastAsia="Arial" w:hAnsi="Arial"/>
          <w:sz w:val="18"/>
          <w:szCs w:val="18"/>
          <w:color w:val="auto"/>
        </w:rPr>
        <w:t xml:space="preserve">. (a) The Company shall repay Initial Term Loan Borrowings on the last Business Day of each April, July, October and January, commencing with the last Business Day of the first full fiscal quarter of the Company following the Closing Date and ending with the last such Business Day to occur prior to the Term Maturity Date, in an aggregate principal amount for each such date equal to the percentage set forth below opposite the applicable date of the aggregate principal amount of the Initial Term Loan Borrowings outstanding on the Closing Date (as such amount shall be adjusted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700" w:type="dxa"/>
            <w:vAlign w:val="bottom"/>
          </w:tcPr>
          <w:p>
            <w:pPr>
              <w:jc w:val="center"/>
              <w:ind w:left="570"/>
              <w:spacing w:after="0"/>
              <w:rPr>
                <w:sz w:val="20"/>
                <w:szCs w:val="20"/>
                <w:color w:val="auto"/>
              </w:rPr>
            </w:pPr>
            <w:r>
              <w:rPr>
                <w:rFonts w:ascii="Arial" w:cs="Arial" w:eastAsia="Arial" w:hAnsi="Arial"/>
                <w:sz w:val="18"/>
                <w:szCs w:val="18"/>
                <w:b w:val="1"/>
                <w:bCs w:val="1"/>
                <w:color w:val="auto"/>
                <w:w w:val="90"/>
              </w:rPr>
              <w:t>Repayment Date – Last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Business Day of the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70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Applicable Month</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Repayment Percentage</w:t>
            </w:r>
          </w:p>
        </w:tc>
        <w:tc>
          <w:tcPr>
            <w:tcW w:w="326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January 2018</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0.625%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April 2018</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0.625%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July 2018</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0.625%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0.625%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January 2019</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April 2019</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July 2019</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October 2019</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January 2020</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July 2020</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October 2020</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January 2021</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April 2021</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July 2021</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October 2021</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January 2022</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April 2022</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July 2022</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260" w:type="dxa"/>
            <w:vAlign w:val="bottom"/>
          </w:tcPr>
          <w:p>
            <w:pPr>
              <w:spacing w:after="0"/>
              <w:rPr>
                <w:sz w:val="18"/>
                <w:szCs w:val="18"/>
                <w:color w:val="auto"/>
              </w:rPr>
            </w:pPr>
          </w:p>
        </w:tc>
      </w:tr>
      <w:tr>
        <w:trPr>
          <w:trHeight w:val="648"/>
        </w:trPr>
        <w:tc>
          <w:tcPr>
            <w:tcW w:w="1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846" w:gutter="0" w:footer="0" w:header="0"/>
        </w:sectPr>
      </w:pPr>
    </w:p>
    <w:bookmarkStart w:id="116" w:name="page117"/>
    <w:bookmarkEnd w:id="116"/>
    <w:p>
      <w:pPr>
        <w:jc w:val="both"/>
        <w:ind w:firstLine="1305"/>
        <w:spacing w:after="0" w:line="264" w:lineRule="auto"/>
        <w:tabs>
          <w:tab w:leader="none" w:pos="20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applicable Borrower shall repay Incremental Term Loans of any Series in such amounts and on such date or dates as shall be specified therefor in the Incremental Facility Amendment establishing the Incremental Term Commitments of such Series (as such amount shall be adjusted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pursuant to such Incremental Facility Amendment).</w:t>
      </w:r>
    </w:p>
    <w:p>
      <w:pPr>
        <w:spacing w:after="0" w:line="181" w:lineRule="exact"/>
        <w:rPr>
          <w:rFonts w:ascii="Arial" w:cs="Arial" w:eastAsia="Arial" w:hAnsi="Arial"/>
          <w:sz w:val="18"/>
          <w:szCs w:val="18"/>
          <w:color w:val="auto"/>
        </w:rPr>
      </w:pPr>
    </w:p>
    <w:p>
      <w:pPr>
        <w:ind w:firstLine="1305"/>
        <w:spacing w:after="0" w:line="277" w:lineRule="auto"/>
        <w:tabs>
          <w:tab w:leader="none" w:pos="2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not previously paid, (i) all Initial Term Loans shall be due and payable on the Term Maturity Date and (ii) all Incremental Term Loans of any Series shall be due and payable on the applicable Incremental Term Maturity Date.</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215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Any optional prepayment of Term Loans of any Class pursuant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shall be applied to reduce the subsequent scheduled repayments of the Term Loans of such Class to be made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as directed by the Company (and absent such direction, in direct order of maturity thereof) and may be applied to the Initial Term Loans or any Incremental Term Loans, in any case, as directed by the Company (and absent such direction, in direct order of maturity thereof). All mandatory prepayments of Term Loans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shall be applied to reduce the subsequent scheduled repayments of the Term Loans to be made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to the scheduled installments in direct order of maturity.</w:t>
      </w:r>
    </w:p>
    <w:p>
      <w:pPr>
        <w:spacing w:after="0" w:line="15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xml:space="preserve">. (a) The Company shall have the right at any time and from time to time to prepay any Borrowing, in whole or in part, subject to the requirements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jc w:val="both"/>
        <w:ind w:left="-20" w:firstLine="1305"/>
        <w:spacing w:after="0" w:line="285" w:lineRule="auto"/>
        <w:tabs>
          <w:tab w:leader="none" w:pos="19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Prepayment Proceeds are received by or on behalf of the Company or any Subsidiary in respect of any Prepayment Event, the Company shall, not later than the fifth Business Day following the day such Prepayment Proceeds are received, prepay Term Loan Borrowings in an aggregate amount equal to 100% of the amount of such Prepayment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use a portion of such Prepayment Proceeds to prepay or repurchase Permitted First Priority Refinancing Indebtedness, Incremental Pari Passu Debt or Incremental Equivalent Debt secured on a pari passu basis with the Obligations to the extent any applicable credit agreement, indenture or other agreement governing such Permitted First Priority Refinancing Indebtedness, Incremental Pari Passu Debt or Incremental Equivalent Debt so requires, in each case in an amount not to exceed the product of (x) the amount of such Prepayment Proceeds and (y) a fraction, the numerator of which is the outstanding principal amount of such Permitted First Priority Refinancing Indebtedness, Incremental Pari Passu Debt or Incremental Equivalent Debt, as applicable, and the denominator of which is the sum of the outstanding principal amount of such Permitted First Priority Refinancing Indebtedness, Incremental Pari Passu Debt or Incremental Equivalent Debt, as applicable, and the outstanding principal amount of Term Loans;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event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of the term “Prepayment Event,” if the Company shall, prior to the date of the required prepayment, deliver to the Administrative Agent a certificate of a Financial Officer of the Company to the effect that the Company or the applicable Subsidiary intends to cause the Prepayment Proceeds from such event (or a portion thereof specified in such certificate) to be applied within 365 days after receipt of such Prepayment Proceeds to make an Investment in the business of the Company or the Subsidiaries permitted hereunder, then no prepayment shall be required pursuant to this paragraph in respect of the Prepayment Proceeds in respect of such event (or the portion of such Prepayment Proceeds specified in such certificate, if applicable) except to the extent of any such Prepayment Proceeds that have not been so applied by the end of such 365-day period (or within a period of 180 days thereafter if by the end of such initial 365-day period the Company or one or more Subsidiaries shall have entered into an agreement with a third party to consummate an Investment with such Prepayment Proceeds), at which time a prepayment shall be required in an amount equal to such Prepayment Proceeds that have not been so applied.</w:t>
      </w:r>
    </w:p>
    <w:p>
      <w:pPr>
        <w:spacing w:after="0" w:line="172" w:lineRule="exact"/>
        <w:rPr>
          <w:rFonts w:ascii="Arial" w:cs="Arial" w:eastAsia="Arial" w:hAnsi="Arial"/>
          <w:sz w:val="16"/>
          <w:szCs w:val="16"/>
          <w:color w:val="auto"/>
        </w:rPr>
      </w:pPr>
    </w:p>
    <w:p>
      <w:pPr>
        <w:jc w:val="both"/>
        <w:ind w:left="-20" w:firstLine="1305"/>
        <w:spacing w:after="0" w:line="273" w:lineRule="auto"/>
        <w:tabs>
          <w:tab w:leader="none" w:pos="207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Prior to any optional or mandatory prepayment of Borrowings under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Company shall, subject to the next sentence, specify the Borrowing or Borrowings to be prepaid in the notice of such prepayment delivered pursuant to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In the event of any mandatory prepayment of Term Loans made at a time when Term Loans of more than one Class are outstanding, the Company shall select Term Loans to be prepaid so that the aggregate amount of such prepayment is allocated among the Term Loans pro rata based on the aggregate principal amounts of outstanding Borrowings of each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amounts so allocable to Incremental Term Loans of any Series may be applied to other Term Loan Borrowings as provided in the applicable Incremental Facility Amendment.</w:t>
      </w:r>
    </w:p>
    <w:p>
      <w:pPr>
        <w:spacing w:after="0" w:line="178" w:lineRule="exact"/>
        <w:rPr>
          <w:rFonts w:ascii="Arial" w:cs="Arial" w:eastAsia="Arial" w:hAnsi="Arial"/>
          <w:sz w:val="17"/>
          <w:szCs w:val="17"/>
          <w:color w:val="auto"/>
        </w:rPr>
      </w:pPr>
    </w:p>
    <w:p>
      <w:pPr>
        <w:jc w:val="both"/>
        <w:ind w:left="-20" w:firstLine="1305"/>
        <w:spacing w:after="0" w:line="286" w:lineRule="auto"/>
        <w:tabs>
          <w:tab w:leader="none" w:pos="195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The relevant Borrower shall notify the Administrative Agent by telephone (confirmed by hand delivery or facsimile of a Notice of Loan Prepayment) of any optional prepayment and, to the extent practicable, any mandatory prepayment hereunder not later than 11:00 a.m., (i) three Business Days before the date of prepayment in the case of prepayment of a Eurocurrency Borrowing denominated in Dollars, (ii) four Business Days before the date of prepayment in the case of prepayment of prepayment of a Eurocurrency Borrowing denominated in an Alternative Currency (or five, in the case of prepayment of a Eurocurrency Borrowing denominated in a Special Notice Currency) or (iii) on the Business Day of the date of prepayment in the in the case of prepayment of a Base Rate Borrowing. Each such notice shall be irrevocable and shall specify the prepayment date, the principal amount of each Borrowing or portion thereof to be prepaid, the applicable currency of such Borrowing and, in 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optional prepayment of Loans pursuant to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may state that such notice is conditioned upon the occurrence of one or more events specified therein, in which case such notice of prepayment may be revoked by such Borrower (by notice to the Administrative Agent on or prior to the specified date of prepayment) if such condition is not satisfied. Promptly following receipt of any such notice,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except (i) as necessary to apply fully the required amount of a mandatory prepayment and (ii) partial prepayments of Swingline Loans shall be in an aggregate principal amount of $100,000 or a whole multiple thereof. Each prepayment of a Borrowing shall be applied ratably to the Loans included in the prepaid Borrowing. Prepayments shall be accompanied by accrued interest to the extent required by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8" w:name="page119"/>
    <w:bookmarkEnd w:id="118"/>
    <w:p>
      <w:pPr>
        <w:jc w:val="both"/>
        <w:ind w:left="-20" w:firstLine="1305"/>
        <w:spacing w:after="0" w:line="288" w:lineRule="auto"/>
        <w:tabs>
          <w:tab w:leader="none" w:pos="202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If the Administrative Agent notifies the Company at any time that the sum of the total Multicurrency Tranche Revolving Credit Exposures at such time exceeds an amount equal to the aggregate Multicurrency Tranche Revolving Commitments then in effect, then, within two Business Days after receipt of such notice, the Borrowers shall prepay Multicurrency Tranche Revolving Loans amount at least equal to such excess. If the Administrative Agent notifies the Company at any time that the sum of the total Dollar Tranche Revolving Credit Exposures at such time exceeds an amount equal to the aggregate Dollar Tranche Revolving Commitments then in effect, then, within two Business Days after receipt of such notice, the Borrowers shall prepay Dollar Tranche Revolving Loans and/or the Company shall Cash Collateralize the L/C Obligations in an aggregate in an aggregate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Cash Collateralize the L/C Obligations pursuant to this </w:t>
      </w:r>
      <w:r>
        <w:rPr>
          <w:rFonts w:ascii="Arial" w:cs="Arial" w:eastAsia="Arial" w:hAnsi="Arial"/>
          <w:sz w:val="16"/>
          <w:szCs w:val="16"/>
          <w:u w:val="single" w:color="auto"/>
          <w:color w:val="auto"/>
        </w:rPr>
        <w:t>Section 2.12(e)</w:t>
      </w:r>
      <w:r>
        <w:rPr>
          <w:rFonts w:ascii="Arial" w:cs="Arial" w:eastAsia="Arial" w:hAnsi="Arial"/>
          <w:sz w:val="16"/>
          <w:szCs w:val="16"/>
          <w:color w:val="auto"/>
        </w:rPr>
        <w:t xml:space="preserve"> unless after the prepayment in full of the Dollar Tranche Revolving Loans the total Dollar Tranche Revolving Credit Exposures at such time exceed the Dollar Tranche Revolving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69" w:lineRule="exact"/>
        <w:rPr>
          <w:rFonts w:ascii="Arial" w:cs="Arial" w:eastAsia="Arial" w:hAnsi="Arial"/>
          <w:sz w:val="16"/>
          <w:szCs w:val="16"/>
          <w:color w:val="auto"/>
        </w:rPr>
      </w:pPr>
    </w:p>
    <w:p>
      <w:pPr>
        <w:jc w:val="both"/>
        <w:ind w:left="-20" w:firstLine="1305"/>
        <w:spacing w:after="0" w:line="279" w:lineRule="auto"/>
        <w:tabs>
          <w:tab w:leader="none" w:pos="19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Administrative Agent notifies the Company at any time that the Revolving Outstanding Amount of all Loans denominated in Alternative Currencies at such time exceeds an amount equal to 105% of the Alternative Currency Sublimit then in effect, then, within two Business Days after receipt of such notice, the Borrowers shall prepay Loans in an aggregate amount sufficient to reduce such Revolving Outstanding Amount as of such date of payment to an amount not to exceed 100% of the Alternative Currency Sublimit then in effect.</w:t>
      </w:r>
    </w:p>
    <w:p>
      <w:pPr>
        <w:spacing w:after="0" w:line="171" w:lineRule="exact"/>
        <w:rPr>
          <w:rFonts w:ascii="Arial" w:cs="Arial" w:eastAsia="Arial" w:hAnsi="Arial"/>
          <w:sz w:val="17"/>
          <w:szCs w:val="17"/>
          <w:color w:val="auto"/>
        </w:rPr>
      </w:pPr>
    </w:p>
    <w:p>
      <w:pPr>
        <w:jc w:val="both"/>
        <w:ind w:left="-20" w:firstLine="1305"/>
        <w:spacing w:after="0" w:line="268" w:lineRule="auto"/>
        <w:tabs>
          <w:tab w:leader="none" w:pos="217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to the extent that any of or all the Prepayment Proceeds of any Disposition by the Company or any non-U.S. Subsidiary or of any casualty event from the Company or any non-U.S. Subsidiary either (A) is prohibited, restricted or delayed by applicable local law from being repatriated to the United States or (B) would, in the good faith judgment of the Company, result in a material adverse tax consequence to the Company or any of its Subsidiaries if applied to repay the Term Loans, in each case, the portion of such Prepayment Proceeds so affected will not be required to be applied to repay Term Loans at the times provided in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Instead, such amounts may be retained by the Company or the applicable Subsidiary so long, but only so long, as the applicable local law will not permit repatriation to the United States (the Company hereby agreeing to promptly take, or to cause the applicable Subsidiary to promptly take, all actions reasonably required by the applicable local law to permit such repatriation as long as such repatriation does not create a material adverse tax consequence) or, in the good faith judgment of the Company, a material adverse tax consequence to the Company or any of its Subsidiaries would result if such Prepayment Proceeds are applied to repay the Term Loans, and once such repatriation of any of such affected Prepayment Proceeds is permitted under the applicable local law and, in the good faith judgment of the Company, no material adverse tax consequence to the Company or any of its Subsidiaries would result if such Prepayment Proceeds are applied to repay the Term Loans, such repatriation will be promptly effected and such Prepayment Proceeds will be promptly (and in any event not later than five Business Days) applied (net of additional taxes payable or reserved against as a result thereof) to the repayment of the Term Loans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to the extent provided herein.</w:t>
      </w:r>
    </w:p>
    <w:p>
      <w:pPr>
        <w:spacing w:after="0" w:line="185"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left="-20" w:right="20" w:firstLine="1305"/>
        <w:spacing w:after="0" w:line="277" w:lineRule="auto"/>
        <w:tabs>
          <w:tab w:leader="none" w:pos="21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9" w:name="page120"/>
    <w:bookmarkEnd w:id="119"/>
    <w:p>
      <w:pPr>
        <w:jc w:val="both"/>
        <w:ind w:firstLine="1305"/>
        <w:spacing w:after="0" w:line="276" w:lineRule="auto"/>
        <w:tabs>
          <w:tab w:leader="none" w:pos="203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 agrees to pay to the Administrative Agent in Dollars for the account of each Revolving Lender a commitment fee for the period from and including the Closing Date to the last day of the Revolving Commitment Period, computed at the Commitment Fee Rate on the average daily amount of the Available Revolving Commitment of such Lender during the period for which payment is made, payable quarterly in arrears on each Fee Payment Date, commencing on the first such date to occur after the Closing Date. All commitment fees shall be computed on the basis of a year of 360 days and shall be payable for the actual number of days elapsed (including the first day but excluding the last day).</w:t>
      </w:r>
    </w:p>
    <w:p>
      <w:pPr>
        <w:spacing w:after="0" w:line="172" w:lineRule="exact"/>
        <w:rPr>
          <w:rFonts w:ascii="Arial" w:cs="Arial" w:eastAsia="Arial" w:hAnsi="Arial"/>
          <w:sz w:val="17"/>
          <w:szCs w:val="17"/>
          <w:color w:val="auto"/>
        </w:rPr>
      </w:pPr>
    </w:p>
    <w:p>
      <w:pPr>
        <w:ind w:firstLine="1305"/>
        <w:spacing w:after="0" w:line="277" w:lineRule="auto"/>
        <w:tabs>
          <w:tab w:leader="none" w:pos="19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fees payable hereunder shall be paid in Dollars on the dates due, in immediately available funds, to the Administrative Agent. Fees paid shall not be refundable under any circumstances.</w:t>
      </w:r>
    </w:p>
    <w:p>
      <w:pPr>
        <w:spacing w:after="0" w:line="17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 (a) The Loans comprising each Base Rate Borrowing shall bear interest at the Base Rate plus the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firstLine="1305"/>
        <w:spacing w:after="0" w:line="277" w:lineRule="auto"/>
        <w:tabs>
          <w:tab w:leader="none" w:pos="20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Eurocurrency Rate for the Interest Period in effect for such Borrowing plus the Applicable Rate.</w:t>
      </w:r>
    </w:p>
    <w:p>
      <w:pPr>
        <w:spacing w:after="0" w:line="170" w:lineRule="exact"/>
        <w:rPr>
          <w:rFonts w:ascii="Arial" w:cs="Arial" w:eastAsia="Arial" w:hAnsi="Arial"/>
          <w:sz w:val="18"/>
          <w:szCs w:val="18"/>
          <w:color w:val="auto"/>
        </w:rPr>
      </w:pPr>
    </w:p>
    <w:p>
      <w:pPr>
        <w:jc w:val="both"/>
        <w:ind w:firstLine="1305"/>
        <w:spacing w:after="0" w:line="254" w:lineRule="auto"/>
        <w:tabs>
          <w:tab w:leader="none" w:pos="19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any principal of or interest on any Loan or Reimbursement Obligation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(ii) in the case of Reimbursement Obligations, 2.00% per annum plus the rate applicable to Base Rate Loans under the Dollar Tranche Revolving Facility or (iii) in the case of interest payable on any Loan or Reimbursement Obligation or any fee or other amount payable hereunder, 2.00% per annum plus the rate applicable to Base Rate Loans under the relevant Facility (or, in the case of any such other amounts that do not relate to a particular Facility, 2.00% per annum plus the rate applicable to Base Rate Loans under the Revolving Facilities).</w:t>
      </w:r>
    </w:p>
    <w:p>
      <w:pPr>
        <w:spacing w:after="0" w:line="192" w:lineRule="exact"/>
        <w:rPr>
          <w:rFonts w:ascii="Arial" w:cs="Arial" w:eastAsia="Arial" w:hAnsi="Arial"/>
          <w:sz w:val="18"/>
          <w:szCs w:val="18"/>
          <w:color w:val="auto"/>
        </w:rPr>
      </w:pPr>
    </w:p>
    <w:p>
      <w:pPr>
        <w:jc w:val="both"/>
        <w:ind w:firstLine="1305"/>
        <w:spacing w:after="0" w:line="297" w:lineRule="auto"/>
        <w:tabs>
          <w:tab w:leader="none" w:pos="201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be payable on demand, (ii) in the event of any repayment or prepayment of any Loan (other than any Revolving Loan that is a Base Rate Loan and any Swingline Loan), accrued interest on the principal amount repaid or prepaid shall be payable on the date of such repayment or prepayment and (iii) in the event of any conversion of a Eurocurrency Loan prior to the end of the current Interest Period therefor, accrued interest on such Loan shall be payable on the effective date of such conversion. All interest shall be payable in Dollars.</w:t>
      </w:r>
    </w:p>
    <w:p>
      <w:pPr>
        <w:spacing w:after="0" w:line="158" w:lineRule="exact"/>
        <w:rPr>
          <w:rFonts w:ascii="Arial" w:cs="Arial" w:eastAsia="Arial" w:hAnsi="Arial"/>
          <w:sz w:val="16"/>
          <w:szCs w:val="16"/>
          <w:color w:val="auto"/>
        </w:rPr>
      </w:pPr>
    </w:p>
    <w:p>
      <w:pPr>
        <w:jc w:val="both"/>
        <w:ind w:firstLine="1305"/>
        <w:spacing w:after="0" w:line="270" w:lineRule="auto"/>
        <w:tabs>
          <w:tab w:leader="none" w:pos="200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2.19(a)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 With respect to all Non-LIBOR Quoted Currencies, the calculation of the applicable interest rate shall be determined in accordance with market practice.</w:t>
      </w:r>
    </w:p>
    <w:p>
      <w:pPr>
        <w:spacing w:after="0" w:line="181" w:lineRule="exact"/>
        <w:rPr>
          <w:rFonts w:ascii="Arial" w:cs="Arial" w:eastAsia="Arial" w:hAnsi="Arial"/>
          <w:sz w:val="17"/>
          <w:szCs w:val="17"/>
          <w:color w:val="auto"/>
        </w:rPr>
      </w:pPr>
    </w:p>
    <w:p>
      <w:pPr>
        <w:ind w:right="20" w:firstLine="1305"/>
        <w:spacing w:after="0" w:line="277" w:lineRule="auto"/>
        <w:tabs>
          <w:tab w:leader="none" w:pos="20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extent any calculation of interest or any fee required to be paid under this Agreement shall be based on (or result in) a calculation that is less than zero, such calculation shall be deemed zero for purposes of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jc w:val="both"/>
        <w:ind w:firstLine="1305"/>
        <w:spacing w:after="0" w:line="289" w:lineRule="auto"/>
        <w:tabs>
          <w:tab w:leader="none" w:pos="207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as a result of any restatement of or other adjustment to the financial statements of the Company or for any other reason, the Company or the Lenders determine that (i) the Total Leverage Ratio as calculated by the Company as of any applicable date was inaccurate and (ii) a proper calculation of the Total Leverage Ratio would have resulted in higher pricing for such period, each Borrower shall immediately and retroactively be obligated to pay to the Administrative Agent for the account of the applicable Lenders or the applicable Issuing Lenders, as the case may be, promptly on demand by the Administrative Agent (or, after the occurrence of an actual or deemed entry of an order for relief with respect to any Borrower under the Bankruptcy Code, automatically and without further action by the Administrative Agent, any Lender or any Issuing Lender), an amount equal to the excess of the amount of interest and fees that should have been paid for such period over the amount of interest and fees actually paid for such period. This paragraph shall not limit the rights of the Administrative Agent, any Lender or any Issuing Lender, as the case may be, hereunder or under the other Loan Documents. The Company’s obligations under this paragraph shall survive the termination of the Aggregate Commitments and the repayment of all other Obligations hereunder.</w:t>
      </w:r>
    </w:p>
    <w:p>
      <w:pPr>
        <w:spacing w:after="0" w:line="16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xml:space="preserve">. If in connection with any request for a Eurocurrency Rate Loan or a conversion to or continuation thereof, (a) (i) the Administrative Agent determines that deposits (whether in Dollars or an Alternative Currency) are not being offered to banks in the applicable offshore interbank market for such currency for the applicable amount and Interest Period of such Eurocurrency Rate Loan, or (ii)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(in each case with respect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Impacted Loans</w:t>
      </w:r>
      <w:r>
        <w:rPr>
          <w:rFonts w:ascii="Arial" w:cs="Arial" w:eastAsia="Arial" w:hAnsi="Arial"/>
          <w:sz w:val="16"/>
          <w:szCs w:val="16"/>
          <w:color w:val="auto"/>
        </w:rPr>
        <w:t xml:space="preserve">”), (b) the Administrative Agent or the Required Lenders determine that for any reason the Eurocurrency Rate for any requested Interest Period with respect to a proposed Eurocurrency Rate Loan does not adequately and fairly reflect the cost to such Lenders of funding such Eurocurrency Rate Loan or (c) a fundamental change has occurred in the foreign exchange or interbank markets with respect to such Alternative Currency (including changes in national and international financial, political or economic conditions or currency exchange ratios or exchange controls), the Administrative Agent will promptly so notify the Company and each Lender. Thereafter, (x) the obligation of the Lenders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Company may revoke any pending request for a Borrowing of, conversion to or continuation of Eurocurrency Rate Loans in the affected currency or currencies (to the </w:t>
      </w:r>
      <w:r>
        <w:rPr>
          <w:rFonts w:ascii="Arial" w:cs="Arial" w:eastAsia="Arial" w:hAnsi="Arial"/>
          <w:sz w:val="16"/>
          <w:szCs w:val="16"/>
          <w:u w:val="single" w:color="auto"/>
          <w:color w:val="auto"/>
        </w:rPr>
        <w:t>extent</w:t>
      </w:r>
      <w:r>
        <w:rPr>
          <w:rFonts w:ascii="Arial" w:cs="Arial" w:eastAsia="Arial" w:hAnsi="Arial"/>
          <w:sz w:val="16"/>
          <w:szCs w:val="16"/>
          <w:color w:val="auto"/>
        </w:rPr>
        <w:t xml:space="preserve"> of the affected Eurocurrency Rate Loans or Interest Periods) or, failing that, will be deemed to have converted such request into a request for a Committed Borrowing of Base Rate Loans in the amount specified therein.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the foregoing, if the Administrative Agent has made the determination described in clause (a)(i) of this section, the Administrative Agent, in consultation with the Company and the Required Lenders, may establish an alternative interest rate for the Impacted Loans</w:t>
      </w:r>
      <w:r>
        <w:rPr>
          <w:rFonts w:ascii="Arial" w:cs="Arial" w:eastAsia="Arial" w:hAnsi="Arial"/>
          <w:sz w:val="17"/>
          <w:szCs w:val="17"/>
          <w:b w:val="1"/>
          <w:bCs w:val="1"/>
          <w:color w:val="auto"/>
        </w:rPr>
        <w:t>,</w:t>
      </w:r>
      <w:r>
        <w:rPr>
          <w:rFonts w:ascii="Arial" w:cs="Arial" w:eastAsia="Arial" w:hAnsi="Arial"/>
          <w:sz w:val="17"/>
          <w:szCs w:val="17"/>
          <w:color w:val="auto"/>
        </w:rPr>
        <w:t xml:space="preserve"> in which case, such alternative rate of interest shall apply with respect to the Impacted Loans until (1) the Administrative Agent revokes the notice delivered with respect to the Impacted Loans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first sentence of this section, (2) the Administrative Agent or the Required Lenders notify the Administrative Agent and the Company that such alternative interest rate does not adequately and fairly reflect the cost to such Lenders of funding the Impacted Loans, or (3) any Lender determines that any Requirement of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ind w:left="1300"/>
        <w:spacing w:after="0"/>
        <w:tabs>
          <w:tab w:leader="none" w:pos="280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Increased Costs; Reserves on Eurocurrency Rate Loans</w:t>
      </w:r>
      <w:r>
        <w:rPr>
          <w:rFonts w:ascii="Arial" w:cs="Arial" w:eastAsia="Arial" w:hAnsi="Arial"/>
          <w:sz w:val="16"/>
          <w:szCs w:val="16"/>
          <w:color w:val="auto"/>
        </w:rPr>
        <w:t>. (a) If any Change in Law shall:</w:t>
      </w:r>
    </w:p>
    <w:p>
      <w:pPr>
        <w:spacing w:after="0" w:line="225" w:lineRule="exact"/>
        <w:rPr>
          <w:sz w:val="20"/>
          <w:szCs w:val="20"/>
          <w:color w:val="auto"/>
        </w:rPr>
      </w:pPr>
    </w:p>
    <w:p>
      <w:pPr>
        <w:jc w:val="both"/>
        <w:ind w:left="660" w:firstLine="645"/>
        <w:spacing w:after="0" w:line="264" w:lineRule="auto"/>
        <w:tabs>
          <w:tab w:leader="none" w:pos="196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or other Credit Party (except any such reserve requirement contemplated by </w:t>
      </w:r>
      <w:r>
        <w:rPr>
          <w:rFonts w:ascii="Arial" w:cs="Arial" w:eastAsia="Arial" w:hAnsi="Arial"/>
          <w:sz w:val="18"/>
          <w:szCs w:val="18"/>
          <w:u w:val="single" w:color="auto"/>
          <w:color w:val="auto"/>
        </w:rPr>
        <w:t>Section 2.16(f)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93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impose on any Lender or other Credit Party or the London interbank market any other condition, cost or expense (other than Taxes) affecting this Agreement or Eurocurrency Loans made by such Lender or such other Credit Party; or</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211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the term “Excluded Taxes”, (C) Connection Income Taxes; and (D) any Taxes attributable to a U.K. Tax Deduction required to be made by a Loan Party) on its loans, loan principal, letters of credit, commitments or other obligations, or its deposits, reserves, other liabilities or capital attributable thereto;</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or such other Credit Party or other Recipient of making, converting to, continuing or maintaining any Loan or of maintaining its obligation to make any such Loan or issuing or participating in Letters of Credit, or to increase the cost to such Lender or such other Credit Party, or to reduce the amount of any sum received or receivable by such Lender or such other Credit Party (whether of principal, interest or any other amount) then, from time to time upon request of such Lender, the applicable Borrower will pay to such Lender or such other Credit Party such additional amount or amounts as will compensate such Lender or such other Credit Party for such additional costs or expenses incurred or reduction suffered.</w:t>
      </w:r>
    </w:p>
    <w:p>
      <w:pPr>
        <w:spacing w:after="0" w:line="193" w:lineRule="exact"/>
        <w:rPr>
          <w:sz w:val="20"/>
          <w:szCs w:val="20"/>
          <w:color w:val="auto"/>
        </w:rPr>
      </w:pPr>
    </w:p>
    <w:p>
      <w:pPr>
        <w:jc w:val="both"/>
        <w:ind w:firstLine="1305"/>
        <w:spacing w:after="0" w:line="272" w:lineRule="auto"/>
        <w:tabs>
          <w:tab w:leader="none" w:pos="206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any Lender determines that any Change in Law affecting such Lender or any lending office of such Lender or such Lender’s holding company, if any, regarding capital or liquidity requirements has had or would have the effect of reducing the rate of return on such Lender’s capital or on the capital of such Lender’s holding company, if any, as a consequence of this Agreement or its obligations under any Letter of Credit,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upon request of such Lender, the applicable Borrower will pay to such Lender such additional amount or amounts as will compensate such Lender or such Lender’s holding company for any such reduction suffered.</w:t>
      </w:r>
    </w:p>
    <w:p>
      <w:pPr>
        <w:spacing w:after="0" w:line="177" w:lineRule="exact"/>
        <w:rPr>
          <w:rFonts w:ascii="Arial" w:cs="Arial" w:eastAsia="Arial" w:hAnsi="Arial"/>
          <w:sz w:val="17"/>
          <w:szCs w:val="17"/>
          <w:color w:val="auto"/>
        </w:rPr>
      </w:pPr>
    </w:p>
    <w:p>
      <w:pPr>
        <w:jc w:val="both"/>
        <w:ind w:firstLine="1305"/>
        <w:spacing w:after="0" w:line="279" w:lineRule="auto"/>
        <w:tabs>
          <w:tab w:leader="none" w:pos="203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 certificate of a Lender or any other Credit Party setting forth the amount or amounts necessary to compensate such Lender or such other Credit Party or such Lender’s or such other Credit Party’s holding company, as the case may be, as specified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delivered to any Borrower shall be conclusive absent manifest error. The Company shall pay such Lender or such other Credit Party, as the case may be, the amount shown as due on any such certificate within 30 Business Days after receipt thereof.</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95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any other Credit Party to demand compensation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not constitute a waiver of such Lender’s or such other Credit Party’s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compensate a Lender or such other Credit Party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for any increased costs or expenses incurred or reductions suffered more than 180 days prior to the date that such Lender or such other Credit Party notifies the Company of the Change in Law giving rise to such increased costs or expenses or reductions and of such Lender’s or such other Credit Party’s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expenses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ind w:left="1960" w:hanging="655"/>
        <w:spacing w:after="0"/>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Additional Reserve Requirements</w:t>
      </w:r>
      <w:r>
        <w:rPr>
          <w:rFonts w:ascii="Arial" w:cs="Arial" w:eastAsia="Arial" w:hAnsi="Arial"/>
          <w:sz w:val="16"/>
          <w:szCs w:val="16"/>
          <w:color w:val="auto"/>
        </w:rPr>
        <w:t>. The Company shall pay (or cause the applicable Designated Borrower to pay) to each Lender,</w:t>
      </w:r>
    </w:p>
    <w:p>
      <w:pPr>
        <w:spacing w:after="0" w:line="46" w:lineRule="exact"/>
        <w:rPr>
          <w:rFonts w:ascii="Arial" w:cs="Arial" w:eastAsia="Arial" w:hAnsi="Arial"/>
          <w:sz w:val="16"/>
          <w:szCs w:val="16"/>
          <w:color w:val="auto"/>
        </w:rPr>
      </w:pPr>
    </w:p>
    <w:p>
      <w:pPr>
        <w:jc w:val="both"/>
        <w:ind w:firstLine="8"/>
        <w:spacing w:after="0" w:line="286" w:lineRule="auto"/>
        <w:tabs>
          <w:tab w:leader="none" w:pos="22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long as such Lender shall be required to maintain reserves with respect to liabilities or assets consisting of or including Eurocurrency funds or deposits (currently known as “</w:t>
      </w:r>
      <w:r>
        <w:rPr>
          <w:rFonts w:ascii="Arial" w:cs="Arial" w:eastAsia="Arial" w:hAnsi="Arial"/>
          <w:sz w:val="16"/>
          <w:szCs w:val="16"/>
          <w:u w:val="single" w:color="auto"/>
          <w:color w:val="auto"/>
        </w:rPr>
        <w:t>Eurocurrency liabilities</w:t>
      </w:r>
      <w:r>
        <w:rPr>
          <w:rFonts w:ascii="Arial" w:cs="Arial" w:eastAsia="Arial" w:hAnsi="Arial"/>
          <w:sz w:val="16"/>
          <w:szCs w:val="16"/>
          <w:color w:val="auto"/>
        </w:rPr>
        <w:t xml:space="preserve">”),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7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or continue any Eurocurrency Loan on the date specified in any notice delivered pursuant hereto, (d) the failure to prepay any Eurocurrency Loan on a date specified therefor in any notice of prepayment given by the Company (whether or not such notice may be revoked in accordance with the terms hereof), (e) the assignment of any Eurocurrency Loan other than on the last day of the Interest Period applicable thereto as a result of a request by the Company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or (f) any failure by any Borrower to make payment of any Loan or drawing under any Letter of Credit (or interest due thereon) denominated in an Alternative Currency on its scheduled due date or any payment thereof in a different currency then, in any such event, the Borrowers shall compensate each Lender for the loss, cost and expense attributable to such event including foreign exchange losses. Such loss, cost or expense to any Lender shall be deemed to include an amount determined by such Lender to be the excess, if any, of (i) the amount of interest that would have accrued on the principal amount of such Loan had such event not occurred, at the Eurocurrency Rate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such Lender would bid if it were to bid, at the commencement of such period, for deposits in the applicable currency of a comparable amount and period from other banks in the London interbank market. A certificate of any Lender delivered to the applicable Borrower and setting forth any amount or amounts that such Lender is entitled to receive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be conclusive absent manifest error. The applicable Borrower shall pay such Lender the amount shown as due on any such certificate within 30 Business Days after receipt thereof.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p>
      <w:pPr>
        <w:ind w:right="20" w:firstLine="1297"/>
        <w:spacing w:after="0" w:line="277"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w:t>
      </w:r>
    </w:p>
    <w:p>
      <w:pPr>
        <w:spacing w:after="0" w:line="170" w:lineRule="exact"/>
        <w:rPr>
          <w:sz w:val="20"/>
          <w:szCs w:val="20"/>
          <w:color w:val="auto"/>
        </w:rPr>
      </w:pPr>
    </w:p>
    <w:p>
      <w:pPr>
        <w:jc w:val="both"/>
        <w:ind w:left="1300" w:firstLine="1301"/>
        <w:spacing w:after="0" w:line="255" w:lineRule="auto"/>
        <w:tabs>
          <w:tab w:leader="none" w:pos="28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If the Code (as determined in the good faith discretion of the Administrative Agent) requires the deduction or withholding of any Tax from any such payment by a Loan Party or withholding agent, then the Administrative Agent shall make such deduction or withholding and shall timely pay the full amount deducted or withheld to the relevant Governmental Authority in accordance with the Code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2.18</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89" w:lineRule="exact"/>
        <w:rPr>
          <w:rFonts w:ascii="Arial" w:cs="Arial" w:eastAsia="Arial" w:hAnsi="Arial"/>
          <w:sz w:val="18"/>
          <w:szCs w:val="18"/>
          <w:color w:val="auto"/>
        </w:rPr>
      </w:pPr>
    </w:p>
    <w:p>
      <w:pPr>
        <w:jc w:val="both"/>
        <w:ind w:left="1300" w:firstLine="1301"/>
        <w:spacing w:after="0" w:line="291" w:lineRule="auto"/>
        <w:tabs>
          <w:tab w:leader="none" w:pos="2881"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If any applicable law other than the Code (as determined in the good faith discretion of an applicable withholding agent) requires the deduction or withholding of any Tax from any such payment by a Loan Party or withholding agent, then the applicable Loan Party or withholding agent shall be entitled to make such deduction or withholding and shall timely pay the full amount deducted or withheld to the relevant Governmental Authority in accordance with applicable law and, if such Tax is an Indemnified Tax (but subject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6"/>
          <w:szCs w:val="16"/>
          <w:u w:val="single" w:color="auto"/>
          <w:color w:val="auto"/>
        </w:rPr>
        <w:t>Section 2.18</w:t>
      </w:r>
      <w:r>
        <w:rPr>
          <w:rFonts w:ascii="Arial" w:cs="Arial" w:eastAsia="Arial" w:hAnsi="Arial"/>
          <w:sz w:val="16"/>
          <w:szCs w:val="16"/>
          <w:color w:val="auto"/>
        </w:rPr>
        <w:t>) the applicable Recipient receives an amount equal to the sum it would have received had no such deduction or withholding been made.</w:t>
      </w:r>
    </w:p>
    <w:p>
      <w:pPr>
        <w:spacing w:after="0" w:line="167" w:lineRule="exact"/>
        <w:rPr>
          <w:rFonts w:ascii="Arial" w:cs="Arial" w:eastAsia="Arial" w:hAnsi="Arial"/>
          <w:sz w:val="16"/>
          <w:szCs w:val="16"/>
          <w:color w:val="auto"/>
        </w:rPr>
      </w:pPr>
    </w:p>
    <w:p>
      <w:pPr>
        <w:ind w:right="20" w:firstLine="1305"/>
        <w:spacing w:after="0" w:line="277" w:lineRule="auto"/>
        <w:tabs>
          <w:tab w:leader="none" w:pos="201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U.K. Tax Deduction</w:t>
      </w:r>
      <w:r>
        <w:rPr>
          <w:rFonts w:ascii="Arial" w:cs="Arial" w:eastAsia="Arial" w:hAnsi="Arial"/>
          <w:sz w:val="18"/>
          <w:szCs w:val="18"/>
          <w:color w:val="auto"/>
        </w:rPr>
        <w:t xml:space="preserve">. A payment by a Loan Party incorporated in the United Kingdom shall not be increased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by reason of a U.K. Tax Deduction if, on the date on which the payment falls due:</w:t>
      </w:r>
    </w:p>
    <w:p>
      <w:pPr>
        <w:spacing w:after="0" w:line="170" w:lineRule="exact"/>
        <w:rPr>
          <w:sz w:val="20"/>
          <w:szCs w:val="20"/>
          <w:color w:val="auto"/>
        </w:rPr>
      </w:pPr>
    </w:p>
    <w:p>
      <w:pPr>
        <w:jc w:val="both"/>
        <w:ind w:left="1960" w:hanging="655"/>
        <w:spacing w:after="0" w:line="279" w:lineRule="auto"/>
        <w:tabs>
          <w:tab w:leader="none" w:pos="19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payment could have been made to the relevant Lender without a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w:t>
      </w:r>
    </w:p>
    <w:p>
      <w:pPr>
        <w:spacing w:after="0" w:line="171" w:lineRule="exact"/>
        <w:rPr>
          <w:rFonts w:ascii="Arial" w:cs="Arial" w:eastAsia="Arial" w:hAnsi="Arial"/>
          <w:sz w:val="17"/>
          <w:szCs w:val="17"/>
          <w:color w:val="auto"/>
        </w:rPr>
      </w:pPr>
    </w:p>
    <w:p>
      <w:pPr>
        <w:ind w:left="1960" w:hanging="655"/>
        <w:spacing w:after="0" w:line="277" w:lineRule="auto"/>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relevant Lender is a U.K. Qualifying Lender solely by virtue of paragraph (b) of the definition of “U.K. Qualifying Lender” and:</w:t>
      </w:r>
    </w:p>
    <w:p>
      <w:pPr>
        <w:spacing w:after="0" w:line="170" w:lineRule="exact"/>
        <w:rPr>
          <w:rFonts w:ascii="Arial" w:cs="Arial" w:eastAsia="Arial" w:hAnsi="Arial"/>
          <w:sz w:val="18"/>
          <w:szCs w:val="18"/>
          <w:color w:val="auto"/>
        </w:rPr>
      </w:pPr>
    </w:p>
    <w:p>
      <w:pPr>
        <w:jc w:val="both"/>
        <w:ind w:left="1280" w:firstLine="1301"/>
        <w:spacing w:after="0" w:line="264" w:lineRule="auto"/>
        <w:tabs>
          <w:tab w:leader="none" w:pos="326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 officer of HM Revenue &amp; Customs has given (and not revoked) a direction (a “</w:t>
      </w:r>
      <w:r>
        <w:rPr>
          <w:rFonts w:ascii="Arial" w:cs="Arial" w:eastAsia="Arial" w:hAnsi="Arial"/>
          <w:sz w:val="18"/>
          <w:szCs w:val="18"/>
          <w:u w:val="single" w:color="auto"/>
          <w:color w:val="auto"/>
        </w:rPr>
        <w:t>Direction</w:t>
      </w:r>
      <w:r>
        <w:rPr>
          <w:rFonts w:ascii="Arial" w:cs="Arial" w:eastAsia="Arial" w:hAnsi="Arial"/>
          <w:sz w:val="18"/>
          <w:szCs w:val="18"/>
          <w:color w:val="auto"/>
        </w:rPr>
        <w:t>”) under section 931 of the U.K. ITA which relates to the payment and that Lender has received from the Loan Party making the payment or from the Company a certified copy of that Direction; and</w:t>
      </w:r>
    </w:p>
    <w:p>
      <w:pPr>
        <w:spacing w:after="0" w:line="181" w:lineRule="exact"/>
        <w:rPr>
          <w:rFonts w:ascii="Arial" w:cs="Arial" w:eastAsia="Arial" w:hAnsi="Arial"/>
          <w:sz w:val="18"/>
          <w:szCs w:val="18"/>
          <w:color w:val="auto"/>
        </w:rPr>
      </w:pPr>
    </w:p>
    <w:p>
      <w:pPr>
        <w:ind w:left="3260" w:hanging="679"/>
        <w:spacing w:after="0"/>
        <w:tabs>
          <w:tab w:leader="none" w:pos="32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payment could have been made to the Lender without any U.K. Tax Deduction if that Direction had not been</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made; or</w:t>
      </w:r>
    </w:p>
    <w:p>
      <w:pPr>
        <w:spacing w:after="0" w:line="210"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relevant Lender is a U.K. Qualifying Lender solely by virtue of paragraph (b) of the definition of “U.K. Qualifying Lender”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ind w:left="3220" w:hanging="659"/>
        <w:spacing w:after="0"/>
        <w:tabs>
          <w:tab w:leader="none" w:pos="32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relevant Lender has not given a U.K. Tax Confirmation to the Company; and</w:t>
      </w:r>
    </w:p>
    <w:p>
      <w:pPr>
        <w:spacing w:after="0" w:line="225" w:lineRule="exact"/>
        <w:rPr>
          <w:rFonts w:ascii="Arial" w:cs="Arial" w:eastAsia="Arial" w:hAnsi="Arial"/>
          <w:sz w:val="18"/>
          <w:szCs w:val="18"/>
          <w:color w:val="auto"/>
        </w:rPr>
      </w:pPr>
    </w:p>
    <w:p>
      <w:pPr>
        <w:jc w:val="both"/>
        <w:ind w:left="1260" w:firstLine="1301"/>
        <w:spacing w:after="0" w:line="286" w:lineRule="auto"/>
        <w:tabs>
          <w:tab w:leader="none" w:pos="334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payment could have been made to the Lender without any U.K. Tax Deduction if the Lender had given a U.K. Tax Confirmation to the relevant Loan Party, on the basis that the U.K. Tax Confirmation would have enabled such Loan Party to have formed a reasonable belief that the payment was an “excepted payment” for the purpose of section 930 of the U.K. ITA; or</w:t>
      </w:r>
    </w:p>
    <w:p>
      <w:pPr>
        <w:spacing w:after="0" w:line="165" w:lineRule="exact"/>
        <w:rPr>
          <w:rFonts w:ascii="Arial" w:cs="Arial" w:eastAsia="Arial" w:hAnsi="Arial"/>
          <w:sz w:val="17"/>
          <w:szCs w:val="17"/>
          <w:color w:val="auto"/>
        </w:rPr>
      </w:pPr>
    </w:p>
    <w:p>
      <w:pPr>
        <w:jc w:val="both"/>
        <w:ind w:left="1940" w:hanging="655"/>
        <w:spacing w:after="0" w:line="264" w:lineRule="auto"/>
        <w:tabs>
          <w:tab w:leader="none" w:pos="1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relevant Lender is a U.K. Treaty Lender and the Loan Party making the payment is able to demonstrate that the payment could have been made to the Lender without the U.K. Tax Deduction had that Lender complied with its obligations under paragraphs </w:t>
      </w:r>
      <w:r>
        <w:rPr>
          <w:rFonts w:ascii="Arial" w:cs="Arial" w:eastAsia="Arial" w:hAnsi="Arial"/>
          <w:sz w:val="18"/>
          <w:szCs w:val="18"/>
          <w:u w:val="single" w:color="auto"/>
          <w:color w:val="auto"/>
        </w:rPr>
        <w:t>2.18(g)(iii)(A)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2.18(g)(iii)(B)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2.18(g)(iii)(C)</w:t>
      </w:r>
      <w:r>
        <w:rPr>
          <w:rFonts w:ascii="Arial" w:cs="Arial" w:eastAsia="Arial" w:hAnsi="Arial"/>
          <w:sz w:val="18"/>
          <w:szCs w:val="18"/>
          <w:color w:val="auto"/>
        </w:rPr>
        <w:t xml:space="preserve"> (as applicable) below.</w:t>
      </w:r>
    </w:p>
    <w:p>
      <w:pPr>
        <w:spacing w:after="0" w:line="181" w:lineRule="exact"/>
        <w:rPr>
          <w:sz w:val="20"/>
          <w:szCs w:val="20"/>
          <w:color w:val="auto"/>
        </w:rPr>
      </w:pPr>
    </w:p>
    <w:p>
      <w:pPr>
        <w:ind w:left="-20" w:firstLine="1305"/>
        <w:spacing w:after="0" w:line="308" w:lineRule="auto"/>
        <w:tabs>
          <w:tab w:leader="none" w:pos="215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Loan Parties</w:t>
      </w:r>
      <w:r>
        <w:rPr>
          <w:rFonts w:ascii="Arial" w:cs="Arial" w:eastAsia="Arial" w:hAnsi="Arial"/>
          <w:sz w:val="17"/>
          <w:szCs w:val="17"/>
          <w:color w:val="auto"/>
        </w:rPr>
        <w:t>. The Loan Parties shall timely pay to the relevant Governmental Authority in accordance with applicable law, or at the option of the Administrative Agent timely reimburse it for the payment of, any Other Taxes.</w:t>
      </w:r>
    </w:p>
    <w:p>
      <w:pPr>
        <w:spacing w:after="0" w:line="146" w:lineRule="exact"/>
        <w:rPr>
          <w:rFonts w:ascii="Arial" w:cs="Arial" w:eastAsia="Arial" w:hAnsi="Arial"/>
          <w:sz w:val="17"/>
          <w:szCs w:val="17"/>
          <w:color w:val="auto"/>
        </w:rPr>
      </w:pPr>
    </w:p>
    <w:p>
      <w:pPr>
        <w:jc w:val="both"/>
        <w:ind w:left="-20" w:firstLine="1305"/>
        <w:spacing w:after="0" w:line="259" w:lineRule="auto"/>
        <w:tabs>
          <w:tab w:leader="none" w:pos="195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Evidence of Payment</w:t>
      </w:r>
      <w:r>
        <w:rPr>
          <w:rFonts w:ascii="Arial" w:cs="Arial" w:eastAsia="Arial" w:hAnsi="Arial"/>
          <w:sz w:val="18"/>
          <w:szCs w:val="18"/>
          <w:color w:val="auto"/>
        </w:rPr>
        <w:t xml:space="preserve">. As soon as practicable after any payment of Taxes by any Loan Party to a Governmental Authority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jc w:val="both"/>
        <w:ind w:left="-20" w:firstLine="1305"/>
        <w:spacing w:after="0" w:line="286" w:lineRule="auto"/>
        <w:tabs>
          <w:tab w:leader="none" w:pos="2007"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xml:space="preserve">. The Loan Parties shall indemnify each Recipient, within 30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provided that the foregoing indemnity shall not apply to any Indemnified Taxes which would have been compensated for by an increased payment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2.18(a)</w:t>
      </w:r>
      <w:r>
        <w:rPr>
          <w:rFonts w:ascii="Arial" w:cs="Arial" w:eastAsia="Arial" w:hAnsi="Arial"/>
          <w:sz w:val="16"/>
          <w:szCs w:val="16"/>
          <w:color w:val="auto"/>
        </w:rPr>
        <w:t xml:space="preserve"> but was not so compensated solely because one or more of the exclusions in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applied. After a Recipient learns of the imposition of Indemnified Taxes or Other Taxes, such Recipient will act in good faith to promptly notify the loan Parties of its obligations hereunder. A certificate as to the amount of such payment or liability delivered to the Borrower by a Lender (with a copy to the Administrative Agent), or by the Administrative Agent on its own behalf or on behalf of a Lender, shall be conclusive absent manifest error. Each of the Loan Parties shall, and does hereby, indemnify the Administrative Agent, and shall make payment in respect thereof within 30 days after demand therefor, for any amount which a Lender for any reason fails to pay indefeasibly to the Administrative Agent as required pursuant to Section 2.18(f) below, and such Lender shall indemnify each Loan Party, within 30 days after demand therefor, for any amount that such Loan Party pays to the Administrative Agent pursuant to this sentence that is attributable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2.18(f)</w:t>
      </w:r>
      <w:r>
        <w:rPr>
          <w:rFonts w:ascii="Arial" w:cs="Arial" w:eastAsia="Arial" w:hAnsi="Arial"/>
          <w:sz w:val="16"/>
          <w:szCs w:val="16"/>
          <w:color w:val="auto"/>
        </w:rPr>
        <w:t xml:space="preserve"> (including any incremental fees, charges and disbursements of any counsel for such Loan Party).</w:t>
      </w:r>
    </w:p>
    <w:p>
      <w:pPr>
        <w:spacing w:after="0" w:line="174" w:lineRule="exact"/>
        <w:rPr>
          <w:rFonts w:ascii="Arial" w:cs="Arial" w:eastAsia="Arial" w:hAnsi="Arial"/>
          <w:sz w:val="16"/>
          <w:szCs w:val="16"/>
          <w:color w:val="auto"/>
        </w:rPr>
      </w:pPr>
    </w:p>
    <w:p>
      <w:pPr>
        <w:jc w:val="both"/>
        <w:ind w:left="-20" w:firstLine="1305"/>
        <w:spacing w:after="0" w:line="269" w:lineRule="auto"/>
        <w:tabs>
          <w:tab w:leader="none" w:pos="2028"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30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7"/>
          <w:szCs w:val="17"/>
          <w:u w:val="single" w:color="auto"/>
          <w:color w:val="auto"/>
        </w:rPr>
        <w:t>Section 9.04(c)</w:t>
      </w:r>
      <w:r>
        <w:rPr>
          <w:rFonts w:ascii="Arial" w:cs="Arial" w:eastAsia="Arial" w:hAnsi="Arial"/>
          <w:sz w:val="17"/>
          <w:szCs w:val="17"/>
          <w:color w:val="auto"/>
        </w:rPr>
        <w:t xml:space="preserve"> relating to the maintenance of a Participant Register and (iii) any Excluded Taxes (or any Indemnified Tax which would have given rise to an increased payment under Section 2.18(a) but did not give rise to such an increased payment solely because one or more of the exclusions in Section 2.18(b) applied)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paragraph (f)</w:t>
      </w:r>
      <w:r>
        <w:rPr>
          <w:rFonts w:ascii="Arial" w:cs="Arial" w:eastAsia="Arial" w:hAnsi="Arial"/>
          <w:sz w:val="17"/>
          <w:szCs w:val="17"/>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5" w:name="page126"/>
    <w:bookmarkEnd w:id="125"/>
    <w:p>
      <w:pPr>
        <w:jc w:val="both"/>
        <w:ind w:firstLine="1305"/>
        <w:spacing w:after="0" w:line="283" w:lineRule="auto"/>
        <w:tabs>
          <w:tab w:leader="none" w:pos="201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xml:space="preserve">. (i) Any Lender that is entitled to an exemption from or reduction of withholding Tax with respect to payments made under any Loan Document (other than with respect to a U.K. Tax Deduction to which the provisions of </w:t>
      </w:r>
      <w:r>
        <w:rPr>
          <w:rFonts w:ascii="Arial" w:cs="Arial" w:eastAsia="Arial" w:hAnsi="Arial"/>
          <w:sz w:val="16"/>
          <w:szCs w:val="16"/>
          <w:u w:val="single" w:color="auto"/>
          <w:color w:val="auto"/>
        </w:rPr>
        <w:t>Section 2.18(g)(iii)</w:t>
      </w:r>
      <w:r>
        <w:rPr>
          <w:rFonts w:ascii="Arial" w:cs="Arial" w:eastAsia="Arial" w:hAnsi="Arial"/>
          <w:sz w:val="16"/>
          <w:szCs w:val="16"/>
          <w:color w:val="auto"/>
        </w:rPr>
        <w:t xml:space="preserve"> shall apply, as applicable)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(other than with respect to a U.K. Tax Deduction to which the provisions of </w:t>
      </w:r>
      <w:r>
        <w:rPr>
          <w:rFonts w:ascii="Arial" w:cs="Arial" w:eastAsia="Arial" w:hAnsi="Arial"/>
          <w:sz w:val="16"/>
          <w:szCs w:val="16"/>
          <w:u w:val="single" w:color="auto"/>
          <w:color w:val="auto"/>
        </w:rPr>
        <w:t>Section 2.18(g)(iii)</w:t>
      </w:r>
      <w:r>
        <w:rPr>
          <w:rFonts w:ascii="Arial" w:cs="Arial" w:eastAsia="Arial" w:hAnsi="Arial"/>
          <w:sz w:val="16"/>
          <w:szCs w:val="16"/>
          <w:color w:val="auto"/>
        </w:rPr>
        <w:t xml:space="preserve"> shall apply, as applicable)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2.18(g)(ii)</w:t>
      </w:r>
    </w:p>
    <w:p>
      <w:pPr>
        <w:spacing w:after="0" w:line="6"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(ii)(E)</w:t>
      </w:r>
      <w:r>
        <w:rPr>
          <w:rFonts w:ascii="Arial" w:cs="Arial" w:eastAsia="Arial" w:hAnsi="Arial"/>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90" w:lineRule="exact"/>
        <w:rPr>
          <w:sz w:val="20"/>
          <w:szCs w:val="20"/>
          <w:color w:val="auto"/>
        </w:rPr>
      </w:pPr>
    </w:p>
    <w:p>
      <w:pPr>
        <w:ind w:left="1920" w:hanging="615"/>
        <w:spacing w:after="0"/>
        <w:tabs>
          <w:tab w:leader="none" w:pos="1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1300" w:firstLine="653"/>
        <w:spacing w:after="0" w:line="259" w:lineRule="auto"/>
        <w:tabs>
          <w:tab w:leader="none" w:pos="268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Lender that is a U.S. Person shall deliver to any Borrower and the Administrative Agent on or prior to the date on which such Lender becomes a Lender under this Agreement (and from time to time thereafter upon the reasonable request of such Borrower or the Administrative Agent), copies of executed IRS Form W-9 certifying that such Lender is exempt from U.S. Federal backup withholding tax;</w:t>
      </w:r>
    </w:p>
    <w:p>
      <w:pPr>
        <w:spacing w:after="0" w:line="186" w:lineRule="exact"/>
        <w:rPr>
          <w:rFonts w:ascii="Arial" w:cs="Arial" w:eastAsia="Arial" w:hAnsi="Arial"/>
          <w:sz w:val="18"/>
          <w:szCs w:val="18"/>
          <w:color w:val="auto"/>
        </w:rPr>
      </w:pPr>
    </w:p>
    <w:p>
      <w:pPr>
        <w:jc w:val="both"/>
        <w:ind w:left="1300" w:firstLine="653"/>
        <w:spacing w:after="0" w:line="259" w:lineRule="auto"/>
        <w:tabs>
          <w:tab w:leader="none" w:pos="274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any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86" w:lineRule="exact"/>
        <w:rPr>
          <w:rFonts w:ascii="Arial" w:cs="Arial" w:eastAsia="Arial" w:hAnsi="Arial"/>
          <w:sz w:val="18"/>
          <w:szCs w:val="18"/>
          <w:color w:val="auto"/>
        </w:rPr>
      </w:pPr>
    </w:p>
    <w:p>
      <w:pPr>
        <w:ind w:left="3220" w:hanging="619"/>
        <w:spacing w:after="0"/>
        <w:tabs>
          <w:tab w:leader="none" w:pos="322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1960"/>
        <w:spacing w:after="0" w:line="253"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copies of executed IRS Form W-8BEN or Form W-8BEN-E establishing an exemption from, or reduction of, U.S. Federal withholding Tax pursuant to the “interest” article of such tax treaty and (y) with respect to any other applicable payments under any Loan Document, IRS Form W-8BEN or Form W-8BEN-E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ind w:left="2020" w:hanging="619"/>
        <w:spacing w:after="0"/>
        <w:tabs>
          <w:tab w:leader="none" w:pos="20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copies of executed IRS Form W-8ECI;</w:t>
      </w:r>
    </w:p>
    <w:p>
      <w:pPr>
        <w:spacing w:after="0" w:line="225" w:lineRule="exact"/>
        <w:rPr>
          <w:rFonts w:ascii="Arial" w:cs="Arial" w:eastAsia="Arial" w:hAnsi="Arial"/>
          <w:sz w:val="18"/>
          <w:szCs w:val="18"/>
          <w:color w:val="auto"/>
        </w:rPr>
      </w:pPr>
    </w:p>
    <w:p>
      <w:pPr>
        <w:jc w:val="both"/>
        <w:ind w:left="760" w:firstLine="641"/>
        <w:spacing w:after="0" w:line="276" w:lineRule="auto"/>
        <w:tabs>
          <w:tab w:leader="none" w:pos="205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7"/>
          <w:szCs w:val="17"/>
          <w:u w:val="single" w:color="auto"/>
          <w:color w:val="auto"/>
        </w:rPr>
        <w:t>Exhibit I-1</w:t>
      </w:r>
      <w:r>
        <w:rPr>
          <w:rFonts w:ascii="Arial" w:cs="Arial" w:eastAsia="Arial" w:hAnsi="Arial"/>
          <w:sz w:val="17"/>
          <w:szCs w:val="17"/>
          <w:color w:val="auto"/>
        </w:rPr>
        <w:t xml:space="preserve"> to the effect that such Foreign Lender is not a “bank” within the meaning of Section 881(c)(3)(A) of the Code, a “10 percent shareholder” of the relevant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 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and (y) copies of executed IRS Form W-8BEN or Form W-8BEN-E; or</w:t>
      </w:r>
    </w:p>
    <w:p>
      <w:pPr>
        <w:spacing w:after="0" w:line="172" w:lineRule="exact"/>
        <w:rPr>
          <w:rFonts w:ascii="Arial" w:cs="Arial" w:eastAsia="Arial" w:hAnsi="Arial"/>
          <w:sz w:val="17"/>
          <w:szCs w:val="17"/>
          <w:color w:val="auto"/>
        </w:rPr>
      </w:pPr>
    </w:p>
    <w:p>
      <w:pPr>
        <w:jc w:val="both"/>
        <w:ind w:left="760" w:firstLine="641"/>
        <w:spacing w:after="0" w:line="255" w:lineRule="auto"/>
        <w:tabs>
          <w:tab w:leader="none" w:pos="207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copies of executed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 I-2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I-3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I-4</w:t>
      </w:r>
      <w:r>
        <w:rPr>
          <w:rFonts w:ascii="Arial" w:cs="Arial" w:eastAsia="Arial" w:hAnsi="Arial"/>
          <w:sz w:val="18"/>
          <w:szCs w:val="18"/>
          <w:color w:val="auto"/>
        </w:rPr>
        <w:t xml:space="preserve"> on behalf of each such direct and indirect partner;</w:t>
      </w:r>
    </w:p>
    <w:p>
      <w:pPr>
        <w:spacing w:after="0" w:line="193" w:lineRule="exact"/>
        <w:rPr>
          <w:rFonts w:ascii="Arial" w:cs="Arial" w:eastAsia="Arial" w:hAnsi="Arial"/>
          <w:sz w:val="18"/>
          <w:szCs w:val="18"/>
          <w:color w:val="auto"/>
        </w:rPr>
      </w:pPr>
    </w:p>
    <w:p>
      <w:pPr>
        <w:jc w:val="both"/>
        <w:ind w:left="100" w:firstLine="653"/>
        <w:spacing w:after="0" w:line="273" w:lineRule="auto"/>
        <w:tabs>
          <w:tab w:leader="none" w:pos="154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any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8" w:lineRule="exact"/>
        <w:rPr>
          <w:rFonts w:ascii="Arial" w:cs="Arial" w:eastAsia="Arial" w:hAnsi="Arial"/>
          <w:sz w:val="17"/>
          <w:szCs w:val="17"/>
          <w:color w:val="auto"/>
        </w:rPr>
      </w:pPr>
    </w:p>
    <w:p>
      <w:pPr>
        <w:jc w:val="both"/>
        <w:ind w:left="100" w:firstLine="653"/>
        <w:spacing w:after="0" w:line="270" w:lineRule="auto"/>
        <w:tabs>
          <w:tab w:leader="none" w:pos="144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any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clause (D)</w:t>
      </w:r>
      <w:r>
        <w:rPr>
          <w:rFonts w:ascii="Arial" w:cs="Arial" w:eastAsia="Arial" w:hAnsi="Arial"/>
          <w:sz w:val="17"/>
          <w:szCs w:val="17"/>
          <w:color w:val="auto"/>
        </w:rPr>
        <w:t>, “FATCA” shall include any amendments made to FATCA after the Closing Date.</w:t>
      </w:r>
    </w:p>
    <w:p>
      <w:pPr>
        <w:spacing w:after="0" w:line="3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27" w:name="page128"/>
    <w:bookmarkEnd w:id="127"/>
    <w:p>
      <w:pPr>
        <w:ind w:left="740" w:hanging="635"/>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Without limiting the effect of </w:t>
      </w:r>
      <w:r>
        <w:rPr>
          <w:rFonts w:ascii="Arial" w:cs="Arial" w:eastAsia="Arial" w:hAnsi="Arial"/>
          <w:sz w:val="18"/>
          <w:szCs w:val="18"/>
          <w:u w:val="single" w:color="auto"/>
          <w:color w:val="auto"/>
        </w:rPr>
        <w:t>Sections 2.18(g)(i)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jc w:val="both"/>
        <w:ind w:left="100" w:firstLine="653"/>
        <w:spacing w:after="0" w:line="264" w:lineRule="auto"/>
        <w:tabs>
          <w:tab w:leader="none" w:pos="148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 U.K. Treaty Lender and each Loan Party which makes a payment to which that U.K. Treaty Lender is entitled shall co-operate in completing any procedural formalities necessary for that Loan Party to obtain authorization to make that payment without a U.K. Tax Deduction;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ind w:left="760" w:right="20" w:firstLine="641"/>
        <w:spacing w:after="0" w:line="264" w:lineRule="auto"/>
        <w:tabs>
          <w:tab w:leader="none" w:pos="20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U.K. Treaty Lender which is a Lender on the date of this Agreement and that holds a passport under the HMRC DT Treaty Passport scheme, and which wishes that scheme to apply to this Agreement, shall confirm its scheme reference number and its jurisdiction of tax residence opposite its name in Schedule 1.01(a); and</w:t>
      </w:r>
    </w:p>
    <w:p>
      <w:pPr>
        <w:spacing w:after="0" w:line="181" w:lineRule="exact"/>
        <w:rPr>
          <w:rFonts w:ascii="Arial" w:cs="Arial" w:eastAsia="Arial" w:hAnsi="Arial"/>
          <w:sz w:val="18"/>
          <w:szCs w:val="18"/>
          <w:color w:val="auto"/>
        </w:rPr>
      </w:pPr>
    </w:p>
    <w:p>
      <w:pPr>
        <w:jc w:val="both"/>
        <w:ind w:left="760" w:firstLine="641"/>
        <w:spacing w:after="0" w:line="257" w:lineRule="auto"/>
        <w:tabs>
          <w:tab w:leader="none" w:pos="21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U.K. Treaty Lender which is not a Lender on the date of this Agreement and that holds a passport under the HMRC DT Treaty Passport scheme, and which wishes that scheme to apply to this Agreement, shall confirm its scheme reference number and its jurisdiction of tax residence in the relevant Assignment and Assumption (or, if such Lender becomes Lender otherwise than pursuant to an Assignment and Assumption, in the relevant documentation which it executes on becoming a Lender under this Agreement),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and, having done so, that Lender shall be under no obligation pursuant to paragraph (A) above.</w:t>
      </w:r>
    </w:p>
    <w:p>
      <w:pPr>
        <w:spacing w:after="0" w:line="225" w:lineRule="exact"/>
        <w:rPr>
          <w:sz w:val="20"/>
          <w:szCs w:val="20"/>
          <w:color w:val="auto"/>
        </w:rPr>
      </w:pPr>
    </w:p>
    <w:p>
      <w:pPr>
        <w:jc w:val="both"/>
        <w:ind w:left="100" w:firstLine="653"/>
        <w:spacing w:after="0" w:line="291" w:lineRule="auto"/>
        <w:tabs>
          <w:tab w:leader="none" w:pos="150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if a U.K. Treaty Lender has confirmed its scheme reference number and its jurisdiction of tax residence in accordance with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above and: (a) a U.K. Borrower making a payment to that Lender has not made a U.K. Borrower DTTP Filing in respect of that Lender; or (b) a U.K. Borrower making a payment to that Lender has made a U.K. Borrower DTTP Filing but (1) that U.K. Borrower DTTP Filing has been rejected by HM Revenue &amp; Customs; or (2) HM Revenue &amp; Customs have not given the U.K. Borrower authority to make payments to that Lender without a U.K. Tax Deduction within 60 days of the date of the U.K. Borrower DTTP Filing, and in each case, the U.K. Borrower has notified that Lender in writing, that Lender and the U.K. Borrower shall co-operate in completing any procedural formalities necessary for that U.K. Borrower to obtain authorization to make that payment without a U.K. Tax Deduction.</w:t>
      </w:r>
    </w:p>
    <w:p>
      <w:pPr>
        <w:spacing w:after="0" w:line="167" w:lineRule="exact"/>
        <w:rPr>
          <w:rFonts w:ascii="Arial" w:cs="Arial" w:eastAsia="Arial" w:hAnsi="Arial"/>
          <w:sz w:val="16"/>
          <w:szCs w:val="16"/>
          <w:color w:val="auto"/>
        </w:rPr>
      </w:pPr>
    </w:p>
    <w:p>
      <w:pPr>
        <w:jc w:val="both"/>
        <w:ind w:left="100" w:firstLine="653"/>
        <w:spacing w:after="0" w:line="291" w:lineRule="auto"/>
        <w:tabs>
          <w:tab w:leader="none" w:pos="148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If a U.K. Treaty Lender has not confirmed its scheme reference number and jurisdiction of tax residence in accordance with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above, no U.K. Borrower shall make a U.K. Borrower DTTP Filing or file any other form relating to the HM Revenue</w:t>
      </w:r>
    </w:p>
    <w:p>
      <w:pPr>
        <w:ind w:left="280" w:hanging="175"/>
        <w:spacing w:after="0"/>
        <w:tabs>
          <w:tab w:leader="none" w:pos="2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Customs DT Treaty Passport scheme in respect of that Lender’s Loan(s) unless that Lender otherwise agrees.</w:t>
      </w:r>
    </w:p>
    <w:p>
      <w:pPr>
        <w:spacing w:after="0" w:line="210" w:lineRule="exact"/>
        <w:rPr>
          <w:rFonts w:ascii="Arial" w:cs="Arial" w:eastAsia="Arial" w:hAnsi="Arial"/>
          <w:sz w:val="18"/>
          <w:szCs w:val="18"/>
          <w:color w:val="auto"/>
        </w:rPr>
      </w:pPr>
    </w:p>
    <w:p>
      <w:pPr>
        <w:ind w:left="100" w:right="20" w:firstLine="653"/>
        <w:spacing w:after="0" w:line="277" w:lineRule="auto"/>
        <w:tabs>
          <w:tab w:leader="none" w:pos="142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U.K. Borrower shall, promptly on making a U.K. Borrower DTTP Filing, deliver a copy of that U.K. Borrower DTTP Filing to the Administrative Agent for delivery to the relevant U.K. Treaty Lender.</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45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U.K. Non-Bank Lender which becomes a party to this Agreement on the day on which this agreement is entered into gives a U.K. Tax Confirmation by entering into this Agreement. A U.K. Non-Bank Lender shall promptly notify the Borrowers and the Administrative Agent if there is any change in the position from that set out in the U.K. Tax Confirmation.</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8" w:name="page129"/>
    <w:bookmarkEnd w:id="128"/>
    <w:p>
      <w:pPr>
        <w:jc w:val="both"/>
        <w:ind w:left="1280" w:firstLine="653"/>
        <w:spacing w:after="0" w:line="270" w:lineRule="auto"/>
        <w:tabs>
          <w:tab w:leader="none" w:pos="261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Each Lender in respect of a Borrower incorporated in the U.K. which becomes a party to this Agreement after the date of this Agreement shall indicate in the Assignment and Assumption (or, if such Lender becomes Lender otherwise than pursuant to an Assignment and Assumption, in the relevant documentation which it executes on becoming a Lender under this Agreement) which of the following categories it falls in: (A) not a U.K. Qualifying Lender; (B) a U.K. Qualifying Lender (other than a U.K. Treaty Lender); or (C) a U.K. Treaty Lender. If a Lender fails to indicate its status in accordance with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then such Lender shall be treated for the purposes of this Agreement (including by each Borrower) as if it is not a U.K. Qualifying Lender until such time as it notifies the Administrative Agent which category applies (and the Administrative Agent, upon receipt of such notification, shall inform each Borrowers). For the avoidance of doubt, any such Assignment and Assumption or other relevant documentation shall not be invalidated by any such failure of a Lender to comply with this paragraph (G).</w:t>
      </w:r>
    </w:p>
    <w:p>
      <w:pPr>
        <w:spacing w:after="0" w:line="181" w:lineRule="exact"/>
        <w:rPr>
          <w:rFonts w:ascii="Arial" w:cs="Arial" w:eastAsia="Arial" w:hAnsi="Arial"/>
          <w:sz w:val="17"/>
          <w:szCs w:val="17"/>
          <w:color w:val="auto"/>
        </w:rPr>
      </w:pPr>
    </w:p>
    <w:p>
      <w:pPr>
        <w:jc w:val="both"/>
        <w:ind w:left="1280" w:firstLine="653"/>
        <w:spacing w:after="0" w:line="279" w:lineRule="auto"/>
        <w:tabs>
          <w:tab w:leader="none" w:pos="2691"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Company shall promptly on becoming aware that a Loan Party incorporated in the United Kingdom must make a U.K. Tax Deduction (or that there is any change in the rate or basis of a U.K.Tax Deduction) notify the Administrative Agent accordingly. Similarly, a Lender shall notify the Administrative Agent on becoming so aware in respect of a payment payable to that Lender. If the Administrative Agent receives such notification from a Lender it shall promptly notify the Company and that Loan Party.</w:t>
      </w:r>
    </w:p>
    <w:p>
      <w:pPr>
        <w:spacing w:after="0" w:line="171" w:lineRule="exact"/>
        <w:rPr>
          <w:rFonts w:ascii="Arial" w:cs="Arial" w:eastAsia="Arial" w:hAnsi="Arial"/>
          <w:sz w:val="17"/>
          <w:szCs w:val="17"/>
          <w:color w:val="auto"/>
        </w:rPr>
      </w:pPr>
    </w:p>
    <w:p>
      <w:pPr>
        <w:jc w:val="both"/>
        <w:ind w:left="-20" w:firstLine="1305"/>
        <w:spacing w:after="0" w:line="287" w:lineRule="auto"/>
        <w:tabs>
          <w:tab w:leader="none" w:pos="193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it shall pay to the indemnifying party an amount equal to such refund (but only to the extent of indemnity payments made under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8" w:lineRule="exact"/>
        <w:rPr>
          <w:rFonts w:ascii="Arial" w:cs="Arial" w:eastAsia="Arial" w:hAnsi="Arial"/>
          <w:sz w:val="16"/>
          <w:szCs w:val="16"/>
          <w:color w:val="auto"/>
        </w:rPr>
      </w:pPr>
    </w:p>
    <w:p>
      <w:pPr>
        <w:ind w:left="1900" w:hanging="615"/>
        <w:spacing w:after="0"/>
        <w:tabs>
          <w:tab w:leader="none" w:pos="1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2.18</w:t>
      </w:r>
      <w:r>
        <w:rPr>
          <w:rFonts w:ascii="Arial" w:cs="Arial" w:eastAsia="Arial" w:hAnsi="Arial"/>
          <w:sz w:val="18"/>
          <w:szCs w:val="18"/>
          <w:color w:val="auto"/>
        </w:rPr>
        <w:t>, the term “Lender” includes each Issuing Lender and the Swingline Lender.</w:t>
      </w:r>
    </w:p>
    <w:p>
      <w:pPr>
        <w:spacing w:after="0" w:line="225" w:lineRule="exact"/>
        <w:rPr>
          <w:rFonts w:ascii="Arial" w:cs="Arial" w:eastAsia="Arial" w:hAnsi="Arial"/>
          <w:sz w:val="18"/>
          <w:szCs w:val="18"/>
          <w:color w:val="auto"/>
        </w:rPr>
      </w:pPr>
    </w:p>
    <w:p>
      <w:pPr>
        <w:ind w:left="1900" w:hanging="615"/>
        <w:spacing w:after="0"/>
        <w:tabs>
          <w:tab w:leader="none" w:pos="19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VAT.</w:t>
      </w:r>
    </w:p>
    <w:p>
      <w:pPr>
        <w:spacing w:after="0" w:line="225" w:lineRule="exact"/>
        <w:rPr>
          <w:rFonts w:ascii="Arial" w:cs="Arial" w:eastAsia="Arial" w:hAnsi="Arial"/>
          <w:sz w:val="18"/>
          <w:szCs w:val="18"/>
          <w:color w:val="auto"/>
        </w:rPr>
      </w:pPr>
    </w:p>
    <w:p>
      <w:pPr>
        <w:jc w:val="both"/>
        <w:ind w:left="1280" w:firstLine="653"/>
        <w:spacing w:after="0" w:line="291" w:lineRule="auto"/>
        <w:tabs>
          <w:tab w:leader="none" w:pos="274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All amounts expressed to be payable under any Loan Document by any Party to a Recipient, Syndication Agent, Co-Documentation Agent, Joint Lead Arranger or Joint Bookrunner (each, for the purposes of this </w:t>
      </w:r>
      <w:r>
        <w:rPr>
          <w:rFonts w:ascii="Arial" w:cs="Arial" w:eastAsia="Arial" w:hAnsi="Arial"/>
          <w:sz w:val="16"/>
          <w:szCs w:val="16"/>
          <w:u w:val="single" w:color="auto"/>
          <w:color w:val="auto"/>
        </w:rPr>
        <w:t>paragraph 2.18(j)</w:t>
      </w:r>
      <w:r>
        <w:rPr>
          <w:rFonts w:ascii="Arial" w:cs="Arial" w:eastAsia="Arial" w:hAnsi="Arial"/>
          <w:sz w:val="16"/>
          <w:szCs w:val="16"/>
          <w:color w:val="auto"/>
        </w:rPr>
        <w:t xml:space="preserve">, a “Finance Party”) which (in whole or in part) constitute the consideration for any supply for VAT purposes are deemed to be exclusive of any VAT which is chargeable on that supply, and accordingly, subject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if VAT is or becomes chargeable on any supply made by any Finance Party to any Party under a Loan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9" w:name="page130"/>
    <w:bookmarkEnd w:id="129"/>
    <w:p>
      <w:pPr>
        <w:jc w:val="both"/>
        <w:ind w:left="1300" w:firstLine="653"/>
        <w:spacing w:after="0" w:line="259" w:lineRule="auto"/>
        <w:tabs>
          <w:tab w:leader="none" w:pos="267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Finance Party (the “Supplier”) to any other Finance Party (the “</w:t>
      </w:r>
      <w:r>
        <w:rPr>
          <w:rFonts w:ascii="Arial" w:cs="Arial" w:eastAsia="Arial" w:hAnsi="Arial"/>
          <w:sz w:val="18"/>
          <w:szCs w:val="18"/>
          <w:u w:val="single" w:color="auto"/>
          <w:color w:val="auto"/>
        </w:rPr>
        <w:t>VAT Recipient</w:t>
      </w:r>
      <w:r>
        <w:rPr>
          <w:rFonts w:ascii="Arial" w:cs="Arial" w:eastAsia="Arial" w:hAnsi="Arial"/>
          <w:sz w:val="18"/>
          <w:szCs w:val="18"/>
          <w:color w:val="auto"/>
        </w:rPr>
        <w:t>”) under a Loan Document, and any Party other than the VAT Recipient (the “</w:t>
      </w:r>
      <w:r>
        <w:rPr>
          <w:rFonts w:ascii="Arial" w:cs="Arial" w:eastAsia="Arial" w:hAnsi="Arial"/>
          <w:sz w:val="18"/>
          <w:szCs w:val="18"/>
          <w:u w:val="single" w:color="auto"/>
          <w:color w:val="auto"/>
        </w:rPr>
        <w:t>Relevant Party</w:t>
      </w:r>
      <w:r>
        <w:rPr>
          <w:rFonts w:ascii="Arial" w:cs="Arial" w:eastAsia="Arial" w:hAnsi="Arial"/>
          <w:sz w:val="18"/>
          <w:szCs w:val="18"/>
          <w:color w:val="auto"/>
        </w:rPr>
        <w:t>”) is required by the terms of any Loan Document to pay an amount equal to the consideration for that supply to the Supplier (rather than being required to reimburse or indemnify the VAT Recipient in respect of that consideration):</w:t>
      </w:r>
    </w:p>
    <w:p>
      <w:pPr>
        <w:spacing w:after="0" w:line="186" w:lineRule="exact"/>
        <w:rPr>
          <w:rFonts w:ascii="Arial" w:cs="Arial" w:eastAsia="Arial" w:hAnsi="Arial"/>
          <w:sz w:val="18"/>
          <w:szCs w:val="18"/>
          <w:color w:val="auto"/>
        </w:rPr>
      </w:pPr>
    </w:p>
    <w:p>
      <w:pPr>
        <w:jc w:val="both"/>
        <w:ind w:left="1960" w:firstLine="641"/>
        <w:spacing w:after="0" w:line="257" w:lineRule="auto"/>
        <w:tabs>
          <w:tab w:leader="none" w:pos="322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VAT Recipient must (where this paragraph (1) applies) promptly pay to the Relevant Party an amount equal to any credit or repayment the VAT Recipient receives from the relevant tax authority which the VAT Recipient reasonably determines relates to the VAT chargeable on that supply; and</w:t>
      </w:r>
    </w:p>
    <w:p>
      <w:pPr>
        <w:spacing w:after="0" w:line="188" w:lineRule="exact"/>
        <w:rPr>
          <w:rFonts w:ascii="Arial" w:cs="Arial" w:eastAsia="Arial" w:hAnsi="Arial"/>
          <w:sz w:val="18"/>
          <w:szCs w:val="18"/>
          <w:color w:val="auto"/>
        </w:rPr>
      </w:pPr>
    </w:p>
    <w:p>
      <w:pPr>
        <w:jc w:val="both"/>
        <w:ind w:left="1960" w:firstLine="641"/>
        <w:spacing w:after="0" w:line="259" w:lineRule="auto"/>
        <w:tabs>
          <w:tab w:leader="none" w:pos="322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w:t>
      </w:r>
    </w:p>
    <w:p>
      <w:pPr>
        <w:spacing w:after="0" w:line="186" w:lineRule="exact"/>
        <w:rPr>
          <w:rFonts w:ascii="Arial" w:cs="Arial" w:eastAsia="Arial" w:hAnsi="Arial"/>
          <w:sz w:val="18"/>
          <w:szCs w:val="18"/>
          <w:color w:val="auto"/>
        </w:rPr>
      </w:pPr>
    </w:p>
    <w:p>
      <w:pPr>
        <w:jc w:val="both"/>
        <w:ind w:left="1300" w:firstLine="653"/>
        <w:spacing w:after="0" w:line="259" w:lineRule="auto"/>
        <w:tabs>
          <w:tab w:leader="none" w:pos="26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a Loan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86" w:lineRule="exact"/>
        <w:rPr>
          <w:rFonts w:ascii="Arial" w:cs="Arial" w:eastAsia="Arial" w:hAnsi="Arial"/>
          <w:sz w:val="18"/>
          <w:szCs w:val="18"/>
          <w:color w:val="auto"/>
        </w:rPr>
      </w:pPr>
    </w:p>
    <w:p>
      <w:pPr>
        <w:jc w:val="both"/>
        <w:ind w:left="1300" w:firstLine="653"/>
        <w:spacing w:after="0" w:line="286" w:lineRule="auto"/>
        <w:tabs>
          <w:tab w:leader="none" w:pos="264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relation to any supply made by a Finance Party to any Party under a Loan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65" w:lineRule="exact"/>
        <w:rPr>
          <w:rFonts w:ascii="Arial" w:cs="Arial" w:eastAsia="Arial" w:hAnsi="Arial"/>
          <w:sz w:val="17"/>
          <w:szCs w:val="17"/>
          <w:color w:val="auto"/>
        </w:rPr>
      </w:pPr>
    </w:p>
    <w:p>
      <w:pPr>
        <w:jc w:val="both"/>
        <w:ind w:left="1300" w:firstLine="653"/>
        <w:spacing w:after="0" w:line="257" w:lineRule="auto"/>
        <w:tabs>
          <w:tab w:leader="none" w:pos="26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Any reference in this </w:t>
      </w:r>
      <w:r>
        <w:rPr>
          <w:rFonts w:ascii="Arial" w:cs="Arial" w:eastAsia="Arial" w:hAnsi="Arial"/>
          <w:sz w:val="18"/>
          <w:szCs w:val="18"/>
          <w:u w:val="single" w:color="auto"/>
          <w:color w:val="auto"/>
        </w:rPr>
        <w:t>section 2.18(j)</w:t>
      </w:r>
      <w:r>
        <w:rPr>
          <w:rFonts w:ascii="Arial" w:cs="Arial" w:eastAsia="Arial" w:hAnsi="Arial"/>
          <w:sz w:val="18"/>
          <w:szCs w:val="18"/>
          <w:color w:val="auto"/>
        </w:rPr>
        <w:t xml:space="preserve"> to any party shall, at any time when such party is treated as a member of a group for VAT purposes, include (where appropriate and unless the context otherwise requires) a reference to the person who is treated as making the supply or (as appropriate) receiving the supply under the grouping rules (as provided for in Article 11 of the Council Directive 2006/112/EC (or as implemented by the relevant member state of the European Union or any other similar provision in any jurisdiction which is not a member state of the European Union)).</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 (a) (i) Each borrowing by a Borrower from the Lenders hereunder, each payment by a Borrower on account of any commitment fee and any reduction of the Commitments of the Lenders shall be made ratably among the Lenders in accordance with their respective Commitments of the applicable Class.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ind w:left="640" w:firstLine="645"/>
        <w:spacing w:after="0" w:line="342" w:lineRule="auto"/>
        <w:tabs>
          <w:tab w:leader="none" w:pos="196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payment (including each prepayment) by the Company on account of principal and interest on the Term Loans of any Class shall be made pro rata according to the respective outstanding principal amounts of the Term Loans of such Class then held by the Term Lenders.</w:t>
      </w:r>
    </w:p>
    <w:p>
      <w:pPr>
        <w:spacing w:after="0" w:line="123" w:lineRule="exact"/>
        <w:rPr>
          <w:rFonts w:ascii="Arial" w:cs="Arial" w:eastAsia="Arial" w:hAnsi="Arial"/>
          <w:sz w:val="16"/>
          <w:szCs w:val="16"/>
          <w:color w:val="auto"/>
        </w:rPr>
      </w:pPr>
    </w:p>
    <w:p>
      <w:pPr>
        <w:ind w:left="640" w:firstLine="645"/>
        <w:spacing w:after="0" w:line="308" w:lineRule="auto"/>
        <w:tabs>
          <w:tab w:leader="none" w:pos="194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payment (including each prepayment) by a Borrower on account of principal of and interest on the Revolving Loans shall be made pro rata according to the respective outstanding amounts of the Revolving Loans then held by the Revolving Lenders.</w:t>
      </w:r>
    </w:p>
    <w:p>
      <w:pPr>
        <w:spacing w:after="0" w:line="147" w:lineRule="exact"/>
        <w:rPr>
          <w:sz w:val="20"/>
          <w:szCs w:val="20"/>
          <w:color w:val="auto"/>
        </w:rPr>
      </w:pPr>
    </w:p>
    <w:p>
      <w:pPr>
        <w:jc w:val="both"/>
        <w:ind w:left="-20" w:firstLine="1305"/>
        <w:spacing w:after="0" w:line="284" w:lineRule="auto"/>
        <w:tabs>
          <w:tab w:leader="none" w:pos="22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Requirement of Law from making any required payment hereunder in an Alternative Currency, such Borrower shall make such payment in Dollars in the Dollar Equivalent of the Alternative Currency payment amount. All such payments shall be made to the Administrative Agent at the Funding Office, except payments pursuant to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Persons entitled thereto and payments pursuant to other Loan Documents shall be made to the Persons specified therein. Any amounts received after the time required to be received hereunder on any date may, in the discretion of the Administrative Agent, be deemed to have been received on the next succeeding Business Day for purposes of calculating interest thereon. The Administrative Agent shall distribute any such payment received by it for the account of any other Person to the appropriate recipient promptly following receipt thereof. Each Lender at its option may change its branch office for purposes of such distribution of payments hereunder to any domestic or foreign branch of such Lender by providing written notice of such change to the Administrative Agent no later than the date that is three Business Days prior to the date of the applicable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have delivered to the Administrative Agent and the Company properly completed and executed documentation as required under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as will permit such payments to be made to such branch office without deduction or withholding for any Tax in excess of the deduction or withholding for any Tax that would be imposed if the Lender did not change its branch office. Except as otherwise expressly set forth herein,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required to be made by any Loan Party under any Loan Document shall be made in Dollars except that any amounts payable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(or any indemnification or expense reimbursement provision of any other Loan Document) that are invoiced in a currency other than Dollars shall be payable in the currency so invoiced.</w:t>
      </w:r>
    </w:p>
    <w:p>
      <w:pPr>
        <w:spacing w:after="0" w:line="392" w:lineRule="exact"/>
        <w:rPr>
          <w:rFonts w:ascii="Arial" w:cs="Arial" w:eastAsia="Arial" w:hAnsi="Arial"/>
          <w:sz w:val="16"/>
          <w:szCs w:val="16"/>
          <w:color w:val="auto"/>
        </w:rPr>
      </w:pPr>
    </w:p>
    <w:p>
      <w:pPr>
        <w:jc w:val="both"/>
        <w:ind w:left="-20" w:firstLine="1305"/>
        <w:spacing w:after="0" w:line="279" w:lineRule="auto"/>
        <w:tabs>
          <w:tab w:leader="none" w:pos="202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1" w:name="page132"/>
    <w:bookmarkEnd w:id="131"/>
    <w:p>
      <w:pPr>
        <w:jc w:val="both"/>
        <w:ind w:left="-20" w:firstLine="1305"/>
        <w:spacing w:after="0" w:line="285" w:lineRule="auto"/>
        <w:tabs>
          <w:tab w:leader="none" w:pos="205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Except to the extent that this Agreement provides for payments to be disproportionately allocated to or retained by a particular Lender or group of Lenders (including Lenders as opposed to Defaulting Lenders or in connection with the payment of interest or fees at different rates and the repayment of principal amounts of Term Loans at different times as a result of Refinancing Agreements pursuant to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each Lender agrees that if it shall, by exercising any right of setoff or counterclaim or otherwise, obtain payment in respect of any Obligations owing to it resulting in such Lender receiving payment of a greater proportion of its Obligations than the proportion received by any other Lender, then the Lender receiving such greater proportion shall notify the Administrative Agent of such fact and shall purchase (for cash at face value) participations in the Obligations of other Lenders to the extent necessary so that the aggregate amount of all such payments shall be shared by the Lenders ratably in accordance with the aggregate Obligations owing to the Lenders (calculated prior to giving effect to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(for the avoidance of doubt, as in effect from time to time), or any payment obtained by a Lender as consideration for the assignment of or sale of a participation in any of its Loans or Commitments to any Person that is an Eligible Assignee (as such term is defined from time to time).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Notwithstanding the foregoing, to the extent prohibited by applicable law as described in the definition of the term “Excluded Swap Obligation,” no amounts received from, or set off with respect to, any Loan Party shall be applied to any Excluded Swap Obligations of such Loan Party.</w:t>
      </w:r>
    </w:p>
    <w:p>
      <w:pPr>
        <w:spacing w:after="0" w:line="393" w:lineRule="exact"/>
        <w:rPr>
          <w:rFonts w:ascii="Arial" w:cs="Arial" w:eastAsia="Arial" w:hAnsi="Arial"/>
          <w:sz w:val="16"/>
          <w:szCs w:val="16"/>
          <w:color w:val="auto"/>
        </w:rPr>
      </w:pPr>
    </w:p>
    <w:p>
      <w:pPr>
        <w:jc w:val="both"/>
        <w:ind w:left="-20" w:firstLine="1305"/>
        <w:spacing w:after="0" w:line="272" w:lineRule="auto"/>
        <w:tabs>
          <w:tab w:leader="none" w:pos="197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applicable Borrower prior to the date on which any payment is due to the Administrative Agent for the account of the Lenders or an Issuing Lender hereunder that such Borrower will not make such payment, the Administrative Agent may assume that such Borrower have made such payment on such date in accordance herewith and may, in reliance upon such assumption, distribute to the Lenders and such Issuing Lender the amount due. In such event, if the relevant Borrower has not in fact made such payment, then each of the Lenders and such Issuing Lender severally agrees to repay to the Administrative Agent forthwith on demand the amount so distributed to such Lender or Issuing Lender in Same Day Funds with interest thereon, for each day from and including the date such amount is distributed to it to but excluding the date of payment to the Administrative Agent, at the Overnight Rate from time to time in effect.</w:t>
      </w:r>
    </w:p>
    <w:p>
      <w:pPr>
        <w:spacing w:after="0" w:line="177" w:lineRule="exact"/>
        <w:rPr>
          <w:rFonts w:ascii="Arial" w:cs="Arial" w:eastAsia="Arial" w:hAnsi="Arial"/>
          <w:sz w:val="17"/>
          <w:szCs w:val="17"/>
          <w:color w:val="auto"/>
        </w:rPr>
      </w:pPr>
    </w:p>
    <w:p>
      <w:pPr>
        <w:jc w:val="both"/>
        <w:ind w:left="-20" w:firstLine="1305"/>
        <w:spacing w:after="0" w:line="257" w:lineRule="auto"/>
        <w:tabs>
          <w:tab w:leader="none" w:pos="200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obligations of the Lenders hereunder to make Loans, to fund participations in Letters of Credit and Swingline Loans and to make payments pursuant to </w:t>
      </w:r>
      <w:r>
        <w:rPr>
          <w:rFonts w:ascii="Arial" w:cs="Arial" w:eastAsia="Arial" w:hAnsi="Arial"/>
          <w:sz w:val="18"/>
          <w:szCs w:val="18"/>
          <w:u w:val="single" w:color="auto"/>
          <w:color w:val="auto"/>
        </w:rPr>
        <w:t>Section 9.03(c)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9.03(c)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9.03(c)</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20" w:firstLine="1305"/>
        <w:spacing w:after="0" w:line="259" w:lineRule="auto"/>
        <w:tabs>
          <w:tab w:leader="none" w:pos="20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Article II, and such funds are not made available to the Borrower by the Administrative Agent because the conditions to the applicable Loan set forth in Article IV are not satisfied or waived in accordance with the terms hereof, the Administrative Agent shall return such funds (in like funds as received from such Lender) to such Lender, without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2" w:name="page133"/>
    <w:bookmarkEnd w:id="132"/>
    <w:p>
      <w:pPr>
        <w:jc w:val="both"/>
        <w:ind w:firstLine="1297"/>
        <w:spacing w:after="0" w:line="271"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xml:space="preserve">. (a) If any Lender requests compensation under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if any Loan Party is required to pay any Indemnified Taxes or additional amounts to any Lender or to any Governmental Authority for the account of any Lender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2.18</w:t>
      </w:r>
      <w:r>
        <w:rPr>
          <w:rFonts w:ascii="Arial" w:cs="Arial" w:eastAsia="Arial" w:hAnsi="Arial"/>
          <w:sz w:val="17"/>
          <w:szCs w:val="17"/>
          <w:color w:val="auto"/>
        </w:rPr>
        <w:t>, as the case may be, in the future and (ii) would not subject such Lender to any unreimbursed cost or expense and would not otherwise be disadvantageous in any material respect to such Lender. The Company hereby agrees to pay all reasonable costs and expenses incurred by any Lender in connection with any such designation or assignment and delegation.</w:t>
      </w:r>
    </w:p>
    <w:p>
      <w:pPr>
        <w:spacing w:after="0" w:line="179" w:lineRule="exact"/>
        <w:rPr>
          <w:sz w:val="20"/>
          <w:szCs w:val="20"/>
          <w:color w:val="auto"/>
        </w:rPr>
      </w:pPr>
    </w:p>
    <w:p>
      <w:pPr>
        <w:jc w:val="both"/>
        <w:ind w:firstLine="1305"/>
        <w:spacing w:after="0" w:line="268" w:lineRule="auto"/>
        <w:tabs>
          <w:tab w:leader="none" w:pos="217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(ii) any Borrower is required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(iii) any Lender has become a Defaulting Lender or Non-Consenting Lender, then the Company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its interests, rights (other than its existing rights to payments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Company shall have paid to the Administrative Agent the processing and recordation fee (if any) specified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9.04(b)(ii)(C)</w:t>
      </w:r>
      <w:r>
        <w:rPr>
          <w:rFonts w:ascii="Arial" w:cs="Arial" w:eastAsia="Arial" w:hAnsi="Arial"/>
          <w:sz w:val="17"/>
          <w:szCs w:val="17"/>
          <w:color w:val="auto"/>
        </w:rPr>
        <w:t xml:space="preserve">, (B) such Lender shall have received payment of an amount equal to the outstanding principal of its Loans, accrued interest thereon, accrued fees and all other amounts (including, for all such Lenders other than Defaulting Lenders, any amounts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payable to it hereunder and under the other Loan Documents (if applicable, in each case only to the extent such amounts relate to its interest as a Lender of a particular Class) from the assignee (in the case of such principal and accrued interest and fees) or the Company (in the case of all other amounts), (C) in the case of any such assignment and delegation resulting from a claim for compensation under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such assignment will result in a reduction in such compensation or payments and (D) such assignment does not conflict with applicable law. A Lender shall not be required to make any such assignment and delegation if, prior thereto, as a result of a waiver or consent by such Lender or otherwise, the circumstances entitling the Company to require such assignment and delegation have ceased to apply.</w:t>
      </w:r>
    </w:p>
    <w:p>
      <w:pPr>
        <w:spacing w:after="0" w:line="183"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left="66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117"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“Majority in Interest”, the definition of “Required Lenders” and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3" w:name="page134"/>
    <w:bookmarkEnd w:id="133"/>
    <w:p>
      <w:pPr>
        <w:jc w:val="both"/>
        <w:ind w:left="4" w:firstLine="645"/>
        <w:spacing w:after="0" w:line="284" w:lineRule="auto"/>
        <w:tabs>
          <w:tab w:leader="none" w:pos="1358"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in connection with the exercise of remedies or otherwise) or received by the Administrative Agent from a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Issuing Lenders or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such Defaulting Lender is a Dollar Tranche Revolving Lender, to Cash Collateralize the Issuing Lenders’ Fronting Exposure with respect to such Defaulting Lender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if such Defaulting Lender is a Dollar Tranche Revolving Lender, Cash Collateralize the Issuing Lenders’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Lenders or the Swingline Lender as a result of any judgment of a court of competent jurisdiction obtained by any Lender, the Issuing Lenders or the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any L/C Obligations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6"/>
          <w:szCs w:val="16"/>
          <w:u w:val="single" w:color="auto"/>
          <w:color w:val="auto"/>
        </w:rPr>
        <w:t>Section 2.21(a)(iv)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2.21(a)(ii)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75" w:lineRule="exact"/>
        <w:rPr>
          <w:rFonts w:ascii="Arial" w:cs="Arial" w:eastAsia="Arial" w:hAnsi="Arial"/>
          <w:sz w:val="16"/>
          <w:szCs w:val="16"/>
          <w:color w:val="auto"/>
        </w:rPr>
      </w:pPr>
    </w:p>
    <w:p>
      <w:pPr>
        <w:ind w:left="1284" w:hanging="635"/>
        <w:spacing w:after="0"/>
        <w:tabs>
          <w:tab w:leader="none" w:pos="1284"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hanging="4"/>
        <w:spacing w:after="0" w:line="264" w:lineRule="auto"/>
        <w:tabs>
          <w:tab w:leader="none" w:pos="82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jc w:val="both"/>
        <w:ind w:left="4" w:hanging="4"/>
        <w:spacing w:after="0" w:line="264" w:lineRule="auto"/>
        <w:tabs>
          <w:tab w:leader="none" w:pos="8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fees payable under </w:t>
      </w:r>
      <w:r>
        <w:rPr>
          <w:rFonts w:ascii="Arial" w:cs="Arial" w:eastAsia="Arial" w:hAnsi="Arial"/>
          <w:sz w:val="18"/>
          <w:szCs w:val="18"/>
          <w:u w:val="single" w:color="auto"/>
          <w:color w:val="auto"/>
        </w:rPr>
        <w:t>Section 2.06(c)</w:t>
      </w:r>
      <w:r>
        <w:rPr>
          <w:rFonts w:ascii="Arial" w:cs="Arial" w:eastAsia="Arial" w:hAnsi="Arial"/>
          <w:sz w:val="18"/>
          <w:szCs w:val="18"/>
          <w:color w:val="auto"/>
        </w:rPr>
        <w:t xml:space="preserve">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w:t>
      </w:r>
    </w:p>
    <w:p>
      <w:pPr>
        <w:spacing w:after="0" w:line="181" w:lineRule="exact"/>
        <w:rPr>
          <w:rFonts w:ascii="Arial" w:cs="Arial" w:eastAsia="Arial" w:hAnsi="Arial"/>
          <w:sz w:val="18"/>
          <w:szCs w:val="18"/>
          <w:color w:val="auto"/>
        </w:rPr>
      </w:pPr>
    </w:p>
    <w:p>
      <w:pPr>
        <w:jc w:val="both"/>
        <w:ind w:left="4" w:hanging="4"/>
        <w:spacing w:after="0" w:line="273" w:lineRule="auto"/>
        <w:tabs>
          <w:tab w:leader="none" w:pos="77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With respect to any fees payable under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2.13(b)</w:t>
      </w:r>
      <w:r>
        <w:rPr>
          <w:rFonts w:ascii="Arial" w:cs="Arial" w:eastAsia="Arial" w:hAnsi="Arial"/>
          <w:sz w:val="17"/>
          <w:szCs w:val="17"/>
          <w:color w:val="auto"/>
        </w:rPr>
        <w:t xml:space="preserve"> not required to be paid to any Defaulting Lender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below, (y) pay to applicable Issuing Lender and Swingline Lender, as applicable , the amount of any such fee otherwise payable to such Defaulting Lender to the extent allocable to such Issuing Lender’s or Swingline Lender’s Fronting Exposure to such Defaulting Lender, and (z) not be required to pay the remaining amount of any such fee.</w:t>
      </w:r>
    </w:p>
    <w:p>
      <w:pPr>
        <w:spacing w:after="0" w:line="395"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34" w:name="page135"/>
    <w:bookmarkEnd w:id="134"/>
    <w:p>
      <w:pPr>
        <w:jc w:val="both"/>
        <w:ind w:left="328" w:firstLine="645"/>
        <w:spacing w:after="0" w:line="254" w:lineRule="auto"/>
        <w:tabs>
          <w:tab w:leader="none" w:pos="169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If such Defaulting Lender is a Dollar Tranche Revolving Lender, all or any part of such Defaulting Lender’s participation in L/C Obligations and Swingline Loans shall be reallocated among the Non-Defaulting Lenders of the same Class in accordance with their respective Applicable Percentages (calculated without regard to such Defaulting Lender’s Commitment) but only to the extent that such reallocation does not cause the aggregate Dollar Tranche Revolving Credit Exposure of any Non-Defaulting Lender to exceed such Non-Defaulting Lender’s Dollar Tranche Revolving Commitment. Subject to </w:t>
      </w:r>
      <w:r>
        <w:rPr>
          <w:rFonts w:ascii="Arial" w:cs="Arial" w:eastAsia="Arial" w:hAnsi="Arial"/>
          <w:sz w:val="18"/>
          <w:szCs w:val="18"/>
          <w:u w:val="single" w:color="auto"/>
          <w:color w:val="auto"/>
        </w:rPr>
        <w:t>Section 9.21</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2" w:lineRule="exact"/>
        <w:rPr>
          <w:rFonts w:ascii="Arial" w:cs="Arial" w:eastAsia="Arial" w:hAnsi="Arial"/>
          <w:sz w:val="18"/>
          <w:szCs w:val="18"/>
          <w:color w:val="auto"/>
        </w:rPr>
      </w:pPr>
    </w:p>
    <w:p>
      <w:pPr>
        <w:jc w:val="both"/>
        <w:ind w:left="328" w:firstLine="645"/>
        <w:spacing w:after="0" w:line="259" w:lineRule="auto"/>
        <w:tabs>
          <w:tab w:leader="none" w:pos="1604"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Company shall, without prejudice to any right or remedy available to it hereunder or under applicable Requirement of Law,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Issuing Lenders’ Fronting Exposure in accordance with the procedures set forth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w:t>
      </w:r>
    </w:p>
    <w:p>
      <w:pPr>
        <w:spacing w:after="0" w:line="186" w:lineRule="exact"/>
        <w:rPr>
          <w:rFonts w:ascii="Arial" w:cs="Arial" w:eastAsia="Arial" w:hAnsi="Arial"/>
          <w:sz w:val="18"/>
          <w:szCs w:val="18"/>
          <w:color w:val="auto"/>
        </w:rPr>
      </w:pPr>
    </w:p>
    <w:p>
      <w:pPr>
        <w:jc w:val="both"/>
        <w:ind w:left="328" w:hanging="328"/>
        <w:spacing w:after="0" w:line="269" w:lineRule="auto"/>
        <w:tabs>
          <w:tab w:leader="none" w:pos="328"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Company and the Administrative Agent and, if such Defaulting Lender is a Dollar Tranche Revolving Lender, the Swingline Lender and the Issuing Lenders agree in writing that such Defaulting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Swingline Loans to be held on a pro rata basis by the Lenders in accordance with their Applicable Percentages (without giving effect to </w:t>
      </w:r>
      <w:r>
        <w:rPr>
          <w:rFonts w:ascii="Arial" w:cs="Arial" w:eastAsia="Arial" w:hAnsi="Arial"/>
          <w:sz w:val="17"/>
          <w:szCs w:val="17"/>
          <w:u w:val="single" w:color="auto"/>
          <w:color w:val="auto"/>
        </w:rPr>
        <w:t>Section 2.21(a)(iv)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Company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firstLine="645"/>
        <w:spacing w:after="0" w:line="272" w:lineRule="auto"/>
        <w:tabs>
          <w:tab w:leader="none" w:pos="1623"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If (A) there shall exist a Defaulting Lender or (B) as of the Maturity Date, any L/C Obligation for any reason remains outstanding, the Company shall within one Business Day following any request by the Administrative Agent or any Issuing Lender, provide Cash Collateral in an amount not less than the applicable Minimum Collateral Amount (determined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xml:space="preserve"> and any Cash Collateral provided by the Defaulting Lender). Additionally, if the Administrative Agent notifies the Company at any time that the outstanding amount of all L/C Obligations at such time exceeds 105% of the L/C Commitment then in effect, then within two Business Days after receipt of such notice, the Company shall provide Cash Collateral for the outstanding amount of the L/C Obligations in an amount not less than the amount by which the outstanding amount of all L/C Obligations exceeds the L/C Commitment.</w:t>
      </w:r>
    </w:p>
    <w:p>
      <w:pPr>
        <w:spacing w:after="0" w:line="3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35" w:name="page136"/>
    <w:bookmarkEnd w:id="135"/>
    <w:p>
      <w:pPr>
        <w:jc w:val="both"/>
        <w:ind w:left="660" w:firstLine="645"/>
        <w:spacing w:after="0" w:line="288" w:lineRule="auto"/>
        <w:tabs>
          <w:tab w:leader="none" w:pos="197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The Company, and to the extent provided by any Defaulting Lender, such Defaulting Lender, hereby grants to (and subjects to the control of) the Administrative Agent, for the benefit of the Administrative Agent, the Issuing Lenders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at any time the Administrative Agent determines that Cash Collateral is subject to any right or claim of any Person other than the Administrative Agent or the Issuing Lenders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at Bank of America. The Company shall pay on demand therefor from time to time all customary account opening, activity and other administrative fees and charges in connection with the maintenance and disbursement of Cash Collateral.</w:t>
      </w:r>
    </w:p>
    <w:p>
      <w:pPr>
        <w:spacing w:after="0" w:line="169" w:lineRule="exact"/>
        <w:rPr>
          <w:rFonts w:ascii="Arial" w:cs="Arial" w:eastAsia="Arial" w:hAnsi="Arial"/>
          <w:sz w:val="16"/>
          <w:szCs w:val="16"/>
          <w:color w:val="auto"/>
        </w:rPr>
      </w:pPr>
    </w:p>
    <w:p>
      <w:pPr>
        <w:jc w:val="both"/>
        <w:ind w:left="660" w:firstLine="645"/>
        <w:spacing w:after="0" w:line="259" w:lineRule="auto"/>
        <w:tabs>
          <w:tab w:leader="none" w:pos="197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Cash Collateral provided under any of this </w:t>
      </w:r>
      <w:r>
        <w:rPr>
          <w:rFonts w:ascii="Arial" w:cs="Arial" w:eastAsia="Arial" w:hAnsi="Arial"/>
          <w:sz w:val="18"/>
          <w:szCs w:val="18"/>
          <w:u w:val="single" w:color="auto"/>
          <w:color w:val="auto"/>
        </w:rPr>
        <w:t>Section 2.21(c)</w:t>
      </w:r>
      <w:r>
        <w:rPr>
          <w:rFonts w:ascii="Arial" w:cs="Arial" w:eastAsia="Arial" w:hAnsi="Arial"/>
          <w:sz w:val="18"/>
          <w:szCs w:val="18"/>
          <w:color w:val="auto"/>
        </w:rPr>
        <w:t xml:space="preserve">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6" w:lineRule="exact"/>
        <w:rPr>
          <w:rFonts w:ascii="Arial" w:cs="Arial" w:eastAsia="Arial" w:hAnsi="Arial"/>
          <w:sz w:val="18"/>
          <w:szCs w:val="18"/>
          <w:color w:val="auto"/>
        </w:rPr>
      </w:pPr>
    </w:p>
    <w:p>
      <w:pPr>
        <w:ind w:left="660" w:firstLine="645"/>
        <w:spacing w:after="0" w:line="277" w:lineRule="auto"/>
        <w:tabs>
          <w:tab w:leader="none" w:pos="206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Cash Collateral (or the appropriate portion thereof) shall be released promptly following the termination of Defaulting Lender status of the applicable Defaulting Lender.</w:t>
      </w:r>
    </w:p>
    <w:p>
      <w:pPr>
        <w:spacing w:after="0" w:line="17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xml:space="preserve">. (a) The Company may on one or more occasions after the Closing Date, by written notice to the Administrative Agent, request the establishment of Incremental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the Incremental Commitments incurred under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on any date shall not exceed the sum of (x) an amount equal to the Base Incremental Amount in effect on such date, (y) an amount subject to the Maximum Incremental Amount as of such date and (z) an amount equal to the Voluntary Prepayment Amount as of such date (it being understood that (A) the Company shall be deemed to have used amounts under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above prior to utilization of amounts under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(z)</w:t>
      </w:r>
      <w:r>
        <w:rPr>
          <w:rFonts w:ascii="Arial" w:cs="Arial" w:eastAsia="Arial" w:hAnsi="Arial"/>
          <w:sz w:val="16"/>
          <w:szCs w:val="16"/>
          <w:color w:val="auto"/>
        </w:rPr>
        <w:t xml:space="preserve"> above and (B) the proceeds from any such incurrence under such clauses may be utilized in a single transaction by first calculating the incurrence under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above and then calculating the incurrence under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(z)</w:t>
      </w:r>
      <w:r>
        <w:rPr>
          <w:rFonts w:ascii="Arial" w:cs="Arial" w:eastAsia="Arial" w:hAnsi="Arial"/>
          <w:sz w:val="16"/>
          <w:szCs w:val="16"/>
          <w:color w:val="auto"/>
        </w:rPr>
        <w:t xml:space="preserve"> above). Each such notice shall specify (A) whether the Company is requesting Incremental Term Commitments or Incremental Revolving Commitments, (B) the date on which the Company proposes that the Incremental Commitments shall be effective, which shall be a date not less than five (5) Business Days (or such shorter period as may be agreed to by the Administrative Agent) after the date on which such notice is delivered to the Administrative Agent and (C) the amount of the Incremental Commitments being requested (it being agreed that</w:t>
      </w:r>
    </w:p>
    <w:p>
      <w:pPr>
        <w:spacing w:after="0" w:line="6" w:lineRule="exact"/>
        <w:rPr>
          <w:sz w:val="20"/>
          <w:szCs w:val="20"/>
          <w:color w:val="auto"/>
        </w:rPr>
      </w:pPr>
    </w:p>
    <w:p>
      <w:pPr>
        <w:ind w:firstLine="8"/>
        <w:spacing w:after="0" w:line="323" w:lineRule="auto"/>
        <w:tabs>
          <w:tab w:leader="none" w:pos="26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Lender approached to provide any Incremental Commitments may elect or decline, in its sole discretion, to provide such Incremental Commitments and (y) any Person that the Company proposes to become an Incremental Lender, if such Person is not then a Lender, must be an Eligible Assignee).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jc w:val="both"/>
        <w:ind w:left="-20" w:firstLine="1305"/>
        <w:spacing w:after="0" w:line="267" w:lineRule="auto"/>
        <w:tabs>
          <w:tab w:leader="none" w:pos="193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terms and conditions of any Incremental Term Facility and the Incremental Term Loans to be made thereunder shall be, except as otherwise set forth herein or in the applicable Incremental Facility Amendment, substantially consistent to those of the Term Commitments and the Term Loans and, to the extent such terms and conditions are not substantially consistent with the terms and conditions applicable to the Term Commitments and the Term Loans, such terms and conditions shall not be more favorable, taken as a whole, to the Incremental Term Lenders providing such Incremental Term Facility than the terms of the existing Term Commitments and the Term Loans, as applicable (other than with respect to terms and conditions applicable only after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upfront fees, interest rates and amortization schedule applicable to any Incremental Term Facility and Incremental Term Loans shall be determined by the Company and the Incremental Term Lenders providing the relevant Incremental Term Commitments, (ii) except in the case of an Incremental Term Facility effected as an increase to an existing Class of Term Loans, the weighted average life to maturity of any Incremental Term Loans shall be no shorter than the remaining weighted average life to maturity of the Initial Terms Loans, (iii) no Incremental Term Maturity Date shall be earlier than the Term Maturity Date and (iv) any Incremental Term Facility, for purposes of prepayments (either mandatory or optional), shall be treated substantially the same as (and in any event no more favorably than) the Initial Term Loans. Any Incremental Term Commitments established pursuant to an Incremental Facility Amendment that have identical terms and conditions, and any Incremental Term Loans made thereunder, shall be designated as a separate series (each a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of Incremental Term Commitments and Incremental Term Loans for all purposes of this Agreement. Any Incremental Revolving Commitments established pursuant to an Incremental Facility Amendment shall have substantially the same terms as and be deemed to be Revolving Commitments for all purposes of this Agreement. Each Incremental Facility and all extensions of credit thereunder (i) shall be secured by the same Collateral securing the other Loan Document Obligations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basis with the Liens on the Collateral securing the other Loan Document Obligations, (ii) shall not be secured by any property or assets of the Company or any of the Subsidiaries other than the Collateral (or property or assets that substantially concurrently become Collateral), unless otherwise permitted by this Agreement, (iii) shall be Guaranteed by the same Loan Parties that Guarantee the other Loan Document Obligations and (iv) shall not be Guaranteed by any Persons other than the Loan Parties, unless otherwise permitted by this Agreement.</w:t>
      </w:r>
    </w:p>
    <w:p>
      <w:pPr>
        <w:spacing w:after="0" w:line="188" w:lineRule="exact"/>
        <w:rPr>
          <w:rFonts w:ascii="Arial" w:cs="Arial" w:eastAsia="Arial" w:hAnsi="Arial"/>
          <w:sz w:val="17"/>
          <w:szCs w:val="17"/>
          <w:color w:val="auto"/>
        </w:rPr>
      </w:pPr>
    </w:p>
    <w:p>
      <w:pPr>
        <w:jc w:val="both"/>
        <w:ind w:left="-20" w:firstLine="1305"/>
        <w:spacing w:after="0" w:line="284" w:lineRule="auto"/>
        <w:tabs>
          <w:tab w:leader="none" w:pos="237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Incremental Term Commitments and Incremental Term Facilities relating thereto and the Incremental Revolving Commitments shall be effected pursuant to one or more Incremental Facility Amendments executed and delivered by the Company, each Incremental Lender providing such Incremental Commitments and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Incremental Commitments shall become effective unless (i) no Event of Default shall have occurred and be continuing on the date of effectiveness thereof, both immediately prior to and immediately after giving effect to such Incremental Commitments (and assuming that the full amount of such Incremental Commitments shall have been funded as Loans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any Incremental Acquisition Term Facility if agreed by all applicable Incremental Term Lenders, the foregoing shall be satisfied if no Event of Default shall have occurred and be continuing on the date of execution of the applicable acquisition or investment documentation and no Event of Default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have occurred and is continuing on the effective date of such Incremental Acquisition Term Facility, in each case determined after giving effect to such Incremental Commitments (and assuming that the full amount of such Incremental Commitments shall have been funded as Loans on the applicable date), (ii) on the date of effectiveness thereof, the representations and warranties of each Loan Party set forth in the Loan Documents (or, in the case of any Incremental Acquisition Term Facility if agreed by all applicable Incremental Term Lenders, the Specified Representations and the Specified Permitted Acquisition Agreement Representations) shall be true and correct (A) in the case of such representations and warranties qualified as to materiality or Material Adverse Effect, in all respects and (B) otherwise, in all material respects, in each case on and as of such date, except in the case of any such representation and warranty that expressly relates to a prior date, in which case such representation and warranty shall be so true and correct on and as of such prior date, (iii) the Company shall be in compliance on a Pro Forma Basis with the financial maintenance covenants set forth in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(iv) the relevant Borrower shall make any payments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in connection with such Incremental Commitments and the related transactions under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(v) the Company shall have delivered to the Administrative Agent such legal opinions, board resolutions, secretary’s certificates, officer’s certificates and, other than in connection with a Limited Condition Acquisition, consents and approvals and other documents as shall be requested by the Administrative Agent in connection with any such transaction. Each Incremental Facility Amendment may, without the consent of any Lender, effect such amendments to this Agreement and the other Loan Documents as may be necessary or appropriate, in the opinion of the Administrative Agent, to give effect to the provisions of this </w:t>
      </w:r>
      <w:r>
        <w:rPr>
          <w:rFonts w:ascii="Arial" w:cs="Arial" w:eastAsia="Arial" w:hAnsi="Arial"/>
          <w:sz w:val="16"/>
          <w:szCs w:val="16"/>
          <w:u w:val="single" w:color="auto"/>
          <w:color w:val="auto"/>
        </w:rPr>
        <w:t>Section 2.22</w:t>
      </w:r>
      <w:r>
        <w:rPr>
          <w:rFonts w:ascii="Arial" w:cs="Arial" w:eastAsia="Arial" w:hAnsi="Arial"/>
          <w:sz w:val="16"/>
          <w:szCs w:val="16"/>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37" w:name="page138"/>
    <w:bookmarkEnd w:id="137"/>
    <w:p>
      <w:pPr>
        <w:jc w:val="both"/>
        <w:ind w:firstLine="1305"/>
        <w:spacing w:after="0" w:line="257" w:lineRule="auto"/>
        <w:tabs>
          <w:tab w:leader="none" w:pos="197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Upon the effectiveness of an Incremental Commitment of any Incremental Lender, such Incremental Lender shall be deemed to be a “Lender” (and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w:t>
      </w:r>
    </w:p>
    <w:p>
      <w:pPr>
        <w:spacing w:after="0" w:line="188" w:lineRule="exact"/>
        <w:rPr>
          <w:rFonts w:ascii="Arial" w:cs="Arial" w:eastAsia="Arial" w:hAnsi="Arial"/>
          <w:sz w:val="18"/>
          <w:szCs w:val="18"/>
          <w:color w:val="auto"/>
        </w:rPr>
      </w:pPr>
    </w:p>
    <w:p>
      <w:pPr>
        <w:jc w:val="both"/>
        <w:ind w:right="20" w:firstLine="1305"/>
        <w:spacing w:after="0" w:line="264" w:lineRule="auto"/>
        <w:tabs>
          <w:tab w:leader="none" w:pos="195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applicable Incremental Facility Amendment, each Lender holding an Incremental Term Commitment of any Series shall make an Incremental Term Loan to the Company in an amount equal to such Incremental Term Commitment on the date specified in such Incremental Facility Amendment.</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206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On the date of effectiveness of any Incremental Revolving Commitments, each Revolving Lender of the applicable Class shall assign to each Incremental Revolving Lender holding such Incremental Revolving Commitment, and each such Incremental Revolving Lender shall purchase from each such Revolving Lender, at the principal amount thereof (together with accrued interest), such interests in the applicable Class of Revolving Loans and, in the case of the Dollar Tranche Revolving Commitments, participations in Letters of Credit and Swingline Loans outstanding on such date as shall be necessary in order that, after giving effect to all such assignments and purchases, such Revolving Loans and, if applicable, participations in Letters of Credit and Swingline Loans will be held by all of the Revolving Lenders of the applicable Class (including such Incremental Revolving Lenders) ratably in accordance with their Revolving Percentages after giving effect to the effectiveness of such Incremental Revolving Commitments.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81" w:lineRule="exact"/>
        <w:rPr>
          <w:rFonts w:ascii="Arial" w:cs="Arial" w:eastAsia="Arial" w:hAnsi="Arial"/>
          <w:sz w:val="17"/>
          <w:szCs w:val="17"/>
          <w:color w:val="auto"/>
        </w:rPr>
      </w:pPr>
    </w:p>
    <w:p>
      <w:pPr>
        <w:ind w:firstLine="1305"/>
        <w:spacing w:after="0" w:line="342" w:lineRule="auto"/>
        <w:tabs>
          <w:tab w:leader="none" w:pos="210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Administrative Agent shall notify the Lenders promptly upon receipt by the Administrative Agent of any notice from the Company referred to in </w:t>
      </w:r>
      <w:r>
        <w:rPr>
          <w:rFonts w:ascii="Arial" w:cs="Arial" w:eastAsia="Arial" w:hAnsi="Arial"/>
          <w:sz w:val="16"/>
          <w:szCs w:val="16"/>
          <w:u w:val="single" w:color="auto"/>
          <w:color w:val="auto"/>
        </w:rPr>
        <w:t>Section 2.22(a)</w:t>
      </w:r>
      <w:r>
        <w:rPr>
          <w:rFonts w:ascii="Arial" w:cs="Arial" w:eastAsia="Arial" w:hAnsi="Arial"/>
          <w:sz w:val="16"/>
          <w:szCs w:val="16"/>
          <w:color w:val="auto"/>
        </w:rPr>
        <w:t xml:space="preserve"> and of the effectiveness of any Incremental Commitments in each case advising the Lenders of the details thereof.</w:t>
      </w:r>
    </w:p>
    <w:p>
      <w:pPr>
        <w:spacing w:after="0" w:line="123" w:lineRule="exact"/>
        <w:rPr>
          <w:rFonts w:ascii="Arial" w:cs="Arial" w:eastAsia="Arial" w:hAnsi="Arial"/>
          <w:sz w:val="16"/>
          <w:szCs w:val="16"/>
          <w:color w:val="auto"/>
        </w:rPr>
      </w:pPr>
    </w:p>
    <w:p>
      <w:pPr>
        <w:jc w:val="both"/>
        <w:ind w:firstLine="1305"/>
        <w:spacing w:after="0" w:line="259" w:lineRule="auto"/>
        <w:tabs>
          <w:tab w:leader="none" w:pos="20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an Incremental Term Loan borrowed by a Borrower (other than a Foreign Obligor) hereunder would otherwise constitute an “applicable high yield discount obligation” within the meaning of Section 163(i)(1) of the Code, before the close of each accrual period ending after the fifth anniversary of the issue date of such Loan, the applicable Borrower shall make such payments on the Incremental Term Loan as required to prevent the Incremental Term Loan from being treated as an “applicable high yield discount obligation”.</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2.23 </w:t>
      </w:r>
      <w:r>
        <w:rPr>
          <w:rFonts w:ascii="Arial" w:cs="Arial" w:eastAsia="Arial" w:hAnsi="Arial"/>
          <w:sz w:val="16"/>
          <w:szCs w:val="16"/>
          <w:u w:val="single" w:color="auto"/>
          <w:color w:val="auto"/>
        </w:rPr>
        <w:t>Refinancing Facilities</w:t>
      </w:r>
      <w:r>
        <w:rPr>
          <w:rFonts w:ascii="Arial" w:cs="Arial" w:eastAsia="Arial" w:hAnsi="Arial"/>
          <w:sz w:val="16"/>
          <w:szCs w:val="16"/>
          <w:color w:val="auto"/>
        </w:rPr>
        <w:t>. (a) The Company may, on one or more occasions after the Closing Date, by written notice to the Administrative Agent, the applicable Refinancing Lenders and, to the extent that the rights, duties or privileges of the Administrative Agent, the Issuing Lenders or the Swingline Lender are affected, the Administrative Agent, the Issuing Lenders or the Swingline Lender, respectively (such consent, in each case, not to be unreasonably withheld or delayed), request the establishment hereunder of one or more additional Classes of (i) term loan commitments (the “</w:t>
      </w:r>
      <w:r>
        <w:rPr>
          <w:rFonts w:ascii="Arial" w:cs="Arial" w:eastAsia="Arial" w:hAnsi="Arial"/>
          <w:sz w:val="16"/>
          <w:szCs w:val="16"/>
          <w:u w:val="single" w:color="auto"/>
          <w:color w:val="auto"/>
        </w:rPr>
        <w:t>Refinancing Term Loan Commitments</w:t>
      </w:r>
      <w:r>
        <w:rPr>
          <w:rFonts w:ascii="Arial" w:cs="Arial" w:eastAsia="Arial" w:hAnsi="Arial"/>
          <w:sz w:val="16"/>
          <w:szCs w:val="16"/>
          <w:color w:val="auto"/>
        </w:rPr>
        <w:t>”) pursuant to which each Person providing such a commitment (a “</w:t>
      </w:r>
      <w:r>
        <w:rPr>
          <w:rFonts w:ascii="Arial" w:cs="Arial" w:eastAsia="Arial" w:hAnsi="Arial"/>
          <w:sz w:val="16"/>
          <w:szCs w:val="16"/>
          <w:u w:val="single" w:color="auto"/>
          <w:color w:val="auto"/>
        </w:rPr>
        <w:t>Refinancing Term Lender</w:t>
      </w:r>
      <w:r>
        <w:rPr>
          <w:rFonts w:ascii="Arial" w:cs="Arial" w:eastAsia="Arial" w:hAnsi="Arial"/>
          <w:sz w:val="16"/>
          <w:szCs w:val="16"/>
          <w:color w:val="auto"/>
        </w:rPr>
        <w:t>”) will make term loans to the Company (the “</w:t>
      </w:r>
      <w:r>
        <w:rPr>
          <w:rFonts w:ascii="Arial" w:cs="Arial" w:eastAsia="Arial" w:hAnsi="Arial"/>
          <w:sz w:val="16"/>
          <w:szCs w:val="16"/>
          <w:u w:val="single" w:color="auto"/>
          <w:color w:val="auto"/>
        </w:rPr>
        <w:t>Refinancing Term Loans</w:t>
      </w:r>
      <w:r>
        <w:rPr>
          <w:rFonts w:ascii="Arial" w:cs="Arial" w:eastAsia="Arial" w:hAnsi="Arial"/>
          <w:sz w:val="16"/>
          <w:szCs w:val="16"/>
          <w:color w:val="auto"/>
        </w:rPr>
        <w:t>”) and (ii) revolving commitments (the “</w:t>
      </w:r>
      <w:r>
        <w:rPr>
          <w:rFonts w:ascii="Arial" w:cs="Arial" w:eastAsia="Arial" w:hAnsi="Arial"/>
          <w:sz w:val="16"/>
          <w:szCs w:val="16"/>
          <w:u w:val="single" w:color="auto"/>
          <w:color w:val="auto"/>
        </w:rPr>
        <w:t>Refinancing Revolving Commitments</w:t>
      </w:r>
      <w:r>
        <w:rPr>
          <w:rFonts w:ascii="Arial" w:cs="Arial" w:eastAsia="Arial" w:hAnsi="Arial"/>
          <w:sz w:val="16"/>
          <w:szCs w:val="16"/>
          <w:color w:val="auto"/>
        </w:rPr>
        <w:t>;” together with Refinancing Term Loan Commitments, the “</w:t>
      </w:r>
      <w:r>
        <w:rPr>
          <w:rFonts w:ascii="Arial" w:cs="Arial" w:eastAsia="Arial" w:hAnsi="Arial"/>
          <w:sz w:val="16"/>
          <w:szCs w:val="16"/>
          <w:u w:val="single" w:color="auto"/>
          <w:color w:val="auto"/>
        </w:rPr>
        <w:t>Refinancing Commitments</w:t>
      </w:r>
      <w:r>
        <w:rPr>
          <w:rFonts w:ascii="Arial" w:cs="Arial" w:eastAsia="Arial" w:hAnsi="Arial"/>
          <w:sz w:val="16"/>
          <w:szCs w:val="16"/>
          <w:color w:val="auto"/>
        </w:rPr>
        <w:t>”) pursuant to which each Person providing such a commitment (a “</w:t>
      </w:r>
      <w:r>
        <w:rPr>
          <w:rFonts w:ascii="Arial" w:cs="Arial" w:eastAsia="Arial" w:hAnsi="Arial"/>
          <w:sz w:val="16"/>
          <w:szCs w:val="16"/>
          <w:u w:val="single" w:color="auto"/>
          <w:color w:val="auto"/>
        </w:rPr>
        <w:t>Refinancing 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will provide revolving commitments to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Refinancing Lender shall be an Eligible Assignee and shall otherwise be reasonably acceptable to the Administrative Agent to the extent that the Administrative Agent’s consent would be required in connection with an assignment to such Refinancing Lender of a Term Loan or a Revolving Commitment, as applicable,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jc w:val="both"/>
        <w:ind w:left="-20" w:firstLine="1305"/>
        <w:spacing w:after="0" w:line="284" w:lineRule="auto"/>
        <w:tabs>
          <w:tab w:leader="none" w:pos="195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Refinancing Commitments shall be effected pursuant to one or more Refinancing Facility Agreements executed and delivered by the Borrowers, each Refinancing Lender providing the applicable Refinancing Commitments and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Refinancing Commitments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(A) in the case of the representations and warranties qualified as to materiality or Material Adverse Effect,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Borrowers shall have delivered to the Administrative Agent such legal opinions, board resolutions, secretary’s certificates, officer’s certificates, consent and approvals and other documents as shall reasonably be requested by the applicable Refinancing Lender in connection with any such transaction, (iv) with respect to Refinancing Term Loan Commitments, substantially concurrently with the effectiveness thereof, the Company shall obtain Refinancing Term Loans thereunder and shall repay or prepay then outstanding Term Borrowings of one or more Classes in an aggregate principal amount equal to the aggregate amount of such Refinancing Term Loan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such Refinancing Term Loans shall not exceed the amount of the Term Borrowings so refinanced (plus the aggregate amount of accrued and unpaid interest with respect to such outstanding Term Borrowings, fees, expenses, commissions, underwriting discounts and premiums payable in connection therewith) and (v) with respect to Refinancing Revolving Commitments, substantially concurrently with the effectiveness thereof, the Borrowers shall terminate an equivalent amount of Revolving Commitments and shall, to the extent necessary, repay or prepay then outstanding Revolving Borrowings in an aggregate principal amount such that after giving effect to such prepayment, the Revolving Lenders and the Refinancing Revolving Lenders hold outstanding Loans ratably in accordance with the outstanding Revolving Commitments and the outstanding Refinancing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(x) at no time shall there be more than three Classes of revolving Commitments hereunder unless otherwise agreed by the Administrative Agent and (y) in the case of any Refinancing Commitments to be provided in connection with an LCA Action, at the sole option of the Company, the conditions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may be tested at the time that the definitive agreement with respect to such LCA Action is entered into (except, in the case of (i), no Event of Default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have occurred and is continuing on the effective date of such Refinancing Commitments) and the consents, approvals and other documents referred to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may be provided after the Refinancing Commitments have become effective, in each case so long as agreed to by the lenders providing such Refinancing Commitments (but without the consent of any existing Lenders or the Administrative Agent). With respect to any prepayment of Term Loans in accordance with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the Company shall determine the amount of such prepayments allocated to each Class of outstanding Term Loans, and any such prepayment of Term Borrowings of any Class shall be applied to reduce the subsequent scheduled repayments of Term Borrowings of such Class to be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as directed by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9" w:name="page140"/>
    <w:bookmarkEnd w:id="139"/>
    <w:p>
      <w:pPr>
        <w:jc w:val="both"/>
        <w:ind w:left="-20" w:firstLine="1305"/>
        <w:spacing w:after="0" w:line="283" w:lineRule="auto"/>
        <w:tabs>
          <w:tab w:leader="none" w:pos="207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Refinancing Facility Agreement shall set forth, with respect to the Refinancing Commitments established thereby and the Refinancing Loans and other extensions of credit to be made thereunder, to the extent applicable, the following terms thereof: (i) the designation of such Refinancing Commitments and Refinancing Loans as a new “Class” for all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the consent of the Administrative Agent, any Refinancing Commitments and Refinancing Loans may be treated as a single “Class” with any then-outstanding existing Commitments or Loans), (ii) the stated termination and maturity dates applicable to the Refinancing Commitments or Refinancing Loans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stated termination and maturity dates shall not be earlier than the Maturity Date applicable to the Class of Loans or Revolving Commitments, as applicable, so refinanced and (B) any Refinancing Term Loans shall not have a weighted average life to maturity shorter than the Class of Term Loans so refinanced, (iii) in the case of any Refinancing Term Loans, any amortization applicable thereto and the effect thereon of any prepayment of such Refinancing Term Loans, (iv) the interest rate or rates applicable to the Refinancing Loans of such Class, (v) the fees applicable to the Refinancing Commitments or Refinancing Loans of such Class, (vi) in the case of any Refinancing Term Loans, any original issue discount or upfront fees applicable thereto and in the case of any Refinancing Revolving Commitments, any upfront fees applicable thereto, (vii) the initial Interest Period or Interest Periods applicable to Refinancing Loans of such Class, (viii) any voluntary or mandatory commitment reduction or prepayment requirements applicable to Refinancing Commitments or Refinancing Loans of such Class (which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 and any restrictions on the voluntary or mandatory reductions or prepayments of Refinancing Commitments or Refinancing Loans of such Class and (ix) any financial maintenance covenant with which the Company shall be required to comply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Refinancing Term Loans or Refinancing Revolving Commitments, as applicable, have a financial maintenance covenant at any time prior to the Maturity Date of the Loans or Commitments being refinanced, such financial maintenance covenant shall not be more restrictive with respect to the Company and its Subsidiaries than (or in addition to) the financial maintenance covenant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6.13</w:t>
      </w:r>
      <w:r>
        <w:rPr>
          <w:rFonts w:ascii="Arial" w:cs="Arial" w:eastAsia="Arial" w:hAnsi="Arial"/>
          <w:sz w:val="16"/>
          <w:szCs w:val="16"/>
          <w:color w:val="auto"/>
        </w:rPr>
        <w:t xml:space="preserve"> (unless such financial maintenance covenant is also added to this Agreement for the benefit of all Lenders)). Except as contemplated by the preceding sentence, the terms of the Refinancing Term Loan Commitments and Refinancing Term Loans or the Refinancing Revolving Commitments and Refinancing Revolving Loans, as applicable, shall be substantially the same as the terms of the existing Term Commitments and the existing Term Loans or the existing Revolving Commitments and the existing Revolving Loans, as applicable, and in any event no more restrictive, taken as a whole, with respect to the Company or any Subsidiary than those set forth in the Loan Documents with respect to the existing Term Commitments and the existing Term Loans or the existing Revolving Commitments and the existing Revolving Loans, as applicable (other than covenants or other provisions applicable only to periods after the Maturity Date of the Loans and Commitments being refinanced by such Refinancing Commitments and Refinancing Loans). With the consent of the Issuing Lenders or the Swingline Lender, as applicable, any Refinancing Facility Agreement may provide for the issuance of Letters of Credit for the account of the Company or its Subsidiaries, or the provision to the Company of Swingline Loans, pursuant to any Revolving Commitments established thereby, in each case on terms substantially equivalent to the terms applicable to Letters of Credit and Swingline Loans under the Revolving Commitments. The Administrative Agent shall promptly notify each Lender as to the effectiveness of each Refinancing Facility Agreement. Each Refinancing Facility Agreement may, without the consent of any Lender other than the applicable Refinancing Lenders, effect such amendments to this Agreement and the other Loan Documents as may be necessary or appropriate, in the opinion of the Administrative Agent, to give effect to the provisions of this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including any amendments necessary to treat the applicable Refinancing Commitments and Refinancing Loans as a new “Class” of loans and/or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between the Revolving Commitments and Refinancing Revolving Commitments, all Borrowings, all prepayments of Loans and all reductions of Commitments shall continue to be made on a ratable basis among the Lenders with Revolving Commitments and Refinancing Revolving Commitments, based on the relative amounts of their Commitments;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allocation of the participation exposure with respect to Swingline Loans and Letters of Credit as between the Refinancing Revolving Commitments and the remaining Revolving Commitments shall be made on a ratable basis in accordance with the relative amounts thereof (if any) until the Maturity Date in respect of the earlier maturing Commitments (it being understood that no reallocation of such exposure to later maturing Commitments shall occur on such Maturity Date if such reallocation would cause the Revolving Extensions of Credit of any Lender to exceed its applicable Commitment). The Administrative Agent and the Lenders hereby acknowledge that the minimum borrowing, pro rata borrowing and pro rata payment requirements contained elsewhere in this Agreement are not intended to apply to the transactions effected pursuant to this </w:t>
      </w:r>
      <w:r>
        <w:rPr>
          <w:rFonts w:ascii="Arial" w:cs="Arial" w:eastAsia="Arial" w:hAnsi="Arial"/>
          <w:sz w:val="16"/>
          <w:szCs w:val="16"/>
          <w:u w:val="single" w:color="auto"/>
          <w:color w:val="auto"/>
        </w:rPr>
        <w:t>Section 2.23</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0" w:name="page141"/>
    <w:bookmarkEnd w:id="140"/>
    <w:p>
      <w:pPr>
        <w:jc w:val="both"/>
        <w:ind w:firstLine="1305"/>
        <w:spacing w:after="0" w:line="286" w:lineRule="auto"/>
        <w:tabs>
          <w:tab w:leader="none" w:pos="205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Notwithstanding the foregoing, it is hereby understood and agreed that, on and after the Collateral Release Event, the Company shall not obtain any secured Refinancing Term Loans or secured Refinancing Commitments unless the Obligations are equally and ratably secured and such secured Refinancing Term Loans or secured Refinancing Commitments, as applicable, are subject to an Intercreditor Agreement.</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the contrary.</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2.24 </w:t>
      </w:r>
      <w:r>
        <w:rPr>
          <w:rFonts w:ascii="Arial" w:cs="Arial" w:eastAsia="Arial" w:hAnsi="Arial"/>
          <w:sz w:val="16"/>
          <w:szCs w:val="16"/>
          <w:u w:val="single" w:color="auto"/>
          <w:color w:val="auto"/>
        </w:rPr>
        <w:t>Loan Modification Offers</w:t>
      </w:r>
      <w:r>
        <w:rPr>
          <w:rFonts w:ascii="Arial" w:cs="Arial" w:eastAsia="Arial" w:hAnsi="Arial"/>
          <w:sz w:val="16"/>
          <w:szCs w:val="16"/>
          <w:color w:val="auto"/>
        </w:rPr>
        <w:t>. (a) The Borrowers may on one or more occasions after the Closing Date, by written notice to the Administrative Agent, make one or more offers (each, a “</w:t>
      </w:r>
      <w:r>
        <w:rPr>
          <w:rFonts w:ascii="Arial" w:cs="Arial" w:eastAsia="Arial" w:hAnsi="Arial"/>
          <w:sz w:val="16"/>
          <w:szCs w:val="16"/>
          <w:u w:val="single" w:color="auto"/>
          <w:color w:val="auto"/>
        </w:rPr>
        <w:t>Loan Modification Offer</w:t>
      </w:r>
      <w:r>
        <w:rPr>
          <w:rFonts w:ascii="Arial" w:cs="Arial" w:eastAsia="Arial" w:hAnsi="Arial"/>
          <w:sz w:val="16"/>
          <w:szCs w:val="16"/>
          <w:color w:val="auto"/>
        </w:rPr>
        <w:t>”) to all (and not fewer than all) the Lenders of one or more Classes (each Class subject to such a Loan Modification Offer, an “</w:t>
      </w:r>
      <w:r>
        <w:rPr>
          <w:rFonts w:ascii="Arial" w:cs="Arial" w:eastAsia="Arial" w:hAnsi="Arial"/>
          <w:sz w:val="16"/>
          <w:szCs w:val="16"/>
          <w:u w:val="single" w:color="auto"/>
          <w:color w:val="auto"/>
        </w:rPr>
        <w:t>Affected Class</w:t>
      </w:r>
      <w:r>
        <w:rPr>
          <w:rFonts w:ascii="Arial" w:cs="Arial" w:eastAsia="Arial" w:hAnsi="Arial"/>
          <w:sz w:val="16"/>
          <w:szCs w:val="16"/>
          <w:color w:val="auto"/>
        </w:rPr>
        <w:t>”) to make one or more Permitted Amendments pursuant to procedures reasonably specified by the Administrative Agent and reasonably acceptable to the Company. Such notice shall set forth (i) the terms and conditions of the requested Loan Modification Offer and (ii) the date on which such Loan Modification Offer is requested to become effective. Permitted Amendments shall become effective only with respect to the Loans and Commitments of the Lenders of the Affected Class that accept the applicable Loan Modification Offer (such Lenders, the “</w:t>
      </w:r>
      <w:r>
        <w:rPr>
          <w:rFonts w:ascii="Arial" w:cs="Arial" w:eastAsia="Arial" w:hAnsi="Arial"/>
          <w:sz w:val="16"/>
          <w:szCs w:val="16"/>
          <w:u w:val="single" w:color="auto"/>
          <w:color w:val="auto"/>
        </w:rPr>
        <w:t>Accepting Lenders</w:t>
      </w:r>
      <w:r>
        <w:rPr>
          <w:rFonts w:ascii="Arial" w:cs="Arial" w:eastAsia="Arial" w:hAnsi="Arial"/>
          <w:sz w:val="16"/>
          <w:szCs w:val="16"/>
          <w:color w:val="auto"/>
        </w:rPr>
        <w:t xml:space="preserve">”) and, in the case of any Accepting Lender, only with respect to such Lender’s Loans and Commitments of such Affected Class as to which such Lender’s acceptance has been made. With respect to all Permitted Amendments consummated by the Borrowers pursuant to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 such Permitted Amendments shall not constitute voluntary or mandatory payments or prepayments for purposes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(ii) any Loan Modification Offer, unless contemplating a Maturity Date already in effect hereunder pursuant to a previously consummated Permitted Amendment, must be in a minimum amount of $25,000,000 (or such lesser amount as may be approved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may at their election specify as a condition (a “</w:t>
      </w:r>
      <w:r>
        <w:rPr>
          <w:rFonts w:ascii="Arial" w:cs="Arial" w:eastAsia="Arial" w:hAnsi="Arial"/>
          <w:sz w:val="16"/>
          <w:szCs w:val="16"/>
          <w:u w:val="single" w:color="auto"/>
          <w:color w:val="auto"/>
        </w:rPr>
        <w:t>Minimum Extension Condition</w:t>
      </w:r>
      <w:r>
        <w:rPr>
          <w:rFonts w:ascii="Arial" w:cs="Arial" w:eastAsia="Arial" w:hAnsi="Arial"/>
          <w:sz w:val="16"/>
          <w:szCs w:val="16"/>
          <w:color w:val="auto"/>
        </w:rPr>
        <w:t>”) to consummating any such Permitted Amendment that a minimum amount (to be determined and specified in the relevant Loan Modification Offer in the Borrowers’ sole discretion and which may be waived by the Borrowers) of Commitments or Loans of any or all Affected Classes be extended. If the aggregate principal amount of Commitments or Loans of any Affected Class in respect of which Lenders shall have accepted the relevant Loan Modification Offer shall exceed the maximum aggregate principal amount of Commitments or Loans of such Affected Class offered to be extended by the Borrowers pursuant to such Loan Modification Offer, then the Commitments and Loans of such Lenders shall be extended ratably up to such maximum amount based on the relative principal amounts (but not to exceed actual holdings of record) with respect to which such Lenders have accepted such Loan Modification Offer.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jc w:val="both"/>
        <w:ind w:firstLine="1305"/>
        <w:spacing w:after="0" w:line="284" w:lineRule="auto"/>
        <w:tabs>
          <w:tab w:leader="none" w:pos="200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A Permitted Amendment shall be effected pursuant to a Loan Modification Agreement executed and delivered by the Borrowers, each Accepting Lender and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Permitted Amendment relating to the Revolving Commitments and affecting the rights, duties or privileges of the Issuing Lenders or the Swingline Lender, each Issuing Lender and the Swingline Lender, respectively, shall have approved such Permitted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Permitted Amendment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(A) in the case of the representations and warranties qualified as to materiality or Material Adverse Effect,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Borrowers shall have delivered, or agreed to deliver by a date following the effectiveness of such Permitted Amendment reasonably acceptable to the Administrative Agent, to the Administrative Agent such legal opinions, board resolutions, secretary’s certificates, officer’s certificates and other documents (including reaffirmation agreements, supplements and/or amendments to Mortgages or other Security Documents, in each case to the extent applicable) as shall reasonably be requested by the Administrative Agent in connection therewith and (iv) any applicable Minimum Extension Condition shall be satisfied (unless waived by the Borrowers).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reasonable opinion of the Administrative Agent, to give effect to the provisions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including any amendments necessary to treat the applicable Loans and/or Commitments of the Accepting Lenders as a new Class of loans and/or commitments hereunder (and the Lenders hereby irrevocably authorize the Administrative Agent to enter into any such amendments);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Borrowings, all prepayments of Loans and all reductions of Commitments shall continue to be made on a ratable basis among all Lenders, based on the relative amounts of their Commitments (i.e., both extended and non-extended), until the repayment of the Loans attributable to the non-extended Commitments (and the termination of the non-extended Commitments) on the relevant Maturity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Loan Modification Offer relating to Revolving Commitments or Revolving Loans, the allocation of the participation exposure with respect to Swingline Loans and Letters of Credit as between the commitments extended hereunder and the remaining Revolving Commitments shall be made on a ratable basis as between such extended Commitments (if any) and the remaining Revolving Commitments until the Maturity Date in respect of the non-extended Commitments (it being understood that no reallocation of such exposure to extended Commitments shall occur on such Maturity Date if such reallocation would cause the Revolving Extensions of Credit of any Lender to exceed its extended Commitments);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no time shall there be more than three Classes of revolving Commitments hereunder unless otherwise agreed by the Administrative Agent. The Administrative Agent and the Lenders hereby acknowledge that the minimum borrowing, pro rata borrowing and pro rata payment requirements contained elsewhere in this Agreement are not intended to apply to the transactions effected pursuant to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to the contrary.</w:t>
      </w:r>
    </w:p>
    <w:p>
      <w:pPr>
        <w:spacing w:after="0" w:line="17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2.25 </w:t>
      </w:r>
      <w:r>
        <w:rPr>
          <w:rFonts w:ascii="Arial" w:cs="Arial" w:eastAsia="Arial" w:hAnsi="Arial"/>
          <w:sz w:val="16"/>
          <w:szCs w:val="16"/>
          <w:u w:val="single" w:color="auto"/>
          <w:color w:val="auto"/>
        </w:rPr>
        <w:t>Illegality</w:t>
      </w:r>
      <w:r>
        <w:rPr>
          <w:rFonts w:ascii="Arial" w:cs="Arial" w:eastAsia="Arial" w:hAnsi="Arial"/>
          <w:sz w:val="16"/>
          <w:szCs w:val="16"/>
          <w:color w:val="auto"/>
        </w:rPr>
        <w:t>. (a) If any Lender determines that any Requirement of Law has made it unlawful, or that any Governmental Authority has asserted that it is unlawful, for any Lender or its applicable lending office to perform any of its obligations hereunder or make, maintain or fund or charge interest with respect to any Borrowing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issue, make, maintain, fund or charge interest with respect to any such Borrowing or to make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ind w:firstLine="1305"/>
        <w:spacing w:after="0" w:line="268" w:lineRule="auto"/>
        <w:tabs>
          <w:tab w:leader="none" w:pos="196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in any applicable jurisdiction, the Administrative Agent, any Issuing Lender or any Lender determines that any Law has made it unlawful, or that any Governmental Authority has asserted that it is unlawful, for the Administrative Agent, such Issuing Lender or any Lender to (i) perform any of its obligations hereunder or under any other Loan Document, (ii) to fund or maintain its participation in any Loan or Letter of Credit or (iii) issue, make, maintain, fund or charge interest or fees with respect to any Loan or Letter of Credit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Loan or Letter of Credit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such Issuing Lender,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2.26 </w:t>
      </w:r>
      <w:r>
        <w:rPr>
          <w:rFonts w:ascii="Arial" w:cs="Arial" w:eastAsia="Arial" w:hAnsi="Arial"/>
          <w:sz w:val="18"/>
          <w:szCs w:val="18"/>
          <w:u w:val="single" w:color="auto"/>
          <w:color w:val="auto"/>
        </w:rPr>
        <w:t>Designated Borrowers</w:t>
      </w:r>
      <w:r>
        <w:rPr>
          <w:rFonts w:ascii="Arial" w:cs="Arial" w:eastAsia="Arial" w:hAnsi="Arial"/>
          <w:sz w:val="18"/>
          <w:szCs w:val="18"/>
          <w:color w:val="auto"/>
        </w:rPr>
        <w:t>. (a) Effective as of the date hereof Omni Serv Limited, a company incorporated and registered in England as a private company limited by shares, shall be a “Designated Borrower” hereunder and may receive Revolving Loans for its account on the terms and conditions set forth in this Agreement.</w:t>
      </w:r>
    </w:p>
    <w:p>
      <w:pPr>
        <w:spacing w:after="0" w:line="181" w:lineRule="exact"/>
        <w:rPr>
          <w:sz w:val="20"/>
          <w:szCs w:val="20"/>
          <w:color w:val="auto"/>
        </w:rPr>
      </w:pPr>
    </w:p>
    <w:p>
      <w:pPr>
        <w:jc w:val="both"/>
        <w:ind w:firstLine="1305"/>
        <w:spacing w:after="0" w:line="285" w:lineRule="auto"/>
        <w:tabs>
          <w:tab w:leader="none" w:pos="207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may at any time, upon not less than fifteen (15) Business Days’ notice from the Company to the Administrative Agent (or such shorter period as may be agreed by the Administrative Agent in its sole discretion), request to designate any additional Subsidiary of the Company (an “</w:t>
      </w:r>
      <w:r>
        <w:rPr>
          <w:rFonts w:ascii="Arial" w:cs="Arial" w:eastAsia="Arial" w:hAnsi="Arial"/>
          <w:sz w:val="16"/>
          <w:szCs w:val="16"/>
          <w:u w:val="single" w:color="auto"/>
          <w:color w:val="auto"/>
        </w:rPr>
        <w:t>Applicant Borrower</w:t>
      </w:r>
      <w:r>
        <w:rPr>
          <w:rFonts w:ascii="Arial" w:cs="Arial" w:eastAsia="Arial" w:hAnsi="Arial"/>
          <w:sz w:val="16"/>
          <w:szCs w:val="16"/>
          <w:color w:val="auto"/>
        </w:rPr>
        <w:t xml:space="preserve">”) as a Designated Borrower to receive Revolving Loans hereunder by delivering to the Administrative Agent (which shall promptly deliver counterparts thereof to each Revolving Lender) a duly executed notice and agreement in substantially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Borrower Request and Assumption Agreement</w:t>
      </w:r>
      <w:r>
        <w:rPr>
          <w:rFonts w:ascii="Arial" w:cs="Arial" w:eastAsia="Arial" w:hAnsi="Arial"/>
          <w:sz w:val="16"/>
          <w:szCs w:val="16"/>
          <w:color w:val="auto"/>
        </w:rPr>
        <w:t xml:space="preserve">”). The parties hereto acknowledge and agree that prior to any Applicant Borrower becoming entitled to utilize the credit facilities provided for herein (i) such Applicant Borrower shall be reasonably acceptable to each of the Administrative Agent and the Revolving Lenders, (ii) the Administrative Agent and the Revolving Lenders shall have received all documentation and other information that the Administrative Agent or any such Revolving Lender has requested in order to comply with its obligations under applicable “know your customer” and anti-money laundering rules and regulations and (iii) the Administrative Agent shall have received such supporting resolutions, incumbency certificates, opinions of counsel and other documents or information, in form, content and scope reasonably satisfactory to the Administrative Agent, as may be required by the Administrative Agent or the Majority in Interest of the Revolving Facilities in their sole discretion, and Notes signed by such new Borrowers to the extent any Revolving Lenders so require. If the Administrative Agent and each Revolving Lender agrees that an Applicant Borrower shall be entitled to become a Designated Borrower and receive Revolving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Notice</w:t>
      </w:r>
      <w:r>
        <w:rPr>
          <w:rFonts w:ascii="Arial" w:cs="Arial" w:eastAsia="Arial" w:hAnsi="Arial"/>
          <w:sz w:val="16"/>
          <w:szCs w:val="16"/>
          <w:color w:val="auto"/>
        </w:rPr>
        <w:t xml:space="preserve">”) to the Company and the Revolving Lenders specifying the effective date upon which the Applicant Borrower shall constitute a Designated Borrower for purposes hereof, whereupon each of the Lenders agrees to permit such Designated Borrower to receive Revolving Loans hereunder, on the terms and conditions set forth herein, and each of the parties agrees that such Designated Borrower otherwise shall be a Borrower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Borrowing Request or Application may be submitted by or on behalf of such Designated Borrower until the date five Business Days after such effective date</w:t>
      </w:r>
      <w:r>
        <w:rPr>
          <w:rFonts w:ascii="Arial" w:cs="Arial" w:eastAsia="Arial" w:hAnsi="Arial"/>
          <w:sz w:val="16"/>
          <w:szCs w:val="16"/>
          <w:b w:val="1"/>
          <w:bCs w:val="1"/>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ind w:right="20" w:firstLine="1305"/>
        <w:spacing w:after="0" w:line="277" w:lineRule="auto"/>
        <w:tabs>
          <w:tab w:leader="none" w:pos="218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Obligations of the Company and each Designated Borrower that is a Domestic Subsidiary (other than a CFC Holding Company) shall be joint and several in nature. The Obligations of all other Designated Borrowers shall be several in nature.</w:t>
      </w:r>
    </w:p>
    <w:p>
      <w:pPr>
        <w:spacing w:after="0" w:line="170" w:lineRule="exact"/>
        <w:rPr>
          <w:rFonts w:ascii="Arial" w:cs="Arial" w:eastAsia="Arial" w:hAnsi="Arial"/>
          <w:sz w:val="18"/>
          <w:szCs w:val="18"/>
          <w:color w:val="auto"/>
        </w:rPr>
      </w:pPr>
    </w:p>
    <w:p>
      <w:pPr>
        <w:jc w:val="both"/>
        <w:ind w:firstLine="1305"/>
        <w:spacing w:after="0" w:line="254" w:lineRule="auto"/>
        <w:tabs>
          <w:tab w:leader="none" w:pos="208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Each Subsidiary of the Company that is or becomes a “Designated Borrower” pursuant to this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Revolving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92" w:lineRule="exact"/>
        <w:rPr>
          <w:rFonts w:ascii="Arial" w:cs="Arial" w:eastAsia="Arial" w:hAnsi="Arial"/>
          <w:sz w:val="18"/>
          <w:szCs w:val="18"/>
          <w:color w:val="auto"/>
        </w:rPr>
      </w:pPr>
    </w:p>
    <w:p>
      <w:pPr>
        <w:jc w:val="both"/>
        <w:ind w:firstLine="1305"/>
        <w:spacing w:after="0" w:line="257" w:lineRule="auto"/>
        <w:tabs>
          <w:tab w:leader="none" w:pos="228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8"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2.27</w:t>
      </w:r>
      <w:r>
        <w:rPr>
          <w:sz w:val="20"/>
          <w:szCs w:val="20"/>
          <w:color w:val="auto"/>
        </w:rPr>
        <w:tab/>
      </w:r>
      <w:r>
        <w:rPr>
          <w:rFonts w:ascii="Arial" w:cs="Arial" w:eastAsia="Arial" w:hAnsi="Arial"/>
          <w:sz w:val="16"/>
          <w:szCs w:val="16"/>
          <w:u w:val="single" w:color="auto"/>
          <w:color w:val="auto"/>
        </w:rPr>
        <w:t>Designated Lenders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of the Administrative Agent, the Issuing Lenders, the Swingline Lender and each Lender at its option may make any Loan or Letter of Credit or otherwise perform its obligations hereunder through any Funding Office (each, a “</w:t>
      </w:r>
      <w:r>
        <w:rPr>
          <w:rFonts w:ascii="Arial" w:cs="Arial" w:eastAsia="Arial" w:hAnsi="Arial"/>
          <w:sz w:val="16"/>
          <w:szCs w:val="16"/>
          <w:u w:val="single" w:color="auto"/>
          <w:color w:val="auto"/>
        </w:rPr>
        <w:t>Designated Lender</w:t>
      </w:r>
      <w:r>
        <w:rPr>
          <w:rFonts w:ascii="Arial" w:cs="Arial" w:eastAsia="Arial" w:hAnsi="Arial"/>
          <w:sz w:val="16"/>
          <w:szCs w:val="16"/>
          <w:color w:val="auto"/>
        </w:rPr>
        <w:t>”); provided that any exercise of such option shall not affect the obligation of such Borrower to repay any Loan or Letter of Credit drawing in accordance with the terms of this Agreement. Any Designated Lender shall be considered a Lender; provided that in the case of an Affiliate or branch of a Lender, all provisions applicable to a Lender shall apply to such Affiliate or branch of such Lender to the same extent as such Lender; provided that for the purposes only of voting in connection with any Loan Document, any participation by any Designated Lender in any outstanding Loan or Letter of Credit shall be deemed a participation of such Lender.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and, as applicable, the other Borrowers represent and warrant to the Lenders that: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xml:space="preserve">. The Company and each Subsidiary (a) is duly incorporated, organized, validly existing and, to the extent that such concept is applicable in the relevant jurisdiction, in good standing under the laws of the jurisdiction of its organization, (b) has all requisite power and authority, and the legal right (i) to carry on its business as now conducted and as proposed to be conducted and to own and lease its property and (ii) to execute, deliver and perform its obligations under each Loan Document (with respect to each Loan Party) to which it is a party and to effect the Transactions and (c) is qualified to do business in, and, to the extent that such concept is applicable in the relevant jurisdiction, is in good standing in every jurisdiction where such qualification is required, except, in the case of </w:t>
      </w:r>
      <w:r>
        <w:rPr>
          <w:rFonts w:ascii="Arial" w:cs="Arial" w:eastAsia="Arial" w:hAnsi="Arial"/>
          <w:sz w:val="17"/>
          <w:szCs w:val="17"/>
          <w:u w:val="single" w:color="auto"/>
          <w:color w:val="auto"/>
        </w:rPr>
        <w:t>clauses (b)(i)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where the failure to do so, individually or in the aggregate, would not reasonably be expected to result in a Material Adverse Effect.</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execution, delivery and performance by each Loan Party of each Loan Document to which it is a party, and the consummation by each Loan Party of the Transactions to which it is a party, are within such Loan Party’s powers and has been duly authorized by all necessary corporate or other organizational action. This Agreement has been duly executed and delivered by the Company and the other Borrowers and constitutes, and each other Loan Document to which any Loan Party is to be a party, when executed and delivered by such Loan Party, will constitute, a legal, valid and binding obligation of the Company or such other Loan Party, as applicable,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xml:space="preserve">. The Transactions (a) do not require any consent or approval of, registration or filing with, or any other action by, any Governmental Authority, except (i) as contemplated by the definition of the term “Collateral and Guarantee Requirement,” (ii) such as have been obtained or made and are in full force and effect and (iii) filings necessary to perfect Liens created under the Loan Documents, (b) will not violate any Requirement of Law applicable to the Company or any Subsidiary, (c) will not violate or result (alone or with notice or lapse of time or both) in a default under any indenture or agreement governing any Indebtedness, any material agreement or any other material instrument binding upon the Company or any Subsidiary or their respective assets, or give rise to a right thereunder to require any payment, repurchase or redemption to be made by the Company or any Subsidiary or give rise to a right of, or result in, termination, cancelation or acceleration of any obligation thereunder, except,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 </w:t>
      </w:r>
      <w:r>
        <w:rPr>
          <w:rFonts w:ascii="Arial" w:cs="Arial" w:eastAsia="Arial" w:hAnsi="Arial"/>
          <w:sz w:val="17"/>
          <w:szCs w:val="17"/>
          <w:u w:val="single" w:color="auto"/>
          <w:color w:val="auto"/>
        </w:rPr>
        <w:t>(c)</w:t>
      </w:r>
      <w:r>
        <w:rPr>
          <w:rFonts w:ascii="Arial" w:cs="Arial" w:eastAsia="Arial" w:hAnsi="Arial"/>
          <w:sz w:val="17"/>
          <w:szCs w:val="17"/>
          <w:color w:val="auto"/>
        </w:rPr>
        <w:t>, to the extent any such violations, individually or in the aggregate, would not reasonably be expected to result in a Material Adverse Effect and (d) will not result in the creation or imposition of any Lien on any asset now owned or hereafter acquired by the Company or any Subsidiary, except Liens permitted under the Loan Documents.</w:t>
      </w:r>
    </w:p>
    <w:p>
      <w:pPr>
        <w:spacing w:after="0" w:line="17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xml:space="preserve">. (a) The Company has heretofore furnished to the Lenders (i) (x) the audited consolidated balance sheets of Company and its Subsidiaries on a consolidated basis, and related statements of income, changes in equity and cash flows of the Company and its Subsidiaries on a consolidated basis for the periods ended October 31, 2014, October 31, 2015 and October 31, 2016, audited by and accompanied by the opinion of KPMG, LLP, independent registered public accounting firm, and the related unaudited consolidating financial statements and (y) unaudited consolidated balance sheets and related statements of income, changes in equity and cash flows of the Company for the fiscal quarters ended January 31, 2017 and April 30, 2017 (the financial statements set forth in </w:t>
      </w:r>
      <w:r>
        <w:rPr>
          <w:rFonts w:ascii="Arial" w:cs="Arial" w:eastAsia="Arial" w:hAnsi="Arial"/>
          <w:sz w:val="16"/>
          <w:szCs w:val="16"/>
          <w:u w:val="single" w:color="auto"/>
          <w:color w:val="auto"/>
        </w:rPr>
        <w:t>clauses (a)(i)(x)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the “</w:t>
      </w:r>
      <w:r>
        <w:rPr>
          <w:rFonts w:ascii="Arial" w:cs="Arial" w:eastAsia="Arial" w:hAnsi="Arial"/>
          <w:sz w:val="16"/>
          <w:szCs w:val="16"/>
          <w:u w:val="single" w:color="auto"/>
          <w:color w:val="auto"/>
        </w:rPr>
        <w:t>Company Required Financials</w:t>
      </w:r>
      <w:r>
        <w:rPr>
          <w:rFonts w:ascii="Arial" w:cs="Arial" w:eastAsia="Arial" w:hAnsi="Arial"/>
          <w:sz w:val="16"/>
          <w:szCs w:val="16"/>
          <w:color w:val="auto"/>
        </w:rPr>
        <w:t>”) and</w:t>
      </w:r>
    </w:p>
    <w:p>
      <w:pPr>
        <w:spacing w:after="0" w:line="5" w:lineRule="exact"/>
        <w:rPr>
          <w:sz w:val="20"/>
          <w:szCs w:val="20"/>
          <w:color w:val="auto"/>
        </w:rPr>
      </w:pPr>
    </w:p>
    <w:p>
      <w:pPr>
        <w:jc w:val="both"/>
        <w:ind w:firstLine="8"/>
        <w:spacing w:after="0" w:line="252" w:lineRule="auto"/>
        <w:tabs>
          <w:tab w:leader="none" w:pos="29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(x) audited consolidated balance sheets of GCA and related statements of income, changes in equity and cash flows of GCA for the periods ended December 31, 2014, December 31, 2015 and December 31, 2016 and the related unaudited consolidating financial statements and (y) unaudited consolidated balance sheets and related statements of income, changes in equity and cash flows of GCA for the fiscal quarter ended March 31, 2017 (the financial statements set forth in </w:t>
      </w:r>
      <w:r>
        <w:rPr>
          <w:rFonts w:ascii="Arial" w:cs="Arial" w:eastAsia="Arial" w:hAnsi="Arial"/>
          <w:sz w:val="18"/>
          <w:szCs w:val="18"/>
          <w:u w:val="single" w:color="auto"/>
          <w:color w:val="auto"/>
        </w:rPr>
        <w:t>clauses (a)(ii)(x)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the “</w:t>
      </w:r>
      <w:r>
        <w:rPr>
          <w:rFonts w:ascii="Arial" w:cs="Arial" w:eastAsia="Arial" w:hAnsi="Arial"/>
          <w:sz w:val="18"/>
          <w:szCs w:val="18"/>
          <w:u w:val="single" w:color="auto"/>
          <w:color w:val="auto"/>
        </w:rPr>
        <w:t>GCA Required Financials</w:t>
      </w:r>
      <w:r>
        <w:rPr>
          <w:rFonts w:ascii="Arial" w:cs="Arial" w:eastAsia="Arial" w:hAnsi="Arial"/>
          <w:sz w:val="18"/>
          <w:szCs w:val="18"/>
          <w:color w:val="auto"/>
        </w:rPr>
        <w:t>,” and together with the Company Required Financials, the “</w:t>
      </w:r>
      <w:r>
        <w:rPr>
          <w:rFonts w:ascii="Arial" w:cs="Arial" w:eastAsia="Arial" w:hAnsi="Arial"/>
          <w:sz w:val="18"/>
          <w:szCs w:val="18"/>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Financials</w:t>
      </w:r>
      <w:r>
        <w:rPr>
          <w:rFonts w:ascii="Arial" w:cs="Arial" w:eastAsia="Arial" w:hAnsi="Arial"/>
          <w:sz w:val="18"/>
          <w:szCs w:val="18"/>
          <w:color w:val="auto"/>
        </w:rPr>
        <w:t xml:space="preserve">”). The Required Financials present fairly, in all material respects, the financial position, results of operations and cash flows of the Company and its Subsidiaries, respectively, as of such date and for such period in conformity with GAAP, subject, with respect to any quarterly financial statements, to the absence of footnotes and to normal year-end audit adjustments. Each reference in this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to a “Subsidiary” shall include any Unrestricted Subsidiary.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ind w:left="2100" w:hanging="795"/>
        <w:spacing w:after="0"/>
        <w:tabs>
          <w:tab w:leader="none" w:pos="21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Since October 31, 2016 there has been no event or condition that has resulted, or would reasonably be expected to result, in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Adverse Effect.</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(a) Each of the Company and each Subsidiary has good title to, or valid leasehold interests in, all its real and personal property material to its business (including Mortgaged Properties, if any), except as would not reasonably be expected to have a Material Adverse Effect.</w:t>
      </w:r>
    </w:p>
    <w:p>
      <w:pPr>
        <w:spacing w:after="0" w:line="181" w:lineRule="exact"/>
        <w:rPr>
          <w:sz w:val="20"/>
          <w:szCs w:val="20"/>
          <w:color w:val="auto"/>
        </w:rPr>
      </w:pPr>
    </w:p>
    <w:p>
      <w:pPr>
        <w:jc w:val="both"/>
        <w:ind w:firstLine="1305"/>
        <w:spacing w:after="0" w:line="268" w:lineRule="auto"/>
        <w:tabs>
          <w:tab w:leader="none" w:pos="197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Each of the Company and any applicable Subsidiary owns, or is licensed to use, all Intellectual Property used in the conduct of the business of the Company or such Subsidiary, as applicable, and the use thereof and the conduct of its business by the Company or such Subsidiary does not infringe in any respect upon the rights of any other Person, except in each case for any such infringements that, individually or in the aggregate, would not be reasonably expected to result in a Material Adverse Effect,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representations are made to the knowledge of the Company with respect to infringement of patents owned by third parties. The Company and its Subsidiaries have made all maintenance payments and taken all other actions necessary to maintain in full force and effect all registrations and applications for Intellectual Property owned by the Company and any applicable Subsidiary that are material to the business of the Company or such Subsidiary, as applicable. Each such registration and application is subsisting and, to the knowledge of the Company or such Subsidiary, as applicable, valid and enforceable. No claim, litigation or proceeding is pending or, to the knowledge of the Company or such Subsidiary, as applicable, overtly threatened against the Company or such Subsidiary in which any Person is alleging that the Company or such Subsidiary, as applicable, is infringing, misappropriating, diluting or otherwise violating the Intellectual Property of any Person in any respect, that, individually or in the aggregate, would reasonably be expected to result in a Material Adverse Effect. To the knowledge of the Company or such Subsidiary, no Person is infringing the Intellectual Property owned by the Company or any applicable Subsidiary, except as would not reasonably be expected to result in a Material Adverse Effect.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or proceedings by or before any arbitrator or Governmental Authority pending against or, to the knowledge of the Company or any other Loan Party, overtly threatened in writing against or affecting the Company or any Subsidiary that would reasonably be expected, individually or in the aggregate, to result in a Material Adverse Effect.</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Except with respect to any matters that, individually or in the aggregate, would not reasonably be expected to result in a Material Adverse Effect, (a) there are no actions, suits or proceedings with respect to any Environmental Liability by or before any arbitrator or Governmental Authority pending against or, to the knowledge of any Loan Party, threatened in writing against or affecting the Company or any Subsidiary; and (b) none of the Company or any Subsidiary (i) has violated any Environmental Law or, to the knowledge of any Loan Party, is subject to any Environmental Liability, (ii) has failed to obtain, maintain or comply with any Environmental Permit required for the Company or any Subsidiary to operate as currently operated, or knows of any reason such Environmental Permit may be revoked, not renewed, or adversely modified, (iii) has used, handled, stored or disposed of Hazardous Materials in a manner that would reasonably be expected to result in Environmental Liability, (iv) has received notice of any claim alleging the Company or any Subsidiary is responsible for any Environmental Liability, or (v) knows of any basis for, or is subject to any judgment or consent order pertaining to, any Environmental Liability of the Company or any Subsidiary.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jc w:val="both"/>
        <w:ind w:firstLine="1297"/>
        <w:spacing w:after="0" w:line="264"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Company and each Subsidiary is in compliance with (i) all Requirements of Law and (ii) all indentures, agreements and other instruments binding upon it or its property, except, in each case, where the failure to do so, individually or in the aggregate, would not reasonably be expected to result in a Material Adverse Effect.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Company or any other Loan Party is required to be registered as an “investment company” under the Investment Company Act.</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Taxes</w:t>
      </w:r>
      <w:r>
        <w:rPr>
          <w:rFonts w:ascii="Arial" w:cs="Arial" w:eastAsia="Arial" w:hAnsi="Arial"/>
          <w:sz w:val="17"/>
          <w:szCs w:val="17"/>
          <w:color w:val="auto"/>
        </w:rPr>
        <w:t>. Each of the Company and each Subsidiary (a) has timely filed or caused to be filed all Tax returns and reports required to have been filed by it, except to the extent the failure to do so would not reasonably be expected to result in a Material Adverse Effect and (b) has paid or caused to be paid all Taxes required to have been paid by it, except where (i)(x) the validity or amount thereof is being contested in good faith by appropriate proceedings and (y) the Company or such Subsidiary, as applicable, has set aside on its books adequate reserves with respect thereto to the extent required by GAAP or (ii) the failure to do so could not reasonably be expected to result in a Material Adverse Effect.</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ERISA and Labor Matters</w:t>
      </w:r>
      <w:r>
        <w:rPr>
          <w:rFonts w:ascii="Arial" w:cs="Arial" w:eastAsia="Arial" w:hAnsi="Arial"/>
          <w:sz w:val="18"/>
          <w:szCs w:val="18"/>
          <w:color w:val="auto"/>
        </w:rPr>
        <w:t>. (a) No ERISA Events have occurred or are reasonably expected to occur that would, in the aggregate, reasonably be expected to result in a Material Adverse Effect.</w:t>
      </w:r>
    </w:p>
    <w:p>
      <w:pPr>
        <w:spacing w:after="0" w:line="170" w:lineRule="exact"/>
        <w:rPr>
          <w:sz w:val="20"/>
          <w:szCs w:val="20"/>
          <w:color w:val="auto"/>
        </w:rPr>
      </w:pPr>
    </w:p>
    <w:p>
      <w:pPr>
        <w:jc w:val="both"/>
        <w:ind w:firstLine="1305"/>
        <w:spacing w:after="0" w:line="264" w:lineRule="auto"/>
        <w:tabs>
          <w:tab w:leader="none" w:pos="197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Loan Party is or will be (1) an employee benefit plan subject to Title I of ERISA, (2) a plan or account subject to Section 4975 of the Code; (3) an entity deemed to hold “plan assets” of any such plans or accounts for purposes of ERISA or the Code; or (4) a “governmental plan” within the meaning of ERISA.</w:t>
      </w:r>
    </w:p>
    <w:p>
      <w:pPr>
        <w:spacing w:after="0" w:line="181" w:lineRule="exact"/>
        <w:rPr>
          <w:rFonts w:ascii="Arial" w:cs="Arial" w:eastAsia="Arial" w:hAnsi="Arial"/>
          <w:sz w:val="18"/>
          <w:szCs w:val="18"/>
          <w:color w:val="auto"/>
        </w:rPr>
      </w:pPr>
    </w:p>
    <w:p>
      <w:pPr>
        <w:jc w:val="both"/>
        <w:ind w:firstLine="1305"/>
        <w:spacing w:after="0" w:line="297" w:lineRule="auto"/>
        <w:tabs>
          <w:tab w:leader="none" w:pos="197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in the aggregate, would not reasonably be expected to have a Material Adverse Effect, (i) there are no strikes, lockouts, work stoppages or similar labor disputes against the Company or any Subsidiary pending or, to the knowledge of the Company or any Subsidiary, overtly threatened, (ii) hours worked by and payment made to employees of the Company and the Subsidiaries have not been in violation of the Fair Labor Standards Act or any other applicable Federal, state, local or foreign law dealing with such matters and (iii) all payments due from the Company or any Subsidiary on account of employee health and welfare insurance have been paid or accrued as a liability on the books of the Company or relevant Subsidiary.</w:t>
      </w:r>
    </w:p>
    <w:p>
      <w:pPr>
        <w:spacing w:after="0" w:line="15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sets forth the name and jurisdiction of organization of, and the ownership interest of the Company and each Subsidiary in, each Subsidiary and each class of Equity Interest of each Loan Party and each direct Subsidiary thereof and identifies each Subsidiary that is a Loan Party or an Excluded Subsidiary, in each case as of the Closing Date. The Equity Interests in each Subsidiary have been duly authorized and validly issued and are fully paid and nonassessable, and such Equity Interests are owned by the Company, directly or indirectly, free and clear of all Liens (other than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3.12</w:t>
      </w:r>
      <w:r>
        <w:rPr>
          <w:rFonts w:ascii="Arial" w:cs="Arial" w:eastAsia="Arial" w:hAnsi="Arial"/>
          <w:sz w:val="16"/>
          <w:szCs w:val="16"/>
          <w:color w:val="auto"/>
        </w:rPr>
        <w:t>, as of the Closing Date, there is no existing option, warrant, call, right, commitment or other agreement to which any Subsidiary is a party requiring, and there are no Equity Interests in any Subsidiary outstanding that upon exercise, conversion or exchange would require, the issuance by any Subsidiary of any additional Equity Interests or other securities exercisable for, convertible into, exchangeable for or evidencing the right to subscribe for or purchase any Equity Interests in any Subsidiary.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jc w:val="both"/>
        <w:ind w:firstLine="1297"/>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sets forth a description of all material insurance maintained by or on behalf of the Company and the Subsidiaries as of the Closing Date.</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Solvency</w:t>
      </w:r>
      <w:r>
        <w:rPr>
          <w:rFonts w:ascii="Arial" w:cs="Arial" w:eastAsia="Arial" w:hAnsi="Arial"/>
          <w:sz w:val="16"/>
          <w:szCs w:val="16"/>
          <w:color w:val="auto"/>
        </w:rPr>
        <w:t>. Immediately after giving effect to the Transactions on the Closing Date, the Company and its Subsidiaries (on a consolidated basis) (a) have property with fair value greater than the total amount of their debts and liabilities, contingent (it being understood that the amount of contingent liabilities at any time shall be computed as the amount that, in light of all the facts and circumstances existing at such time, represents the amount that can reasonably be expected to become an actual or matured liability), subordinated or otherwise, (b) have assets with present fair salable value not less than the amount that will be required to pay their liability on their debts as they become absolute and matured, (c) will be able to pay their debts and liabilities, subordinated, contingent or otherwise, as they become absolute and matured and (d) are not engaged in business or a transaction, and are not about to engage in business or a transaction, for which their property would constitute an unreasonably small capital.</w:t>
      </w:r>
    </w:p>
    <w:p>
      <w:pPr>
        <w:spacing w:after="0" w:line="1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No written reports, financial statements, certificates or other written information (taken as a whole) furnished by or on behalf of any Loan Party to any Arranger, the Administrative Agent or any Lender on or prior to the Closing Date in connection with the negotiation of this Agreement or any other Loan Document, included herein or therein or furnished hereunder or thereunder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forecasts and projected financial information, the Company represents only that such information was prepared in good faith based upon assumptions believed by it to be reasonable at the time so prepared and, if such projected financial information was furnished prior to the Closing Date, as of the Closing Date (it being understood and agreed that any such projected financial information may vary from actual results and that such variations may be material).</w:t>
      </w:r>
    </w:p>
    <w:p>
      <w:pPr>
        <w:spacing w:after="0" w:line="17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Collateral Matters</w:t>
      </w:r>
      <w:r>
        <w:rPr>
          <w:rFonts w:ascii="Arial" w:cs="Arial" w:eastAsia="Arial" w:hAnsi="Arial"/>
          <w:sz w:val="16"/>
          <w:szCs w:val="16"/>
          <w:color w:val="auto"/>
        </w:rPr>
        <w:t>. Subject to the Collateral and Guarantee Requirement:</w:t>
      </w:r>
    </w:p>
    <w:p>
      <w:pPr>
        <w:spacing w:after="0" w:line="225" w:lineRule="exact"/>
        <w:rPr>
          <w:sz w:val="20"/>
          <w:szCs w:val="20"/>
          <w:color w:val="auto"/>
        </w:rPr>
      </w:pPr>
    </w:p>
    <w:p>
      <w:pPr>
        <w:jc w:val="both"/>
        <w:ind w:firstLine="1305"/>
        <w:spacing w:after="0" w:line="288" w:lineRule="auto"/>
        <w:tabs>
          <w:tab w:leader="none" w:pos="202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Each Collateral Agreement, upon execution and delivery thereof by the parties thereto, will create in favor of the Administrative Agent, for the benefit of the Secured Parties, under the laws of the jurisdiction governing such Collateral Agreement, a legal, valid and enforceable security interest in the Collateral and (i) when the Collateral (as defined in the Collateral Agreement) constituting certificated securities (as defined in the Uniform Commercial Code) is delivered to the Administrative Agent in the State of New York, together with instruments of transfer duly endorsed in blank, the security interest created under the Collateral Agreement will constitute a fully perfected security interest in all right, title and interest of the pledgors thereunder in such Collateral to the extent such security interest may be perfected by delivery of certificated securities, prior and superior in right to any other Person (other than Permitted Encumbrances that by operation of law or contract would have priority over the Obligations) and (ii) when financing statements in appropriate form are filed in the applicable filing offices, the security interest created under the Collateral Agreement will constitute a fully perfected security interest in all right, title and interest of the pledgors in the remaining Collateral (as defined therein) to the extent perfection can be obtained by filing Uniform Commercial Code financing statements, prior and superior to the rights of any other Person (other than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305"/>
        <w:spacing w:after="0" w:line="255" w:lineRule="auto"/>
        <w:tabs>
          <w:tab w:leader="none" w:pos="196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If and when executed and delivered, each Mortgage, upon execution and delivery thereof by the parties thereto, will create in favor of the Administrative Agent, for the benefit of the Secured Parties, a legal, valid and enforceable lien on, or security interest in, as applicable, all the applicable mortgagor’s right, title and interest in and to the Mortgaged Properties subject thereto and the proceeds thereof, and when the Mortgages have been filed in the jurisdictions specified therein, the Mortgages will constitute a valid first priority lien on, or fully perfected security interest in, as applicable, all right, title and interest of the mortgagors in the Mortgaged Properties and the proceeds thereof, prior and superior in right to any other Person, other than Liens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8" w:name="page149"/>
    <w:bookmarkEnd w:id="148"/>
    <w:p>
      <w:pPr>
        <w:jc w:val="both"/>
        <w:ind w:firstLine="1305"/>
        <w:spacing w:after="0" w:line="291" w:lineRule="auto"/>
        <w:tabs>
          <w:tab w:leader="none" w:pos="201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Upon the recordation of the Collateral Agreement (or an IP Security Agreement in form and substance reasonably satisfactory to the Company and the Administrative Agent) with the United States Patent and Trademark Office or the United States Copyright Office, as applicable, and the filing of the financing statements referred to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the security interest created under the Collateral Agreement will constitute a fully perfected security interest in all right, title and interest of the Loan Parties in the Intellectual Property in which a security interest may be perfected by filing or recording in the United States of America, in each case prior and superior in right to any other Person, other than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(it being understood and agreed that subsequent recordings in the United States Patent and Trademark Office or the United States Copyright Office will be necessary to perfect a security interest in such Intellectual Property applied for, acquired or developed by the applicable Loan Parties after the Closing Date).</w:t>
      </w:r>
    </w:p>
    <w:p>
      <w:pPr>
        <w:spacing w:after="0" w:line="167" w:lineRule="exact"/>
        <w:rPr>
          <w:rFonts w:ascii="Arial" w:cs="Arial" w:eastAsia="Arial" w:hAnsi="Arial"/>
          <w:sz w:val="16"/>
          <w:szCs w:val="16"/>
          <w:color w:val="auto"/>
        </w:rPr>
      </w:pPr>
    </w:p>
    <w:p>
      <w:pPr>
        <w:jc w:val="both"/>
        <w:ind w:firstLine="1305"/>
        <w:spacing w:after="0" w:line="276" w:lineRule="auto"/>
        <w:tabs>
          <w:tab w:leader="none" w:pos="197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Each Security Document, upon execution and delivery thereof by the parties thereto and the making of the filings and registrations with the applicable Governmental Authorities and taking of the other actions provided for therein, will be effective under applicable law to create in favor of the Administrative Agent, for the benefit of the Secured Parties, a legal, valid and enforceable Lien on, and security interest in, the Collateral subject thereto, and will constitute a fully perfected security interest in all right, title and interest of the Loan Parties in the Collateral subject thereto, prior and superior to the rights of any other Person, except for rights secured by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None of the Company or any other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for any purpose that entails a violation (including on the part of any Lender) of any of the regulations of the Board of Governors, including Regulations U and X. Not more than 25% of the value of the assets subject to any restrictions on the sale, pledge or other disposition of assets under this Agreement, any other Loan Document or any other agreement to which any Lender or Affiliate of a Lender is party will at any time be represented by margin stock (within the meaning of Regulation U of the Board of Governors).</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Company has implemented and maintains in effect policies and procedures reasonably designed to promote compliance with Anti-Corruption Laws and applicable Sanctions, and the Company, its Subsidiaries and, to the knowledge of the Company, its directors, officers, employees and agents are in compliance with Anti-Corruption Laws and applicable Sanctions in all material respects. None of (a) the Company, any Subsidiary or, to the knowledge of Company, any of their respective directors, officers or employees or (b) to the knowledge of the Company, any agent of the Company or any Subsidiary that will act in any capacity in connection with or benefit from the credit facility established hereby, is a Sanctioned Person.</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Company and the other Borrowers will use the proceeds of the Term Loans, Revolving Loans, Swingline Loans and the Letters of Credit in compliance with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USA PATRIOT Act</w:t>
      </w:r>
      <w:r>
        <w:rPr>
          <w:rFonts w:ascii="Arial" w:cs="Arial" w:eastAsia="Arial" w:hAnsi="Arial"/>
          <w:sz w:val="18"/>
          <w:szCs w:val="18"/>
          <w:color w:val="auto"/>
        </w:rPr>
        <w:t>. To the extent applicable, the Company and its Subsidiaries are in compliance in all material respects with the USA PATRIOT Act.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ind w:left="1300"/>
        <w:spacing w:after="0"/>
        <w:tabs>
          <w:tab w:leader="none" w:pos="2800" w:val="left"/>
        </w:tabs>
        <w:rPr>
          <w:sz w:val="20"/>
          <w:szCs w:val="20"/>
          <w:color w:val="auto"/>
        </w:rPr>
      </w:pPr>
      <w:r>
        <w:rPr>
          <w:rFonts w:ascii="Arial" w:cs="Arial" w:eastAsia="Arial" w:hAnsi="Arial"/>
          <w:sz w:val="18"/>
          <w:szCs w:val="18"/>
          <w:color w:val="auto"/>
        </w:rPr>
        <w:t>SECTION 3.21</w:t>
      </w:r>
      <w:r>
        <w:rPr>
          <w:sz w:val="20"/>
          <w:szCs w:val="20"/>
          <w:color w:val="auto"/>
        </w:rPr>
        <w:tab/>
      </w:r>
      <w:r>
        <w:rPr>
          <w:rFonts w:ascii="Arial" w:cs="Arial" w:eastAsia="Arial" w:hAnsi="Arial"/>
          <w:sz w:val="16"/>
          <w:szCs w:val="16"/>
          <w:u w:val="single" w:color="auto"/>
          <w:color w:val="auto"/>
        </w:rPr>
        <w:t>Representations as to Foreign Obligors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1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Requirements of Law with respect to its obligations under this Agreement and the other Loan Documents to which it is a party (collectively as to such Foreign Obligor, the “</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9" w:lineRule="exact"/>
        <w:rPr>
          <w:rFonts w:ascii="Arial" w:cs="Arial" w:eastAsia="Arial" w:hAnsi="Arial"/>
          <w:sz w:val="18"/>
          <w:szCs w:val="18"/>
          <w:color w:val="auto"/>
        </w:rPr>
      </w:pPr>
    </w:p>
    <w:p>
      <w:pPr>
        <w:jc w:val="both"/>
        <w:ind w:firstLine="1305"/>
        <w:spacing w:after="0" w:line="290" w:lineRule="auto"/>
        <w:tabs>
          <w:tab w:leader="none" w:pos="202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Applicable Foreign Obligor Documents are in proper legal form under the Requirements of Law of the jurisdiction in which such Foreign Obligor is organized and existing for the enforcement thereof against such Foreign Obligor under the Requirements of Law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66" w:lineRule="exact"/>
        <w:rPr>
          <w:rFonts w:ascii="Arial" w:cs="Arial" w:eastAsia="Arial" w:hAnsi="Arial"/>
          <w:sz w:val="16"/>
          <w:szCs w:val="16"/>
          <w:color w:val="auto"/>
        </w:rPr>
      </w:pPr>
    </w:p>
    <w:p>
      <w:pPr>
        <w:jc w:val="both"/>
        <w:ind w:firstLine="1305"/>
        <w:spacing w:after="0" w:line="279" w:lineRule="auto"/>
        <w:tabs>
          <w:tab w:leader="none" w:pos="194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other than the U.K. in the case of any U.K. Borrower, on any payment to be made by such Foreign Obligor pursuant to the Applicable Foreign Obligor Documents, except, in each case, as has been disclosed to the Administrative Agent.</w:t>
      </w:r>
    </w:p>
    <w:p>
      <w:pPr>
        <w:spacing w:after="0" w:line="171" w:lineRule="exact"/>
        <w:rPr>
          <w:rFonts w:ascii="Arial" w:cs="Arial" w:eastAsia="Arial" w:hAnsi="Arial"/>
          <w:sz w:val="17"/>
          <w:szCs w:val="17"/>
          <w:color w:val="auto"/>
        </w:rPr>
      </w:pPr>
    </w:p>
    <w:p>
      <w:pPr>
        <w:jc w:val="both"/>
        <w:ind w:firstLine="1305"/>
        <w:spacing w:after="0" w:line="279" w:lineRule="auto"/>
        <w:tabs>
          <w:tab w:leader="none" w:pos="207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notification or authorization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be made or obtained as soon as is reasonably practicable).</w:t>
      </w:r>
    </w:p>
    <w:p>
      <w:pPr>
        <w:spacing w:after="0" w:line="171" w:lineRule="exact"/>
        <w:rPr>
          <w:rFonts w:ascii="Arial" w:cs="Arial" w:eastAsia="Arial" w:hAnsi="Arial"/>
          <w:sz w:val="17"/>
          <w:szCs w:val="17"/>
          <w:color w:val="auto"/>
        </w:rPr>
      </w:pPr>
    </w:p>
    <w:p>
      <w:pPr>
        <w:jc w:val="both"/>
        <w:ind w:firstLine="1305"/>
        <w:spacing w:after="0" w:line="312" w:lineRule="auto"/>
        <w:tabs>
          <w:tab w:leader="none" w:pos="19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For the purposes of The Council of the European Union Regulation No. 1346/2000 on Insolvency Proceedings (the “</w:t>
      </w:r>
      <w:r>
        <w:rPr>
          <w:rFonts w:ascii="Arial" w:cs="Arial" w:eastAsia="Arial" w:hAnsi="Arial"/>
          <w:sz w:val="16"/>
          <w:szCs w:val="16"/>
          <w:u w:val="single" w:color="auto"/>
          <w:color w:val="auto"/>
        </w:rPr>
        <w:t>Regulation</w:t>
      </w:r>
      <w:r>
        <w:rPr>
          <w:rFonts w:ascii="Arial" w:cs="Arial" w:eastAsia="Arial" w:hAnsi="Arial"/>
          <w:sz w:val="16"/>
          <w:szCs w:val="16"/>
          <w:color w:val="auto"/>
        </w:rPr>
        <w:t>”), each Loan Party that is subject to the Regulation’s centre of main interest (as that term is used in Article 3(1) of the Regulation) is situated in its jurisdiction of incorporation or establishment and it has no “establishment” (as that term is used in Article 2(h) of the Regulation) in any other jurisdiction.</w:t>
      </w:r>
    </w:p>
    <w:p>
      <w:pPr>
        <w:spacing w:after="0" w:line="14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Regulation H</w:t>
      </w:r>
      <w:r>
        <w:rPr>
          <w:rFonts w:ascii="Arial" w:cs="Arial" w:eastAsia="Arial" w:hAnsi="Arial"/>
          <w:sz w:val="16"/>
          <w:szCs w:val="16"/>
          <w:color w:val="auto"/>
        </w:rPr>
        <w:t>. No Mortgaged Property is a Flood Hazard Property unless the Administrative Agent shall have received (for distribution to the Lenders) the following: (a) the applicable Loan Party’s written acknowledgment of receipt of written notification from the Administrative Agent (i) as to the fact that such Mortgaged Property is a Flood Hazard Property, (ii) as to whether the community in which each such Flood Hazard Property is located is participating in the National Flood Insurance Program and (iii) such other flood hazard determination forms, notices and confirmations thereof as requested by the Administrative Agent and (b) copies of insurance policies or certificates of insurance of the applicable Loan Party evidencing flood insurance as required by the Flood Insurance Regulations or as otherwise required by the Administrative Agent (but at a minimum in amounts and otherwise in compliance with Flood Insurance Regulations) and naming the Administrative Agent as loss payee on behalf of the Lenders. All flood hazard insurance policies required hereunder have been obtained (or will be obtained prior to the delivery of a Mortgage relating to such Mortgaged Property pursuant to the terms of this Agreement) and remain in full force and effect, and the premiums thereon have been paid in full.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ind w:left="1300"/>
        <w:spacing w:after="0"/>
        <w:tabs>
          <w:tab w:leader="none" w:pos="2800" w:val="left"/>
        </w:tabs>
        <w:rPr>
          <w:sz w:val="20"/>
          <w:szCs w:val="20"/>
          <w:color w:val="auto"/>
        </w:rPr>
      </w:pPr>
      <w:r>
        <w:rPr>
          <w:rFonts w:ascii="Arial" w:cs="Arial" w:eastAsia="Arial" w:hAnsi="Arial"/>
          <w:sz w:val="18"/>
          <w:szCs w:val="18"/>
          <w:color w:val="auto"/>
        </w:rPr>
        <w:t>SECTION 3.23</w:t>
      </w:r>
      <w:r>
        <w:rPr>
          <w:sz w:val="20"/>
          <w:szCs w:val="20"/>
          <w:color w:val="auto"/>
        </w:rPr>
        <w:tab/>
      </w:r>
      <w:r>
        <w:rPr>
          <w:rFonts w:ascii="Arial" w:cs="Arial" w:eastAsia="Arial" w:hAnsi="Arial"/>
          <w:sz w:val="16"/>
          <w:szCs w:val="16"/>
          <w:u w:val="single" w:color="auto"/>
          <w:color w:val="auto"/>
        </w:rPr>
        <w:t>EEA Financial Institutions</w:t>
      </w:r>
      <w:r>
        <w:rPr>
          <w:rFonts w:ascii="Arial" w:cs="Arial" w:eastAsia="Arial" w:hAnsi="Arial"/>
          <w:sz w:val="16"/>
          <w:szCs w:val="16"/>
          <w:color w:val="auto"/>
        </w:rPr>
        <w:t>. No Loan Party is an EEA Financial Institution.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Conditions to Closing Date</w:t>
      </w:r>
      <w:r>
        <w:rPr>
          <w:rFonts w:ascii="Arial" w:cs="Arial" w:eastAsia="Arial" w:hAnsi="Arial"/>
          <w:sz w:val="17"/>
          <w:szCs w:val="17"/>
          <w:color w:val="auto"/>
        </w:rPr>
        <w:t xml:space="preserve">. The obligations of each Lender to make any extension of credit hereunder on the Closing Date shall not become effective until the date on which each of the following conditions is satisfied (or waived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147" w:lineRule="exact"/>
        <w:rPr>
          <w:sz w:val="20"/>
          <w:szCs w:val="20"/>
          <w:color w:val="auto"/>
        </w:rPr>
      </w:pPr>
    </w:p>
    <w:p>
      <w:pPr>
        <w:jc w:val="both"/>
        <w:ind w:firstLine="1305"/>
        <w:spacing w:after="0" w:line="264" w:lineRule="auto"/>
        <w:tabs>
          <w:tab w:leader="none" w:pos="19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each Loan Party either (i) a counterpart of this Agreement signed on behalf of such party or (ii) evidence satisfactory to the Administrative Agent (which may include a facsimile or other electronic transmission) that such party has signed a counterpart of this Agreement.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10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Administrative Agent and the Arrangers shall have received at least three (3) Business Days prior to the Closing Date all documentation and other information about the Loan Parties as has been reasonably requested in writing at least ten (10) days prior to the Closing Date by the Administrative Agent or the Arrangers that they reasonably determine is required by regulatory authorities under applicable “know your customer” and anti-money laundering rules and regulations, including the PATRIOT Act.</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20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relating to the organization, existence and good standing of the Company and each other Loan Party, the authorization of the Transactions and other legal matters relating to the Company and each other Loan Party, the Loan Documents or the Transactions (as applicable), substantially in the form attached hereto as (x) in the case of the Designated Borrower as of the Closing Date, </w:t>
      </w:r>
      <w:r>
        <w:rPr>
          <w:rFonts w:ascii="Arial" w:cs="Arial" w:eastAsia="Arial" w:hAnsi="Arial"/>
          <w:sz w:val="17"/>
          <w:szCs w:val="17"/>
          <w:u w:val="single" w:color="auto"/>
          <w:color w:val="auto"/>
        </w:rPr>
        <w:t>Exhibit J-1</w:t>
      </w:r>
      <w:r>
        <w:rPr>
          <w:rFonts w:ascii="Arial" w:cs="Arial" w:eastAsia="Arial" w:hAnsi="Arial"/>
          <w:sz w:val="17"/>
          <w:szCs w:val="17"/>
          <w:color w:val="auto"/>
        </w:rPr>
        <w:t xml:space="preserve">, and (y) in the case of the Company and the other Loan Parties (other than such Designated Borrower), </w:t>
      </w:r>
      <w:r>
        <w:rPr>
          <w:rFonts w:ascii="Arial" w:cs="Arial" w:eastAsia="Arial" w:hAnsi="Arial"/>
          <w:sz w:val="17"/>
          <w:szCs w:val="17"/>
          <w:u w:val="single" w:color="auto"/>
          <w:color w:val="auto"/>
        </w:rPr>
        <w:t>Exhibit J-2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9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Administrative Agent shall have received a customary favorable written opinions (addressed to the Administrative Agent and the Lenders and dated the Closing Date) of Davis Polk &amp; Wardwell LLP, counsel for the Loan Parties, as to matters of New York law and English law, in each case in form and substance reasonably satisfactory to the Administrative Agent.</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94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Administrative Agent and the Arrangers shall have received (including, if requested by the Company, by way of off-set against the proceeds of the Loans) all fees and other reasonable out-of-pocket amounts required to be paid on or prior to the Closing Date, including, to the extent invoiced at least three (3) Business Days prior to the Closing Date (except as otherwise agreed to by the Company), payment or reimbursement of all fees and reasonable out-of-pocket expenses (including the reasonable and documented fees, charges and disbursements of counsel) required to be paid or reimbursed by any Loan Party on or prior to the Closing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1" w:name="page152"/>
    <w:bookmarkEnd w:id="151"/>
    <w:p>
      <w:pPr>
        <w:jc w:val="both"/>
        <w:ind w:left="-20" w:firstLine="1305"/>
        <w:spacing w:after="0" w:line="287" w:lineRule="auto"/>
        <w:tabs>
          <w:tab w:leader="none" w:pos="192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The Collateral and Guarantee Requirement shall have been satisfied and the Administrative Agent shall have received a completed Perfection Certificate, dated the Closing Date and signed by an Authorized Officer of the Company, together with all attachments contemplated thereby, including the IP Security Agreements and the results of a search of the Uniform Commercial Code (or equivalent) filings made with respect to the Loan Parties in the jurisdictions contemplated by the Perfection Certificate and copies of the financing statements (or similar documents) disclosed by such search. Notwithstanding anything to the contrary in this Agreement, to the extent any security interest in any Collateral is not or cannot be provided or perfected on the Closing Date (including the requirement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the definition of “Collateral and Guarantee Requirement”) (other than the pledge and perfection of the security interest in (A) the Equity Interests of any Loan Party’s direct wholly-owned Significant Subsidiaries (to the extent required to be pledged pursuant to the definition of the term “Collateral and Guarantee Requirement”) or (B) other assets pursuant to which a Lien may be perfected by the filing of a financing statement under the Uniform Commercial Code) after the use of commercially reasonable efforts to do so or without undue burden or expense, then the provision or perfection of a security interest in such Collateral shall not constitute a condition precedent to the availability of the Facilities on the Closing Date but instead shall be required to be provided or delivered not later than ninety (90) days after the Closing Date (or such later date as agreed by the Administrative Agent) pursuant to arrangements to be mutually agreed by the Administrative Agent and the Company acting reasonably.</w:t>
      </w:r>
    </w:p>
    <w:p>
      <w:pPr>
        <w:spacing w:after="0" w:line="168" w:lineRule="exact"/>
        <w:rPr>
          <w:rFonts w:ascii="Arial" w:cs="Arial" w:eastAsia="Arial" w:hAnsi="Arial"/>
          <w:sz w:val="16"/>
          <w:szCs w:val="16"/>
          <w:color w:val="auto"/>
        </w:rPr>
      </w:pPr>
    </w:p>
    <w:p>
      <w:pPr>
        <w:ind w:left="-20" w:firstLine="1305"/>
        <w:spacing w:after="0" w:line="277" w:lineRule="auto"/>
        <w:tabs>
          <w:tab w:leader="none" w:pos="20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dated as of the Closing Date, and signed by an Authorized Officer of the Company, certifying that:</w:t>
      </w:r>
    </w:p>
    <w:p>
      <w:pPr>
        <w:spacing w:after="0" w:line="170" w:lineRule="exact"/>
        <w:rPr>
          <w:rFonts w:ascii="Arial" w:cs="Arial" w:eastAsia="Arial" w:hAnsi="Arial"/>
          <w:sz w:val="18"/>
          <w:szCs w:val="18"/>
          <w:color w:val="auto"/>
        </w:rPr>
      </w:pPr>
    </w:p>
    <w:p>
      <w:pPr>
        <w:jc w:val="both"/>
        <w:ind w:left="1600" w:firstLine="9"/>
        <w:spacing w:after="0" w:line="257" w:lineRule="auto"/>
        <w:tabs>
          <w:tab w:leader="none" w:pos="183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the Specified Representations shall be true and correct in all material respects as of the Closing Date (except in the case of any Specified Representation which expressly relates to a given date or period, such representation and warranty shall be true and correct in all material respects as of the respective date or for the respective period,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Specified Representation is qualified by or subject to a “material adverse effect”, “material adverse change” or similar term or qualification, the same shall be true and correct in all respects;</w:t>
      </w:r>
    </w:p>
    <w:p>
      <w:pPr>
        <w:spacing w:after="0" w:line="188" w:lineRule="exact"/>
        <w:rPr>
          <w:rFonts w:ascii="Arial" w:cs="Arial" w:eastAsia="Arial" w:hAnsi="Arial"/>
          <w:sz w:val="18"/>
          <w:szCs w:val="18"/>
          <w:color w:val="auto"/>
        </w:rPr>
      </w:pPr>
    </w:p>
    <w:p>
      <w:pPr>
        <w:ind w:left="1880" w:hanging="271"/>
        <w:spacing w:after="0"/>
        <w:tabs>
          <w:tab w:leader="none" w:pos="18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Specified GCA Acquisition Agreement Representations shall be true and correct as of the Closing Date;</w:t>
      </w:r>
    </w:p>
    <w:p>
      <w:pPr>
        <w:spacing w:after="0" w:line="225" w:lineRule="exact"/>
        <w:rPr>
          <w:rFonts w:ascii="Arial" w:cs="Arial" w:eastAsia="Arial" w:hAnsi="Arial"/>
          <w:sz w:val="18"/>
          <w:szCs w:val="18"/>
          <w:color w:val="auto"/>
        </w:rPr>
      </w:pPr>
    </w:p>
    <w:p>
      <w:pPr>
        <w:ind w:left="1600" w:firstLine="9"/>
        <w:spacing w:after="0" w:line="277" w:lineRule="auto"/>
        <w:tabs>
          <w:tab w:leader="none" w:pos="193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since July 11, 2017, there shall not have been a “Material Adverse Effect” (as defined in the GCA Acquisition Agreement as in effect on July 11, 2017); and</w:t>
      </w:r>
    </w:p>
    <w:p>
      <w:pPr>
        <w:spacing w:after="0" w:line="170" w:lineRule="exact"/>
        <w:rPr>
          <w:rFonts w:ascii="Arial" w:cs="Arial" w:eastAsia="Arial" w:hAnsi="Arial"/>
          <w:sz w:val="18"/>
          <w:szCs w:val="18"/>
          <w:color w:val="auto"/>
        </w:rPr>
      </w:pPr>
    </w:p>
    <w:p>
      <w:pPr>
        <w:jc w:val="both"/>
        <w:ind w:left="1600" w:firstLine="9"/>
        <w:spacing w:after="0" w:line="279" w:lineRule="auto"/>
        <w:tabs>
          <w:tab w:leader="none" w:pos="191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 GCA Acquisition shall have been consummated pursuant to the GCA Acquisition Agreement, substantially concurrently with the initial funding of the Facilities, and no provision thereof shall have been amended or waived, and no consent shall have been given thereunder, in any manner materially adverse to the interests of the Arrangers or the Lenders without the prior written consent of the Arrangers (such consent not to be unreasonably withheld, delayed or conditioned).</w:t>
      </w:r>
    </w:p>
    <w:p>
      <w:pPr>
        <w:spacing w:after="0" w:line="171" w:lineRule="exact"/>
        <w:rPr>
          <w:rFonts w:ascii="Arial" w:cs="Arial" w:eastAsia="Arial" w:hAnsi="Arial"/>
          <w:sz w:val="17"/>
          <w:szCs w:val="17"/>
          <w:color w:val="auto"/>
        </w:rPr>
      </w:pPr>
    </w:p>
    <w:p>
      <w:pPr>
        <w:jc w:val="both"/>
        <w:ind w:left="-20" w:firstLine="1305"/>
        <w:spacing w:after="0" w:line="259" w:lineRule="auto"/>
        <w:tabs>
          <w:tab w:leader="none" w:pos="205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(i) a certificate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dated as of the Closing Date and signed by the chief financial officer or other officer with similar duties (including the corporate vice president of finance) of the Company, as to the solvency of the Company and the Subsidiaries on a consolidated basis after giving effect to the GCA Acquisition and (ii) a duly completed and executed Borrowing Request from the applicable Borrowers.</w:t>
      </w:r>
    </w:p>
    <w:p>
      <w:pPr>
        <w:spacing w:after="0" w:line="186" w:lineRule="exact"/>
        <w:rPr>
          <w:rFonts w:ascii="Arial" w:cs="Arial" w:eastAsia="Arial" w:hAnsi="Arial"/>
          <w:sz w:val="18"/>
          <w:szCs w:val="18"/>
          <w:color w:val="auto"/>
        </w:rPr>
      </w:pPr>
    </w:p>
    <w:p>
      <w:pPr>
        <w:jc w:val="both"/>
        <w:ind w:left="-20" w:firstLine="1305"/>
        <w:spacing w:after="0" w:line="257" w:lineRule="auto"/>
        <w:tabs>
          <w:tab w:leader="none" w:pos="190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Arrangers shall have received (i) the Required Financials and (ii) a pro forma consolidated balance sheet and related pro forma consolidated statement of income of the Company as of and for the twelve month period ending on the last day of the most recently completed four-fiscal quarter period ended at least 75 days prior to the Closing Date (or ninety (90) days in case such four-fiscal quarter period is the end of GCA’s fiscal year), prepared after giving effect to the Transactions as if the Transactions had occurred as of such date (in the case of such balance sheet) or at the beginning of such period (in the case of such statement of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2" w:name="page153"/>
    <w:bookmarkEnd w:id="152"/>
    <w:p>
      <w:pPr>
        <w:jc w:val="both"/>
        <w:ind w:firstLine="1305"/>
        <w:spacing w:after="0" w:line="257" w:lineRule="auto"/>
        <w:tabs>
          <w:tab w:leader="none" w:pos="19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Administrative Agent shall have received a pay-off letter in form and substance reasonably satisfactory to the Administrative Agent in respect of the Existing Credit Agreement, confirming that all Liens upon any of the property of the Loan Parties constituting Collateral will be terminated concurrently with the payment of existing Indebtedness thereunder from the proceeds of the initial Borrowing (and, if applicable, all issued and outstanding letters of credit thereunder shall have been cash collateralized, supported by a Letter of Credit or reevidenced as “Letters of Credit” hereunder issued on the Closing Date).</w:t>
      </w:r>
    </w:p>
    <w:p>
      <w:pPr>
        <w:spacing w:after="0" w:line="188" w:lineRule="exact"/>
        <w:rPr>
          <w:rFonts w:ascii="Arial" w:cs="Arial" w:eastAsia="Arial" w:hAnsi="Arial"/>
          <w:sz w:val="18"/>
          <w:szCs w:val="18"/>
          <w:color w:val="auto"/>
        </w:rPr>
      </w:pPr>
    </w:p>
    <w:p>
      <w:pPr>
        <w:ind w:firstLine="1305"/>
        <w:spacing w:after="0" w:line="277" w:lineRule="auto"/>
        <w:tabs>
          <w:tab w:leader="none" w:pos="200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Administrative Agent shall have received reasonably satisfactory evidence that prior to or substantially concurrently with the Closing Date, the GCA Refinancing shall be consummated.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Administrative Agent shall promptly notify the Lenders of the Closing Date, and such notice shall be conclusive and binding.</w:t>
      </w:r>
    </w:p>
    <w:p>
      <w:pPr>
        <w:spacing w:after="0" w:line="23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Conditions to Each Extension of Credit after the Closing Date</w:t>
      </w:r>
      <w:r>
        <w:rPr>
          <w:rFonts w:ascii="Arial" w:cs="Arial" w:eastAsia="Arial" w:hAnsi="Arial"/>
          <w:sz w:val="17"/>
          <w:szCs w:val="17"/>
          <w:color w:val="auto"/>
        </w:rPr>
        <w:t xml:space="preserve">. The obligation of each Lender to make a Loan on the occasion of any Borrowing (other than the Initial Term Loans and any Revolving Loans made on the Closing Date), and of any Issuing Lender to issue, amend, renew or extend any Letter of Credit (other than any Letter of Credit being issued (or, in the case of any Existing Letter of Credit, deemed to be issued pursuant hereto) on the Closing Date), is subject to the satisfaction of the following conditions (subject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in the case of Incremental Facilities and Refinancing Commitments in connection with Limited Condition Acquisitions):</w:t>
      </w:r>
    </w:p>
    <w:p>
      <w:pPr>
        <w:spacing w:after="0" w:line="173" w:lineRule="exact"/>
        <w:rPr>
          <w:sz w:val="20"/>
          <w:szCs w:val="20"/>
          <w:color w:val="auto"/>
        </w:rPr>
      </w:pPr>
    </w:p>
    <w:p>
      <w:pPr>
        <w:ind w:left="1980" w:hanging="675"/>
        <w:spacing w:after="0"/>
        <w:tabs>
          <w:tab w:leader="none" w:pos="198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any Loan Party in or pursuant to the Loan Documents shall be true and correct</w:t>
      </w:r>
    </w:p>
    <w:p>
      <w:pPr>
        <w:spacing w:after="0" w:line="46" w:lineRule="exact"/>
        <w:rPr>
          <w:rFonts w:ascii="Arial" w:cs="Arial" w:eastAsia="Arial" w:hAnsi="Arial"/>
          <w:sz w:val="16"/>
          <w:szCs w:val="16"/>
          <w:color w:val="auto"/>
        </w:rPr>
      </w:pPr>
    </w:p>
    <w:p>
      <w:pPr>
        <w:jc w:val="both"/>
        <w:ind w:firstLine="8"/>
        <w:spacing w:after="0" w:line="255" w:lineRule="auto"/>
        <w:tabs>
          <w:tab w:leader="none" w:pos="23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the representations and warranties qualified as to materiality or Material Adverse Effect, in all respects and (ii)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w:t>
      </w:r>
    </w:p>
    <w:p>
      <w:pPr>
        <w:spacing w:after="0" w:line="190" w:lineRule="exact"/>
        <w:rPr>
          <w:rFonts w:ascii="Arial" w:cs="Arial" w:eastAsia="Arial" w:hAnsi="Arial"/>
          <w:sz w:val="18"/>
          <w:szCs w:val="18"/>
          <w:color w:val="auto"/>
        </w:rPr>
      </w:pPr>
    </w:p>
    <w:p>
      <w:pPr>
        <w:ind w:firstLine="1305"/>
        <w:spacing w:after="0" w:line="277" w:lineRule="auto"/>
        <w:tabs>
          <w:tab w:leader="none" w:pos="211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 Default or Event of Default has occurred, shall have occurred and be continuing on such date or after giving effect to the extensions of credit requested to be made on such date.</w:t>
      </w:r>
    </w:p>
    <w:p>
      <w:pPr>
        <w:spacing w:after="0" w:line="170" w:lineRule="exact"/>
        <w:rPr>
          <w:rFonts w:ascii="Arial" w:cs="Arial" w:eastAsia="Arial" w:hAnsi="Arial"/>
          <w:sz w:val="18"/>
          <w:szCs w:val="18"/>
          <w:color w:val="auto"/>
        </w:rPr>
      </w:pPr>
    </w:p>
    <w:p>
      <w:pPr>
        <w:ind w:right="20" w:firstLine="1305"/>
        <w:spacing w:after="0" w:line="277" w:lineRule="auto"/>
        <w:tabs>
          <w:tab w:leader="none" w:pos="199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and delivered Borrowing Request or an Application for a Letter of Credit, as the case may be as and when required by the terms hereof.</w:t>
      </w:r>
    </w:p>
    <w:p>
      <w:pPr>
        <w:spacing w:after="0" w:line="170" w:lineRule="exact"/>
        <w:rPr>
          <w:rFonts w:ascii="Arial" w:cs="Arial" w:eastAsia="Arial" w:hAnsi="Arial"/>
          <w:sz w:val="18"/>
          <w:szCs w:val="18"/>
          <w:color w:val="auto"/>
        </w:rPr>
      </w:pPr>
    </w:p>
    <w:p>
      <w:pPr>
        <w:ind w:left="2080" w:hanging="775"/>
        <w:spacing w:after="0"/>
        <w:tabs>
          <w:tab w:leader="none" w:pos="208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In the case of a Revolving Extension of Credit to be denominated in an Alternative Currency, such current remains an Eligible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01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 the case of a Revolving Extension of Credit to a Foreign Borrower, there shall be no impediment (without taking into account any Taxes), restriction, limitation or prohibition imposed under any Requirement of Law or by any Governmental Authority, as to the proposed financing under this Agreement or the repayment thereof or as to rights created under any Loan Document or as to application of the proceeds of the realization of any such rights.</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Each borrowing by and issuance, amendment, renewal or extension of a Letter of Credit on behalf of any Borrower hereunder shall constitute a representation and warranty by the Borrowers as of the date of such extension of credit that the conditions contained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have been satisfied.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Until the Commitments shall have expired or been terminated and the principal of and interest on each Loan and all fees payable hereunder shall have been paid in full (excluding contingent indemnification or other contingent obligation as to which no claim has been asserted, or Letters of Credit that have been backstopped or cash collateralized on terms satisfactory to the applicable Issuing Lender), the Company and, as applicable, the other Borrowers covenant and agree with the Lenders that:</w:t>
      </w:r>
    </w:p>
    <w:p>
      <w:pPr>
        <w:spacing w:after="0" w:line="187"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Company will furnish to the Administrative Agent, on behalf of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Lender (or in the case of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below, conduct):</w:t>
      </w:r>
    </w:p>
    <w:p>
      <w:pPr>
        <w:spacing w:after="0" w:line="211" w:lineRule="exact"/>
        <w:rPr>
          <w:sz w:val="20"/>
          <w:szCs w:val="20"/>
          <w:color w:val="auto"/>
        </w:rPr>
      </w:pPr>
    </w:p>
    <w:p>
      <w:pPr>
        <w:jc w:val="both"/>
        <w:ind w:firstLine="1305"/>
        <w:spacing w:after="0" w:line="269" w:lineRule="auto"/>
        <w:tabs>
          <w:tab w:leader="none" w:pos="205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of the Company (or, for so long as the Company shall be subject to periodic reporting obligations under the Exchange Act, by the date that the Annual Report on Form 20-F of the Company for such fiscal year would be required to be filed under the rules and regulations of the SEC, giving effect to any automatic extension available thereunder for the filing of such forms), its audited consolidated balance sheet and statements of income, comprehensive income, shareholders’ equity and cash flows as of the end of and for such fiscal year, setting forth in each case in comparative form the figures for the previous fiscal year, all reported on by KPMG LLP or another independent registered public accounting firm of recognized national standing (without a “going concern” or like qualification or exception and without any qualification or exception as to the scope of such audit (other than any such exception, explanatory paragraph or qualification that is expressly solely with respect to, or expressly resulting solely from, an upcoming maturity date of the credit facilities hereunder occurring within one year from the time such report is delivered)) to the effect that such financial statements present fairly in all material respects the financial condition, results of operations and cash flow of the Company and its Subsidiaries (including Unrestricted Subsidiaries) on a consolidated basis as of the end of and for such fiscal year in accordance with GAAP and accompanied by a narrative report containing management’s discussion and analysis of the financial position and financial performance for such fiscal year in reasonable form and detail;</w:t>
      </w:r>
    </w:p>
    <w:p>
      <w:pPr>
        <w:spacing w:after="0" w:line="179" w:lineRule="exact"/>
        <w:rPr>
          <w:rFonts w:ascii="Arial" w:cs="Arial" w:eastAsia="Arial" w:hAnsi="Arial"/>
          <w:sz w:val="17"/>
          <w:szCs w:val="17"/>
          <w:color w:val="auto"/>
        </w:rPr>
      </w:pPr>
    </w:p>
    <w:p>
      <w:pPr>
        <w:jc w:val="both"/>
        <w:ind w:firstLine="1305"/>
        <w:spacing w:after="0" w:line="254" w:lineRule="auto"/>
        <w:tabs>
          <w:tab w:leader="none" w:pos="194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within 60 days after the end of each of the first three fiscal quarters of each fiscal year of the Company, its unaudited consolidated balance sheet and unaudited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results of operations and cash flows of the Company and its Subsidiaries (including Unrestricted Subsidiaries) on a consolidated basis as of the end of and for such fiscal quarter and such portion of the fiscal year in accordance with GAAP, subject to normal year-end audit adjustments and the absence of certain footnotes, and accompanied by a narrative report containing management’s discussion and analysis of the financial position and financial performance for such fiscal quarter in reasonable form and detail;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4" w:name="page155"/>
    <w:bookmarkEnd w:id="154"/>
    <w:p>
      <w:pPr>
        <w:jc w:val="both"/>
        <w:ind w:firstLine="1305"/>
        <w:spacing w:after="0" w:line="269" w:lineRule="auto"/>
        <w:tabs>
          <w:tab w:leader="none" w:pos="194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if any Subsidiary has been designated as an Unrestricted Subsidiary, concurrently with each delivery of financial statements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financial statements (in substantially the same form as the financial statements delivered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prepared on the basis of consolidating the accounts of the Company and its Subsidiaries and treating any Unrestricted Subsidiaries as if they were not consolidated with the Company or accounted for on the basis of the equity method but rather account for an investment and otherwise eliminating all accounts of Unrestricted Subsidiaries, together with an explanation of reconciliation adjustments in reasonable detail;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financial statements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shall not be required to be delivered so long as the combined aggregate amount of Total Assets as of the last day of any fiscal quarter for which financial statements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5.01(b)</w:t>
      </w:r>
      <w:r>
        <w:rPr>
          <w:rFonts w:ascii="Arial" w:cs="Arial" w:eastAsia="Arial" w:hAnsi="Arial"/>
          <w:sz w:val="17"/>
          <w:szCs w:val="17"/>
          <w:color w:val="auto"/>
        </w:rPr>
        <w:t xml:space="preserve"> or combined aggregate amount of gross revenues (net of payroll, taxes, benefits and other deductions permitted under GAAP) for the Test Period most recently ended in each case of all Unrestricted Subsidiaries but excluding intercompany assets and revenues does not exceed 10% of the Total Assets of the Company and its Subsidiaries (including Unrestricted Subsidiaries) or 10.0% of the combined aggregate amount of such gross revenues of the Company and its Subsidiaries (including Unrestricted Subsidiaries), in each case, excluding intercompany assets and revenues for the Test Period most recently ended;</w:t>
      </w:r>
    </w:p>
    <w:p>
      <w:pPr>
        <w:spacing w:after="0" w:line="182" w:lineRule="exact"/>
        <w:rPr>
          <w:rFonts w:ascii="Arial" w:cs="Arial" w:eastAsia="Arial" w:hAnsi="Arial"/>
          <w:sz w:val="17"/>
          <w:szCs w:val="17"/>
          <w:color w:val="auto"/>
        </w:rPr>
      </w:pPr>
    </w:p>
    <w:p>
      <w:pPr>
        <w:jc w:val="both"/>
        <w:ind w:firstLine="1305"/>
        <w:spacing w:after="0" w:line="287" w:lineRule="auto"/>
        <w:tabs>
          <w:tab w:leader="none" w:pos="197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not later than the date of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 completed Compliance Certificate of an Authorized Officer of the Company (i) certifying as to whether a Default has occurred and, if a Default has occurred, specifying the details thereof and any action taken or proposed to be taken with respect thereto, (ii) demonstrating compliance with the financial maintenance covenant contained in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by calculation thereof as of the end of the fiscal period covered by such financial statements, (iii) in the case of the Compliance Certificate relating to annual financial statements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identifying as of the date of such Compliance Certificate each Subsidiary that (A) is a Loan Party as of such date but has not been identified as a Loan Party in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or in any prior Compliance Certificate or (B) has previously been identified as a Loan Party but has ceased to be a Loan Party as a result of its status as an Excluded Subsidiary and (iv) if any change in GAAP or in the application thereof has occurred since the date of the consolidated balance sheet of the Company most recently theretofore delivered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(or, prior to the first such delivery,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that is required to be disclosed in the financial statements that are delivered concurrently with such Compliance Certificate, stating the occurrence of such change in GAAP or in the application thereof; provided that the requirement in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may be satisfied by referencing in the Compliance Certificate the specific notes to the financial statements containing such disclosure;</w:t>
      </w:r>
    </w:p>
    <w:p>
      <w:pPr>
        <w:spacing w:after="0" w:line="172" w:lineRule="exact"/>
        <w:rPr>
          <w:rFonts w:ascii="Arial" w:cs="Arial" w:eastAsia="Arial" w:hAnsi="Arial"/>
          <w:sz w:val="16"/>
          <w:szCs w:val="16"/>
          <w:color w:val="auto"/>
        </w:rPr>
      </w:pPr>
    </w:p>
    <w:p>
      <w:pPr>
        <w:jc w:val="both"/>
        <w:ind w:firstLine="1305"/>
        <w:spacing w:after="0" w:line="264" w:lineRule="auto"/>
        <w:tabs>
          <w:tab w:leader="none" w:pos="198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Company or any Subsidiary with the SEC or with any national securities exchange, or distributed by the Company to its shareholders generally, as the case may be; and</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13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assets, liabilities (including contingent liabilities) and financial condition of the Company or any Subsidiary, or compliance with the terms of this Agreement or any other Loan Document, as the Administrative Agent or any Lender (acting through the Administrative Agent) may reasonably request.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 none of the Company or any of its Subsidiaries will be required to disclose any document, information or other matter that (i) constitutes non-financial trade secrets or non-financial proprietary information, (ii) in respect of which disclosure to the Administrative Agent or any Lender (or their respective representative or contractors) is prohibited or restricted by Requirements of Law or any binding agreement with a third party not entered into in contemplation hereof, (iii) is subject to attorney-client or similar privilege or constitutes attorney work product or (iv) constitutes classified information and (b) all such material that is so disclosed will be subject to </w:t>
      </w:r>
      <w:r>
        <w:rPr>
          <w:rFonts w:ascii="Arial" w:cs="Arial" w:eastAsia="Arial" w:hAnsi="Arial"/>
          <w:sz w:val="16"/>
          <w:szCs w:val="16"/>
          <w:u w:val="single" w:color="auto"/>
          <w:color w:val="auto"/>
        </w:rPr>
        <w:t>Sections 9.12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9.17</w:t>
      </w:r>
      <w:r>
        <w:rPr>
          <w:rFonts w:ascii="Arial" w:cs="Arial" w:eastAsia="Arial" w:hAnsi="Arial"/>
          <w:sz w:val="16"/>
          <w:szCs w:val="16"/>
          <w:color w:val="auto"/>
        </w:rPr>
        <w:t>.</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Information required to be furnished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shall be deemed to have been furnished if such information, or one or more annual or quarterly reports containing such information, shall have been posted by the Administrative Agent on a Platform to which the Lenders have been granted access or shall be available on the website of the SEC at http://www.sec.gov or the website of the Company. Information required to be furnished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may also be furnished by electronic communications pursuant to procedures approved by the Administrative Agent.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ind w:firstLine="1297"/>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Within five Business Days after obtaining knowledge thereof, the Company will furnish to the Administrative Agent notice of the following:</w:t>
      </w:r>
    </w:p>
    <w:p>
      <w:pPr>
        <w:spacing w:after="0" w:line="170" w:lineRule="exact"/>
        <w:rPr>
          <w:sz w:val="20"/>
          <w:szCs w:val="20"/>
          <w:color w:val="auto"/>
        </w:rPr>
      </w:pPr>
    </w:p>
    <w:p>
      <w:pPr>
        <w:ind w:left="2040" w:hanging="735"/>
        <w:spacing w:after="0"/>
        <w:tabs>
          <w:tab w:leader="none" w:pos="20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occurrence of any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giving such notice shall not shorten any grace period that applies to such Default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0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(including with respect to any Environmental Liability) against the Company or any Subsidiary or any adverse development in any such pending action, suit or proceeding not previously disclosed in writing by the Company to the Administrative Agent, that in each case would reasonably be expected to result in a Material Adverse Effect;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96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occurrence of any ERISA Event or any fact or circumstance that gives rise to a reasonable expectation that any ERISA Event will occur that, in either case, alone or together with any other ERISA Events that have occurred or are reasonably expected to occur, would reasonably be expected to result in a Material Adverse Effect;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6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material change in accounting policies or financial reporting practices of the Company or any Subsidiary (it being understood and agreed that such notice shall be deemed provided to the extent described in any financial statement delivered to the Administrative Agent pursuant to the terms of this Agreement); and</w:t>
      </w:r>
    </w:p>
    <w:p>
      <w:pPr>
        <w:spacing w:after="0" w:line="181" w:lineRule="exact"/>
        <w:rPr>
          <w:rFonts w:ascii="Arial" w:cs="Arial" w:eastAsia="Arial" w:hAnsi="Arial"/>
          <w:sz w:val="18"/>
          <w:szCs w:val="18"/>
          <w:color w:val="auto"/>
        </w:rPr>
      </w:pPr>
    </w:p>
    <w:p>
      <w:pPr>
        <w:ind w:left="1900" w:hanging="595"/>
        <w:spacing w:after="0"/>
        <w:tabs>
          <w:tab w:leader="none" w:pos="1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other development that has resulted, or would reasonably be expected to result, in a Material Adverse Effect.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Each notice delivered under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4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Information Regarding Collateral</w:t>
      </w:r>
      <w:r>
        <w:rPr>
          <w:rFonts w:ascii="Arial" w:cs="Arial" w:eastAsia="Arial" w:hAnsi="Arial"/>
          <w:sz w:val="17"/>
          <w:szCs w:val="17"/>
          <w:color w:val="auto"/>
        </w:rPr>
        <w:t>. (a) The Company will furnish to the Administrative Agent prompt written notice (which shall in any event be provided by the earlier of (x) 30 days after such change and (y) 10 days prior to the date on which the perfection of the Liens under the Collateral Agreements would (absent additional filings or other actions) lapse, in whole or in part, by reason of such change) of: (i) any change in any Loan Party’s legal name, as set forth in such Loan Party’s Organizational Documents, (ii) any change in the jurisdiction of incorporation or organization of any Loan Party, (iii) any change in the form of organization of any Loan Party and (iv) any change in any Loan Party’s organizational identification number or Federal Taxpayer Identification Number, if such Loan Party is organized under the laws of a jurisdiction that requires a Loan Party’s organizational identification number or Federal Taxpayer Identification Number to be set forth on the face of a Uniform Commercial Code financing statement. Upon request, the Company agrees to deliver all executed or authenticated financing statements and other filings under the Uniform Commercial Code (or analogous law in a non-U.S. jurisdiction) or otherwise that are required in order for the Administrative Agent to continue to have a valid, legal and perfected security interest in all the Collateral following any such change.</w:t>
      </w:r>
    </w:p>
    <w:p>
      <w:pPr>
        <w:spacing w:after="0" w:line="178" w:lineRule="exact"/>
        <w:rPr>
          <w:sz w:val="20"/>
          <w:szCs w:val="20"/>
          <w:color w:val="auto"/>
        </w:rPr>
      </w:pPr>
    </w:p>
    <w:p>
      <w:pPr>
        <w:jc w:val="both"/>
        <w:ind w:firstLine="1305"/>
        <w:spacing w:after="0" w:line="272" w:lineRule="auto"/>
        <w:tabs>
          <w:tab w:leader="none" w:pos="191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At the time of delivery of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the Company shall deliver to the Administrative Agent a completed Supplemental Perfection Certificate, signed by a Financial Officer of the Company, (i) setting forth the information required pursuant to the Supplemental Perfection Certificate and indicating, in a manner reasonably satisfactory to the Administrative Agent, any changes in such information from the most recent Supplemental Perfection Certificate delivered pursuant to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(or, prior to the first delivery of a Supplemental Perfection Certificate, from the Perfection Certificate delivered on the Closing Date) or (ii) certifying that there has been no change in such information from the most recent Supplemental Perfection Certificate delivered pursuant to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(or, prior to the first delivery of a Supplemental Perfection Certificate, from the Perfection Certificate delivered on the Closing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jc w:val="both"/>
        <w:ind w:firstLine="1297"/>
        <w:spacing w:after="0" w:line="297"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Company and each Subsidiary will do or cause to be done all things necessary to preserve, renew and keep in full force and effect (i) its legal existence and (ii) the rights, licenses, permits, privileges, franchises, and Intellectual Property material to the conduct of its business, in each case with respect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(other than the preservation of the existence of the Borrowers) and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the extent that the failure to do any of the foregoing would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transaction permitted under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including any merger, consolidation, liquidation or dissolution permitted under </w:t>
      </w:r>
      <w:r>
        <w:rPr>
          <w:rFonts w:ascii="Arial" w:cs="Arial" w:eastAsia="Arial" w:hAnsi="Arial"/>
          <w:sz w:val="16"/>
          <w:szCs w:val="16"/>
          <w:u w:val="single" w:color="auto"/>
          <w:color w:val="auto"/>
        </w:rPr>
        <w:t>Section 6.03</w:t>
      </w:r>
      <w:r>
        <w:rPr>
          <w:rFonts w:ascii="Arial" w:cs="Arial" w:eastAsia="Arial" w:hAnsi="Arial"/>
          <w:sz w:val="16"/>
          <w:szCs w:val="16"/>
          <w:color w:val="auto"/>
        </w:rPr>
        <w:t>.</w:t>
      </w:r>
    </w:p>
    <w:p>
      <w:pPr>
        <w:spacing w:after="0" w:line="15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Payment of Taxes</w:t>
      </w:r>
      <w:r>
        <w:rPr>
          <w:rFonts w:ascii="Arial" w:cs="Arial" w:eastAsia="Arial" w:hAnsi="Arial"/>
          <w:sz w:val="18"/>
          <w:szCs w:val="18"/>
          <w:color w:val="auto"/>
        </w:rPr>
        <w:t>. Each of the Company and each Subsidiary will pay its Tax liabilities, before the same shall become delinquent or in default, except where (a)(i) the validity or amount thereof is being contested in good faith by appropriate proceedings and (ii) the Company or such Subsidiary has set aside on its books adequate reserves with respect thereto to the extent required by GAAP or (b) the failure to make payment would not reasonably be expected to result in a Material Adverse Effect.</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Each of the Company and each Subsidiary will keep and maintain all property material to the conduct of its business in good working order and condition, ordinary wear and tear and casualty and condemnation excepted, in each case except where the failure to so keep and maintain would not reasonably be expected to result, individually or in the aggregate, in a Material Adverse Effect.</w:t>
      </w:r>
    </w:p>
    <w:p>
      <w:pPr>
        <w:spacing w:after="0" w:line="1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Insurance</w:t>
      </w:r>
      <w:r>
        <w:rPr>
          <w:rFonts w:ascii="Arial" w:cs="Arial" w:eastAsia="Arial" w:hAnsi="Arial"/>
          <w:sz w:val="16"/>
          <w:szCs w:val="16"/>
          <w:color w:val="auto"/>
        </w:rPr>
        <w:t>. Each of the Company and each Subsidiary will maintain, with financially sound and reputable insurance companies (including any Captive Insurance Company), as determined by the Company in good faith, insurance in such amounts (with no greater risk retention) and against such risks as are customarily maintained by companies engaged in the same or similar businesses operating in the same or similar locations. From and after the date that is 90 days after the Closing Date (or such later date as the Administrative Agent agrees to in writing), each such policy of liability or property insurance maintained by or on behalf of Loan Parties shall (a) in the case of each liability insurance policy (other than workers’ compensation, director and officer liability, errors and omissions liability (to the extent endorsement of such policy is not permitted) or other policies in which such endorsements are not customary), name the Administrative Agent, on behalf of the Secured Parties, as an additional insured thereunder, and (b) in the case of each property insurance policy, contain a customary lender’s loss payable or mortgagee clause or endorsement that names the Administrative Agent, on behalf of the Secured Parties, as the lender’s loss payee or mortgagee thereunder. With respect to each Mortgaged Property that is located in an area determined by the Federal Emergency Management Agency to have special flood hazards, the applicable Loan Party has obtained, and will maintain, with financially sound and reputable insurance companies, such flood insurance in form, substance and amount required under applicable law, including the Flood Insurance Regulations or as otherwise required by the Administrative Agent (but at a minimum in amounts and otherwise in compliance with Flood Insurance Regulations) and provide evidence in form and substance satisfactory to Administrative Agent of such flood insurance. Notwithstanding the foregoing, if the Administrative Agent receives any payment under any insurance policy of the Company or of any Subsidiary, or otherwise receives any amount in respect of any casualty or condemnation event with respect to any property of the Company or any Subsidiary, in each case at a time when no Event of Default has occurred and is continuing, the Administrative Agent shall promptly remit such amount to an account specified by the Company.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jc w:val="both"/>
        <w:ind w:firstLine="1297"/>
        <w:spacing w:after="0" w:line="270"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 xml:space="preserve">. The Company will, and will cause each Subsidiary to, keep proper books of record and account in which full, true and correct entries in conformity with GAAP and in material conformity with all Requirements of Law are made of all dealings and transactions in relation to its business and activities. The Company will, and will cause each Subsidiary to, permit any representatives designated by the Administrative Agent or any Lender (in the case of such Lender, coordinated through the Administrative Agent), upon reasonable prior notice, to visit and inspect its properties, to examine and make extracts from its books and records, and, subject to </w:t>
      </w:r>
      <w:r>
        <w:rPr>
          <w:rFonts w:ascii="Arial" w:cs="Arial" w:eastAsia="Arial" w:hAnsi="Arial"/>
          <w:sz w:val="17"/>
          <w:szCs w:val="17"/>
          <w:u w:val="single" w:color="auto"/>
          <w:color w:val="auto"/>
        </w:rPr>
        <w:t>Sections 9.12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9.17</w:t>
      </w:r>
      <w:r>
        <w:rPr>
          <w:rFonts w:ascii="Arial" w:cs="Arial" w:eastAsia="Arial" w:hAnsi="Arial"/>
          <w:sz w:val="17"/>
          <w:szCs w:val="17"/>
          <w:color w:val="auto"/>
        </w:rPr>
        <w:t xml:space="preserve">, to discuss its affairs, finances and condition with its officers and independent accountants, all at such reasonable times during regular business hours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excluding any such visits and inspections during the continuation of an Event of Default, (i) only the Administrative Agent, acting individually or on behalf of the Lenders, may exercise rights under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and (ii) the Administrative Agent shall not exercise the rights under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more often than one time during any calendar year.</w:t>
      </w:r>
    </w:p>
    <w:p>
      <w:pPr>
        <w:spacing w:after="0" w:line="18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 Each of the Company and each Subsidiary will comply with all Requirements of Law with respect to it or its assets, except where the failure to do so, individually or in the aggregate, would not reasonably be expected to result in a Material Adverse Effect.</w:t>
      </w:r>
    </w:p>
    <w:p>
      <w:pPr>
        <w:spacing w:after="0" w:line="181" w:lineRule="exact"/>
        <w:rPr>
          <w:sz w:val="20"/>
          <w:szCs w:val="20"/>
          <w:color w:val="auto"/>
        </w:rPr>
      </w:pPr>
    </w:p>
    <w:p>
      <w:pPr>
        <w:ind w:firstLine="1305"/>
        <w:spacing w:after="0" w:line="277" w:lineRule="auto"/>
        <w:tabs>
          <w:tab w:leader="none" w:pos="20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will maintain in effect policies and procedures reasonably designed to promote compliance with Anti-Corruption Laws and applicable Sanctions.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of the Company and each Subsidiary will comply with all minimum funding requirements and all other material requirements of ERISA, if applicable, so as not to give rise to any liability thereunder, except to the extent a failure to do so would not reasonably be expected to result in a Material Adverse Effect.</w:t>
      </w:r>
    </w:p>
    <w:p>
      <w:pPr>
        <w:spacing w:after="0" w:line="181" w:lineRule="exact"/>
        <w:rPr>
          <w:rFonts w:ascii="Arial" w:cs="Arial" w:eastAsia="Arial" w:hAnsi="Arial"/>
          <w:sz w:val="18"/>
          <w:szCs w:val="18"/>
          <w:color w:val="auto"/>
        </w:rPr>
      </w:pPr>
    </w:p>
    <w:p>
      <w:pPr>
        <w:ind w:firstLine="1305"/>
        <w:spacing w:after="0" w:line="277" w:lineRule="auto"/>
        <w:tabs>
          <w:tab w:leader="none" w:pos="19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Loan Party whose jurisdiction of incorporation is in a member state of the European Union shall maintain its “centre of main interests” (as that term is used in the Regulation) in its jurisdiction of incorporation.</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Initial Term Loans made on the Closing Date will be used, together with common stock of the Company, solely to pay Transaction Costs. The proceeds of the Incremental Term Loans will be used solely for the purpose or purposes set forth in the applicable Incremental Facility Amendment. The Letters of Credit and proceeds of Revolving Loans and Swingline Loans will be used by the Company and the other Borrowers for working capital and other general corporate purposes or for any other purpose not prohibited by this Agreement, including capital expenditures and the financing of Permitted Acquisitions and other Permitted Investments. No Borrower will request any Borrowing or Letter of Credit, and the Company shall not use and shall not permit its Subsidiaries or its or their respective directors, officers, employees and agents to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Person required to comply with Sanctions, or (C) in any manner that would result in the violation of any Sanctions applicable to any party hereto.</w:t>
      </w:r>
    </w:p>
    <w:p>
      <w:pPr>
        <w:spacing w:after="0" w:line="183"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Additional Subsidiaries</w:t>
      </w:r>
      <w:r>
        <w:rPr>
          <w:rFonts w:ascii="Arial" w:cs="Arial" w:eastAsia="Arial" w:hAnsi="Arial"/>
          <w:sz w:val="16"/>
          <w:szCs w:val="16"/>
          <w:color w:val="auto"/>
        </w:rPr>
        <w:t>. If any additional Subsidiary (other than an Excluded Subsidiary if the Equity Interests in such Excluded Subsidiary and any Indebtedness of such Excluded Subsidiary are, in each case, excluded from the Collateral and Guarantee Requirement) is formed or acquired or any existing Subsidiary ceases to be an Excluded Subsidiary after the Closing Date, then the Company will, as promptly as practicable and, in any event, within sixty (60) days (or such longer period as the Administrative Agent may, in its sole discretion, agree to in writing) after such Subsidiary is formed or acquired or ceases to be an Excluded Subsidiary, notify the Administrative Agent thereof and (a) with respect to any such Subsidiary (other than an Excluded Subsidiary), cause such Subsidiary to satisfy the Collateral and Guarantee Requirement, to the extent applicable and (b) cause each Loan Party to satisfy the Collateral and Guarantee Requirement with respect to any Equity Interest in or Indebtedness of such Subsidiary owned by such Loan Party. Notwithstanding the foregoing no Receivables Entity shall be required to satisfy the Collateral and Guarantee Requirement.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p>
      <w:pPr>
        <w:jc w:val="both"/>
        <w:ind w:firstLine="1297"/>
        <w:spacing w:after="0" w:line="271"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Company and each other Loan Party will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may reasonably request, to cause the Collateral and Guarantee Requirement to be satisfied, all at the expense of the Loan Parties. The Company also agrees to provide to the Administrative Agent (i) from time to time upon request, evidence reasonably satisfactory to the Administrative Agent as to the perfection and priority of the Liens created or intended to be created by the Security Documents and (ii) promptly after reasonable request therefor, all documentation and other information reasonably requested by the Administrative Agent or any Lender that is required to satisfy applicable “know your borrower” and anti-money laundering rules and regulations, including the USA PATRIOT Act and the Prohibition on Money Laundering Law.</w:t>
      </w:r>
    </w:p>
    <w:p>
      <w:pPr>
        <w:spacing w:after="0" w:line="17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After-Acquired Real Property</w:t>
      </w:r>
      <w:r>
        <w:rPr>
          <w:rFonts w:ascii="Arial" w:cs="Arial" w:eastAsia="Arial" w:hAnsi="Arial"/>
          <w:sz w:val="17"/>
          <w:szCs w:val="17"/>
          <w:color w:val="auto"/>
        </w:rPr>
        <w:t xml:space="preserve">. Within ninety (90) days after the acquisition of any Material Real Property by a Loan Party (or such later date as the Administrative Agent may agree in its sole discretion) such Loan Party shall deliver to the Administrative Agent (for distribution to the Lenders) a Mortgage on such Material Real Property and shall cause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Collateral and Guarantee Requirement to be satisfied with respect thereto. Notwithstanding the foregoing, none of the Loan Parties shall deliver an executed counterpart to any Mortgage for any real property prior to the date on which the Administrative Agent shall have notified the Company in writing that the Administrative Agent has completed flood insurance due diligence and flood insurance compliance with respect to such real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Loan Party shall not be in default under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for failure to (i) deliver a Mortgage and/or (ii) cause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the Collateral and Guarantee Requirement to be satisfied within such 90-day period if such failure is due to the lack of receipt of the aforementioned written notification from the Administrative Agent. Notwithstanding anything contained in this Agreement to the contrary, no Mortgage shall be executed and delivered by a Loan Party in accordance with the terms of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unless and until each Lender has received at least twenty (20) days prior notice thereof from the Administrative Agent, together with (at least twenty (20) days in advance of such execution and delivery) the documents described in </w:t>
      </w:r>
      <w:r>
        <w:rPr>
          <w:rFonts w:ascii="Arial" w:cs="Arial" w:eastAsia="Arial" w:hAnsi="Arial"/>
          <w:sz w:val="17"/>
          <w:szCs w:val="17"/>
          <w:u w:val="single" w:color="auto"/>
          <w:color w:val="auto"/>
        </w:rPr>
        <w:t>subclauses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“Collateral and Guarantee Requirement”;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Loan Party shall not be in default under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for failure to deliver a Mortgage within such ninety (90) day period if such failure is due to the Administrative Agent’s failure to deliver twenty (20) days’ prior notice to each Lender and such accompanying documents as required hereunder.</w:t>
      </w:r>
    </w:p>
    <w:p>
      <w:pPr>
        <w:spacing w:after="0" w:line="18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xml:space="preserve">. (a) Each of the Company and each Subsidiary will (i) comply with all Environmental Laws, and obtain, comply with and maintain any and all Environmental Permits necessary for its operations as conducted; and (ii) take all reasonable efforts to ensure that all of its tenants, subtenants, contractors, subcontractors, and invitees comply with all Environmental Laws, and obtain, comply with and maintain any and all Environmental Permits, applicable to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5.14(a)</w:t>
      </w:r>
      <w:r>
        <w:rPr>
          <w:rFonts w:ascii="Arial" w:cs="Arial" w:eastAsia="Arial" w:hAnsi="Arial"/>
          <w:sz w:val="18"/>
          <w:szCs w:val="18"/>
          <w:color w:val="auto"/>
        </w:rPr>
        <w:t>, noncompliance with any of the foregoing shall be deemed not to constitute a breach of this covenant so long as, with respect to any such noncompliance, the Company or its relevant Subsidiary is undertaking all reasonable efforts to achieve compliance (or to ensure that the relevant tenant, subtenant, contractor, subcontractor or invitee is achieving compliance), or (y) to the extent such noncompliance, individually or in the aggregate, would not reasonably be expected to give rise to a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9" w:name="page160"/>
    <w:bookmarkEnd w:id="159"/>
    <w:p>
      <w:pPr>
        <w:jc w:val="both"/>
        <w:ind w:firstLine="1305"/>
        <w:spacing w:after="0" w:line="257" w:lineRule="auto"/>
        <w:tabs>
          <w:tab w:leader="none" w:pos="193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Without in any way limiting the Company and each Subsidiary’s obligations under </w:t>
      </w:r>
      <w:r>
        <w:rPr>
          <w:rFonts w:ascii="Arial" w:cs="Arial" w:eastAsia="Arial" w:hAnsi="Arial"/>
          <w:sz w:val="18"/>
          <w:szCs w:val="18"/>
          <w:u w:val="single" w:color="auto"/>
          <w:color w:val="auto"/>
        </w:rPr>
        <w:t>Section 5.14(a)</w:t>
      </w:r>
      <w:r>
        <w:rPr>
          <w:rFonts w:ascii="Arial" w:cs="Arial" w:eastAsia="Arial" w:hAnsi="Arial"/>
          <w:sz w:val="18"/>
          <w:szCs w:val="18"/>
          <w:color w:val="auto"/>
        </w:rPr>
        <w:t xml:space="preserve">, each of the Company and each Subsidiary will promptly comply with all orders and directives of all Governmental Authorities regarding Environmental Laws, other than such orders and directives (i) that are being disputed in good faith in the applicable manner and forum, or (ii) that are not being complied 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pendency of such disputes and the noncompliance with such orders and directives would not reasonably be expected, individually or in the aggregate, to give rise to a Material Adverse Effect.</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Designation of Subsidiaries</w:t>
      </w:r>
      <w:r>
        <w:rPr>
          <w:rFonts w:ascii="Arial" w:cs="Arial" w:eastAsia="Arial" w:hAnsi="Arial"/>
          <w:sz w:val="17"/>
          <w:szCs w:val="17"/>
          <w:color w:val="auto"/>
        </w:rPr>
        <w:t xml:space="preserve">. The Company may at any time designate any Subsidiary as an Unrestricted Subsidiary or any Unrestricted Subsidiary as a Subsidiary by delivering to the Administrative Agent a certificate of an Authorized Officer of the Company specifying such designation and certifying that the conditions to such designation set forth in this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are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6" w:lineRule="exact"/>
        <w:rPr>
          <w:sz w:val="20"/>
          <w:szCs w:val="20"/>
          <w:color w:val="auto"/>
        </w:rPr>
      </w:pPr>
    </w:p>
    <w:p>
      <w:pPr>
        <w:ind w:left="1880" w:hanging="575"/>
        <w:spacing w:after="0"/>
        <w:tabs>
          <w:tab w:leader="none" w:pos="1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both immediately before and immediately after any such designation, no Event of Default shall have occurred and be continuing;</w:t>
      </w:r>
    </w:p>
    <w:p>
      <w:pPr>
        <w:spacing w:after="0" w:line="248" w:lineRule="exact"/>
        <w:rPr>
          <w:rFonts w:ascii="Arial" w:cs="Arial" w:eastAsia="Arial" w:hAnsi="Arial"/>
          <w:sz w:val="16"/>
          <w:szCs w:val="16"/>
          <w:color w:val="auto"/>
        </w:rPr>
      </w:pPr>
    </w:p>
    <w:p>
      <w:pPr>
        <w:ind w:left="660" w:firstLine="645"/>
        <w:spacing w:after="0" w:line="277" w:lineRule="auto"/>
        <w:tabs>
          <w:tab w:leader="none" w:pos="208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both immediately before and immediately after any such designation, the Company and its Subsidiaries shall be in Pro Forma Compliance with the then-applicable financial maintenance covenant levels set forth in </w:t>
      </w:r>
      <w:r>
        <w:rPr>
          <w:rFonts w:ascii="Arial" w:cs="Arial" w:eastAsia="Arial" w:hAnsi="Arial"/>
          <w:sz w:val="18"/>
          <w:szCs w:val="18"/>
          <w:u w:val="single" w:color="auto"/>
          <w:color w:val="auto"/>
        </w:rPr>
        <w:t>Section 6.13</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645"/>
        <w:spacing w:after="0" w:line="277" w:lineRule="auto"/>
        <w:tabs>
          <w:tab w:leader="none" w:pos="214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in the case of a designation of a Subsidiary as an Unrestricted Subsidiary, each Subsidiary of such Subsidiary has been, or concurrently therewith will be, designated as an Unrestricted Subsidiary in accordance with this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designation of any Subsidiary as an Unrestricted Subsidiary shall constitute an Investment by the Company in such Subsidiary on the date of designation in an amount equal to the fair market value of the Company’s Investment therein (as determined reasonably and in good faith by a Financial Officer of the Company). The designation of any Unrestricted Subsidiary as a Subsidiary shall constitute the incurrence at the time of designation of any Investment, Indebtedness or Liens of such Subsidiary existing at such time.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Certain Post-Closing Collateral Obligations</w:t>
      </w:r>
      <w:r>
        <w:rPr>
          <w:rFonts w:ascii="Arial" w:cs="Arial" w:eastAsia="Arial" w:hAnsi="Arial"/>
          <w:sz w:val="18"/>
          <w:szCs w:val="18"/>
          <w:color w:val="auto"/>
        </w:rPr>
        <w:t xml:space="preserve">. As promptly as practicable, and in any event within the applicable time period set forth in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(or such longer time as the Administrative Agent may reasonably agree), the Company and each other Loan Party will deliver all documents and take all actions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Collateral Release Event</w:t>
      </w:r>
      <w:r>
        <w:rPr>
          <w:rFonts w:ascii="Arial" w:cs="Arial" w:eastAsia="Arial" w:hAnsi="Arial"/>
          <w:sz w:val="17"/>
          <w:szCs w:val="17"/>
          <w:color w:val="auto"/>
        </w:rPr>
        <w:t>. Notwithstanding the foregoing provisions of this definition or anything in this Agreement or any other Loan Document to the contrary, upon the occurrence of a Collateral Release Event, (i) any Liens granted to the Administrative Agent pursuant to the Collateral and Guarantee Requirement which remain in effect at such time shall be promptly released by the Administrative Agent upon receipt by the Administrative Agent of a certificate of an Authorized Officer of the Company that the Collateral Release Event has occurred (and the Administrative Agent may rely conclusively on any such certificate, without further inquiry), and the Administrative Agent agrees to execute and deliver any documents or instruments reasonably requested by the Company and in form and substance reasonably satisfactory to the Administrative Agent to evidence the release of all applicable Collateral, all at the expense of the Company and without recourse to or warranty by the Administrative Agent and (ii) no Liens shall thereafter be required to be granted to the Administrative Agent pursuant to the Collateral and Guarantee Requirements.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Until the Commitments shall have expired or been terminated and the principal of and interest on each Loan and all fees payable hereunder shall have been paid in full (excluding contingent indemnification or other contingent obligation as to which no claim has been asserted, or Letters of Credit that have been backstopped or cash collateralized on terms satisfactory to the applicable Issuing Lender), the Company covenants and agrees with the Lenders that: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0" w:name="page161"/>
    <w:bookmarkEnd w:id="160"/>
    <w:p>
      <w:pPr>
        <w:ind w:firstLine="1297"/>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 Certain Equity Securities</w:t>
      </w:r>
      <w:r>
        <w:rPr>
          <w:rFonts w:ascii="Arial" w:cs="Arial" w:eastAsia="Arial" w:hAnsi="Arial"/>
          <w:sz w:val="18"/>
          <w:szCs w:val="18"/>
          <w:color w:val="auto"/>
        </w:rPr>
        <w:t>. None of the Company or any Subsidiary will create, incur, assume or permit to exist any Indebtedness, except:</w:t>
      </w:r>
    </w:p>
    <w:p>
      <w:pPr>
        <w:spacing w:after="0" w:line="170" w:lineRule="exact"/>
        <w:rPr>
          <w:sz w:val="20"/>
          <w:szCs w:val="20"/>
          <w:color w:val="auto"/>
        </w:rPr>
      </w:pPr>
    </w:p>
    <w:p>
      <w:pPr>
        <w:ind w:left="1900" w:hanging="595"/>
        <w:spacing w:after="0"/>
        <w:tabs>
          <w:tab w:leader="none" w:pos="1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Indebtedness existing on the Closing Date and set forth on </w:t>
      </w:r>
      <w:r>
        <w:rPr>
          <w:rFonts w:ascii="Arial" w:cs="Arial" w:eastAsia="Arial" w:hAnsi="Arial"/>
          <w:sz w:val="16"/>
          <w:szCs w:val="16"/>
          <w:u w:val="single" w:color="auto"/>
          <w:color w:val="auto"/>
        </w:rPr>
        <w:t>Schedule 6.01</w:t>
      </w:r>
      <w:r>
        <w:rPr>
          <w:rFonts w:ascii="Arial" w:cs="Arial" w:eastAsia="Arial" w:hAnsi="Arial"/>
          <w:sz w:val="16"/>
          <w:szCs w:val="16"/>
          <w:color w:val="auto"/>
        </w:rPr>
        <w:t xml:space="preserve"> and Refinancing Indebtedness in respect of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11" w:lineRule="exact"/>
        <w:rPr>
          <w:sz w:val="20"/>
          <w:szCs w:val="20"/>
          <w:color w:val="auto"/>
        </w:rPr>
      </w:pPr>
    </w:p>
    <w:p>
      <w:pPr>
        <w:jc w:val="both"/>
        <w:ind w:firstLine="1305"/>
        <w:spacing w:after="0" w:line="270" w:lineRule="auto"/>
        <w:tabs>
          <w:tab w:leader="none" w:pos="193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intercompany Indebtedness among the Company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Indebtedness owing by any Loan Party to a Subsidiary that is not a Loan Party shall be subordinated in right of payment to the Loan Document Obligations pursuant to the Intercompany Note or on terms (x) at least as favorable to the Lenders as those set forth in the form of Intercompany Note attached as </w:t>
      </w:r>
      <w:r>
        <w:rPr>
          <w:rFonts w:ascii="Arial" w:cs="Arial" w:eastAsia="Arial" w:hAnsi="Arial"/>
          <w:sz w:val="17"/>
          <w:szCs w:val="17"/>
          <w:u w:val="single" w:color="auto"/>
          <w:color w:val="auto"/>
        </w:rPr>
        <w:t>Exhibit L</w:t>
      </w:r>
      <w:r>
        <w:rPr>
          <w:rFonts w:ascii="Arial" w:cs="Arial" w:eastAsia="Arial" w:hAnsi="Arial"/>
          <w:sz w:val="17"/>
          <w:szCs w:val="17"/>
          <w:color w:val="auto"/>
        </w:rPr>
        <w:t xml:space="preserve"> or (y) customary for intercompany subordinated Indebtedness or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written subordination agreement shall not be required if the Company and its Subsidiaries are not required to evidence such Indebtedness by an Intercompany Note or a promissory note pursuant to the terms of the Collateral and Guarantee Requirement and the aggregate amount of all such Indebtedness that is not subject to a written subordination agreement satisfying the requirements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not exceed $20,000,000 at any time outstanding, (B) any such Indebtedness owing to any Loan Party shall be evidenced by an Intercompany Note or a promissory note which shall have been pledged pursuant to the Collateral Agreements to the extent required by the Collateral and Guarantee Requirement and (C) any such Indebtedness owing by any Subsidiary that is not a Loan Party to any Loan Party shall be incurred in compliance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920" w:hanging="615"/>
        <w:spacing w:after="0"/>
        <w:tabs>
          <w:tab w:leader="none" w:pos="19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Guarantees incurred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7" w:lineRule="auto"/>
        <w:tabs>
          <w:tab w:leader="none" w:pos="210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Permitted First Priority Refinancing Indebtedness, Permitted Second Priority Refinancing Indebtedness, Permitted Unsecured Refinancing Indebtedness and any Refinancing Indebtedness in respect of any of the foregoing;</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89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 Indebtedness of the Company or any Subsidiary incurred to finance the acquisition, construction or improvement of any fixed or capital assets, including Capital Lease Obligations, purchase money Indebtedness and any Indebtedness assumed by the Company or any Subsidiary in connection with the acquisition of any such assets or secured by a Lien on any such assets prior to or within 270 days after the acquisition, construction, repair, lease or improvement of the applicable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permitted by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exceed at any time outstanding the greater of (A) $15,000,000 and (B) 5% of Consolidated EBITDA computed on a Pro Forma Basis for the most recently ended Test Period as of the time such Indebtedness is incurred and (ii) Refinancing Indebtedness in respect of Indebtedness incurred or assumed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89" w:lineRule="exact"/>
        <w:rPr>
          <w:rFonts w:ascii="Arial" w:cs="Arial" w:eastAsia="Arial" w:hAnsi="Arial"/>
          <w:sz w:val="18"/>
          <w:szCs w:val="18"/>
          <w:color w:val="auto"/>
        </w:rPr>
      </w:pPr>
    </w:p>
    <w:p>
      <w:pPr>
        <w:jc w:val="both"/>
        <w:ind w:firstLine="1305"/>
        <w:spacing w:after="0" w:line="270" w:lineRule="auto"/>
        <w:tabs>
          <w:tab w:leader="none" w:pos="192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 Indebtedness of any Person that becomes a Restricted Subsidiary (or of any Person not previously a Restricted Subsidiary that is merged or consolidated with or into a Subsidiary in a transaction permitted hereunder, including the re-designation of an Unrestricted Subsidiary as a Restricted Subsidiary) after the Closing Date, or Indebtedness of any Person that is assumed by any Subsidiary in connection with an acquisition of assets by such Subsidiary in a Permitted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exists at the time such Person becomes a Restricted Subsidiary (or is so merged or consolidated) or such assets are acquired and is not created in contemplation of or in connection with such Person becoming, as the case may be, a Subsidiary or Restricted Subsidiary (or such merger or consolidation) or such assets being acquired and (ii) Refinancing Indebtedness in respect of Indebtedness assumed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aggregate principal amount of Indebtedness permitted by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shall not exceed at any time outstanding the greater of (A) $25,000,000 and (B) 8% of Consolidated EBITDA computed on a Pro Forma Basis for the most recently ended Test Period as of the time such Indebtedness is incurred;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jc w:val="both"/>
        <w:ind w:left="-8" w:firstLine="1305"/>
        <w:spacing w:after="0" w:line="284" w:lineRule="auto"/>
        <w:tabs>
          <w:tab w:leader="none" w:pos="201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secured or unsecured loans, bonds or notes so long as such Indebtedness shall not exceed the sum of (i) an amount equal to the Base Incremental Amount in effect on such date, (ii) an amount equal to the Voluntary Prepayment Amount and (iii) an additional amount that would not cause the Total Leverage Ratio, calculated on a Pro Forma Basis as of the date of incurrence thereof (excluding from such pro forma calculation the Net Proceeds of such Indebtedness and assuming the full amount of any undrawn commitment is drawn), to exceed 2.50 to 1.00 (any Indebtedness incurred in reliance on this </w:t>
      </w:r>
      <w:r>
        <w:rPr>
          <w:rFonts w:ascii="Arial" w:cs="Arial" w:eastAsia="Arial" w:hAnsi="Arial"/>
          <w:sz w:val="16"/>
          <w:szCs w:val="16"/>
          <w:u w:val="single" w:color="auto"/>
          <w:color w:val="auto"/>
        </w:rPr>
        <w:t>clause (h)</w:t>
      </w:r>
      <w:r>
        <w:rPr>
          <w:rFonts w:ascii="Arial" w:cs="Arial" w:eastAsia="Arial" w:hAnsi="Arial"/>
          <w:sz w:val="16"/>
          <w:szCs w:val="16"/>
          <w:color w:val="auto"/>
        </w:rPr>
        <w:t>, “</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Company shall be deemed to have used amounts under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prior to utilization of amounts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and (B) the proceeds from any such incurrence under such clauses may be utilized in a single transaction by first calculating the incurrence under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and then calculating the incurrence under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Incremental Equivalent Debt (1) to the extent secured (including, for the avoidance of doubt, on and after the Collateral Release Event),</w:t>
      </w:r>
    </w:p>
    <w:p>
      <w:pPr>
        <w:spacing w:after="0" w:line="1" w:lineRule="exact"/>
        <w:rPr>
          <w:rFonts w:ascii="Arial" w:cs="Arial" w:eastAsia="Arial" w:hAnsi="Arial"/>
          <w:sz w:val="16"/>
          <w:szCs w:val="16"/>
          <w:color w:val="auto"/>
        </w:rPr>
      </w:pPr>
    </w:p>
    <w:p>
      <w:pPr>
        <w:jc w:val="both"/>
        <w:ind w:left="-8" w:firstLine="8"/>
        <w:spacing w:after="0" w:line="267" w:lineRule="auto"/>
        <w:tabs>
          <w:tab w:leader="none" w:pos="25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shall not be secured by any Lien on any asset of the Company or any Subsidiary that does not also secure the Obligations at least on an equal and ratable basis and (y) shall be subject to an Intercreditor Agreement, (2) shall not be Guaranteed by any Subsidiary other than the Loan Parties, (3) shall mature no earlier than the Maturity Date of the Initial Term Loans, (4) shall have a weighted average life to maturity not shorter than the Initial Term Loans, (5) in the case of Incremental Equivalent Debt in the form of bonds or notes, does not provide for any amortization, mandatory prepayment, redemption or repurchase (other than upon a change of control or fundamental change and customary acceleration rights after an event of default and, for the avoidance of doubt, rights to convert or exchange in the case of convertible or exchangeable Indebtedness) prior to the Maturity Date of the Initial Term Loans, (6) contains covenants, events of default, guarantees and other terms that are customary for similar Indebtedness in light of then-prevailing market conditions or, when taken as a whole (other than interest rates, rate floors, fees and optional prepayment or redemption terms), are not more favorable to the lenders or investors providing such Incremental Equivalent Debt, as the case may be, than those set forth in the Loan Documents are with respect to the Lenders (other than covenants or other provisions applicable only to periods after the Maturity Date of the Initial Term Loans) and (7) may not be secured, to the extent incurred on or after the Collateral Release Event, unless the Obligations are equally and ratably secured and such secured Incremental Equivalent Debt is subject to an Intercreditor Agreement;</w:t>
      </w:r>
    </w:p>
    <w:p>
      <w:pPr>
        <w:spacing w:after="0" w:line="185" w:lineRule="exact"/>
        <w:rPr>
          <w:rFonts w:ascii="Arial" w:cs="Arial" w:eastAsia="Arial" w:hAnsi="Arial"/>
          <w:sz w:val="17"/>
          <w:szCs w:val="17"/>
          <w:color w:val="auto"/>
        </w:rPr>
      </w:pPr>
    </w:p>
    <w:p>
      <w:pPr>
        <w:ind w:left="-8" w:right="20" w:firstLine="1305"/>
        <w:spacing w:after="0" w:line="342" w:lineRule="auto"/>
        <w:tabs>
          <w:tab w:leader="none" w:pos="192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Indebtedness incurred in the ordinary course of business and owed in respect of Cash Management Services or any overdrafts and related liabilities arising from treasury, depository and cash management services or in connection with any automated clearinghouse transfers of funds;</w:t>
      </w:r>
    </w:p>
    <w:p>
      <w:pPr>
        <w:spacing w:after="0" w:line="123" w:lineRule="exact"/>
        <w:rPr>
          <w:rFonts w:ascii="Arial" w:cs="Arial" w:eastAsia="Arial" w:hAnsi="Arial"/>
          <w:sz w:val="16"/>
          <w:szCs w:val="16"/>
          <w:color w:val="auto"/>
        </w:rPr>
      </w:pPr>
    </w:p>
    <w:p>
      <w:pPr>
        <w:jc w:val="both"/>
        <w:ind w:left="-8" w:firstLine="1305"/>
        <w:spacing w:after="0" w:line="257" w:lineRule="auto"/>
        <w:tabs>
          <w:tab w:leader="none" w:pos="193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Indebtedness in respect of letters of credit, bank guarantees and similar instruments issued for the account of the Company or any Subsidiary in the ordinary course of business supporting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spacing w:after="0" w:line="188" w:lineRule="exact"/>
        <w:rPr>
          <w:rFonts w:ascii="Arial" w:cs="Arial" w:eastAsia="Arial" w:hAnsi="Arial"/>
          <w:sz w:val="18"/>
          <w:szCs w:val="18"/>
          <w:color w:val="auto"/>
        </w:rPr>
      </w:pPr>
    </w:p>
    <w:p>
      <w:pPr>
        <w:ind w:left="1912" w:hanging="615"/>
        <w:spacing w:after="0"/>
        <w:tabs>
          <w:tab w:leader="none" w:pos="191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Indebtedness consisting of client advances or deposits received in the ordinary course of business;</w:t>
      </w:r>
    </w:p>
    <w:p>
      <w:pPr>
        <w:spacing w:after="0" w:line="225" w:lineRule="exact"/>
        <w:rPr>
          <w:rFonts w:ascii="Arial" w:cs="Arial" w:eastAsia="Arial" w:hAnsi="Arial"/>
          <w:sz w:val="18"/>
          <w:szCs w:val="18"/>
          <w:color w:val="auto"/>
        </w:rPr>
      </w:pPr>
    </w:p>
    <w:p>
      <w:pPr>
        <w:jc w:val="both"/>
        <w:ind w:left="-8" w:firstLine="1305"/>
        <w:spacing w:after="0" w:line="264" w:lineRule="auto"/>
        <w:tabs>
          <w:tab w:leader="none" w:pos="188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Indebtedness consisting of short-term credit facilities, including, among others, bank guarantees and letters of credit, collectively in an aggregate at any time outstanding not to exceed the greater of (A) $15,000,000 and (B) 5% of Consolidated EBITDA computed on a Pro Forma Basis for the most recently ended Test Period as of the time such credit facility is entered into;</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62" w:name="page163"/>
    <w:bookmarkEnd w:id="162"/>
    <w:p>
      <w:pPr>
        <w:jc w:val="both"/>
        <w:ind w:left="-20" w:firstLine="1305"/>
        <w:spacing w:after="0" w:line="259" w:lineRule="auto"/>
        <w:tabs>
          <w:tab w:leader="none" w:pos="213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of the Company or any Subsidiary in the form of purchase price adjustments (including in respect of working capital), earnouts, seller notes deferred compensation, indemnification or other arrangements representing acquisition consideration or deferred payments of a similar nature incurred in connection with any Permitted Acquisition or other Investments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Dispositions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1305"/>
        <w:spacing w:after="0" w:line="286" w:lineRule="auto"/>
        <w:tabs>
          <w:tab w:leader="none" w:pos="211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Indebtedness of Subsidiaries that are not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Subsidiary that is not a Loan Party shall incur any Indebtedness under this </w:t>
      </w:r>
      <w:r>
        <w:rPr>
          <w:rFonts w:ascii="Arial" w:cs="Arial" w:eastAsia="Arial" w:hAnsi="Arial"/>
          <w:sz w:val="17"/>
          <w:szCs w:val="17"/>
          <w:u w:val="single" w:color="auto"/>
          <w:color w:val="auto"/>
        </w:rPr>
        <w:t>Section 6.01(n)</w:t>
      </w:r>
      <w:r>
        <w:rPr>
          <w:rFonts w:ascii="Arial" w:cs="Arial" w:eastAsia="Arial" w:hAnsi="Arial"/>
          <w:sz w:val="17"/>
          <w:szCs w:val="17"/>
          <w:color w:val="auto"/>
        </w:rPr>
        <w:t xml:space="preserve"> if, at the time of, and after giving effect to, the incurrence of such Indebtedness (and any substantially simultaneous use of the Specified Permitted Amount) and the use of proceeds thereof, the Specified Permitted Amount would be less than zero;</w:t>
      </w:r>
    </w:p>
    <w:p>
      <w:pPr>
        <w:spacing w:after="0" w:line="165" w:lineRule="exact"/>
        <w:rPr>
          <w:rFonts w:ascii="Arial" w:cs="Arial" w:eastAsia="Arial" w:hAnsi="Arial"/>
          <w:sz w:val="17"/>
          <w:szCs w:val="17"/>
          <w:color w:val="auto"/>
        </w:rPr>
      </w:pPr>
    </w:p>
    <w:p>
      <w:pPr>
        <w:jc w:val="both"/>
        <w:ind w:left="-20" w:firstLine="1305"/>
        <w:spacing w:after="0" w:line="259" w:lineRule="auto"/>
        <w:tabs>
          <w:tab w:leader="none" w:pos="19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Indebtedness relating to (i) premium financing arrangements for insurance plans (including property and health insurance plans) and health and welfare benefit plans (including health and workers compensation insurance, employment practices liability insurance and directors and officers insurance), if incurred in the ordinary course of business or (ii) take-or-pay obligations contained in supply agreements, in the ordinary course of business;</w:t>
      </w:r>
    </w:p>
    <w:p>
      <w:pPr>
        <w:spacing w:after="0" w:line="186" w:lineRule="exact"/>
        <w:rPr>
          <w:rFonts w:ascii="Arial" w:cs="Arial" w:eastAsia="Arial" w:hAnsi="Arial"/>
          <w:sz w:val="18"/>
          <w:szCs w:val="18"/>
          <w:color w:val="auto"/>
        </w:rPr>
      </w:pPr>
    </w:p>
    <w:p>
      <w:pPr>
        <w:ind w:left="-20" w:firstLine="1305"/>
        <w:spacing w:after="0" w:line="342" w:lineRule="auto"/>
        <w:tabs>
          <w:tab w:leader="none" w:pos="199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additional Indebtedness in an aggregate amount at any time outstanding not in excess of the greater of (A) $50,000,000 and (B) 17% of Consolidated EBITDA computed on a Pro Forma Basis for the most recently ended Test Period as of the time such Indebtedness is incurred;</w:t>
      </w:r>
    </w:p>
    <w:p>
      <w:pPr>
        <w:spacing w:after="0" w:line="123" w:lineRule="exact"/>
        <w:rPr>
          <w:rFonts w:ascii="Arial" w:cs="Arial" w:eastAsia="Arial" w:hAnsi="Arial"/>
          <w:sz w:val="16"/>
          <w:szCs w:val="16"/>
          <w:color w:val="auto"/>
        </w:rPr>
      </w:pPr>
    </w:p>
    <w:p>
      <w:pPr>
        <w:ind w:left="1900" w:hanging="615"/>
        <w:spacing w:after="0"/>
        <w:tabs>
          <w:tab w:leader="none" w:pos="1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in respect of Hedging Agreements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60" w:hanging="575"/>
        <w:spacing w:after="0"/>
        <w:tabs>
          <w:tab w:leader="none" w:pos="18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to exceed the face amount of such Letter of Credit;</w:t>
      </w:r>
    </w:p>
    <w:p>
      <w:pPr>
        <w:spacing w:after="0" w:line="236" w:lineRule="exact"/>
        <w:rPr>
          <w:rFonts w:ascii="Arial" w:cs="Arial" w:eastAsia="Arial" w:hAnsi="Arial"/>
          <w:sz w:val="17"/>
          <w:szCs w:val="17"/>
          <w:color w:val="auto"/>
        </w:rPr>
      </w:pPr>
    </w:p>
    <w:p>
      <w:pPr>
        <w:ind w:left="-20" w:firstLine="1305"/>
        <w:spacing w:after="0" w:line="277" w:lineRule="auto"/>
        <w:tabs>
          <w:tab w:leader="none" w:pos="213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Indebtedness representing deferred compensation or stock-based compensation owed to employees of the Company and its Subsidiaries incurred in the ordinary course of business or consistent with past practice;</w:t>
      </w:r>
    </w:p>
    <w:p>
      <w:pPr>
        <w:spacing w:after="0" w:line="170" w:lineRule="exact"/>
        <w:rPr>
          <w:rFonts w:ascii="Arial" w:cs="Arial" w:eastAsia="Arial" w:hAnsi="Arial"/>
          <w:sz w:val="18"/>
          <w:szCs w:val="18"/>
          <w:color w:val="auto"/>
        </w:rPr>
      </w:pPr>
    </w:p>
    <w:p>
      <w:pPr>
        <w:ind w:left="-20" w:firstLine="1305"/>
        <w:spacing w:after="0" w:line="277" w:lineRule="auto"/>
        <w:tabs>
          <w:tab w:leader="none" w:pos="19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constituting Indebtedness, Guarantees in the ordinary course of business of the obligations of suppliers, customers, franchisees and licensees of the Company and its Subsidiaries;</w:t>
      </w:r>
    </w:p>
    <w:p>
      <w:pPr>
        <w:spacing w:after="0" w:line="170" w:lineRule="exact"/>
        <w:rPr>
          <w:rFonts w:ascii="Arial" w:cs="Arial" w:eastAsia="Arial" w:hAnsi="Arial"/>
          <w:sz w:val="18"/>
          <w:szCs w:val="18"/>
          <w:color w:val="auto"/>
        </w:rPr>
      </w:pPr>
    </w:p>
    <w:p>
      <w:pPr>
        <w:ind w:left="-20" w:firstLine="1305"/>
        <w:spacing w:after="0" w:line="277" w:lineRule="auto"/>
        <w:tabs>
          <w:tab w:leader="none" w:pos="201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above;</w:t>
      </w:r>
    </w:p>
    <w:p>
      <w:pPr>
        <w:spacing w:after="0" w:line="170" w:lineRule="exact"/>
        <w:rPr>
          <w:rFonts w:ascii="Arial" w:cs="Arial" w:eastAsia="Arial" w:hAnsi="Arial"/>
          <w:sz w:val="18"/>
          <w:szCs w:val="18"/>
          <w:color w:val="auto"/>
        </w:rPr>
      </w:pPr>
    </w:p>
    <w:p>
      <w:pPr>
        <w:ind w:left="-20" w:firstLine="1305"/>
        <w:spacing w:after="0" w:line="277" w:lineRule="auto"/>
        <w:tabs>
          <w:tab w:leader="none" w:pos="22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of the Company or any Subsidiary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Attributable Receivables Indebtedness thereunder shall not exceed an aggregate amount of $150,000,000 at any time outstanding;</w:t>
      </w:r>
    </w:p>
    <w:p>
      <w:pPr>
        <w:spacing w:after="0" w:line="170" w:lineRule="exact"/>
        <w:rPr>
          <w:rFonts w:ascii="Arial" w:cs="Arial" w:eastAsia="Arial" w:hAnsi="Arial"/>
          <w:sz w:val="18"/>
          <w:szCs w:val="18"/>
          <w:color w:val="auto"/>
        </w:rPr>
      </w:pPr>
    </w:p>
    <w:p>
      <w:pPr>
        <w:jc w:val="both"/>
        <w:ind w:left="-20" w:right="20" w:firstLine="1305"/>
        <w:spacing w:after="0" w:line="312" w:lineRule="auto"/>
        <w:tabs>
          <w:tab w:leader="none" w:pos="200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secured Indebtedness (in addition to any secured Indebtedness described above) incurred to finance ESPCs;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outstanding principal amount of all Indebtedness permitted solely by this </w:t>
      </w:r>
      <w:r>
        <w:rPr>
          <w:rFonts w:ascii="Arial" w:cs="Arial" w:eastAsia="Arial" w:hAnsi="Arial"/>
          <w:sz w:val="16"/>
          <w:szCs w:val="16"/>
          <w:u w:val="single" w:color="auto"/>
          <w:color w:val="auto"/>
        </w:rPr>
        <w:t>clause (w)</w:t>
      </w:r>
      <w:r>
        <w:rPr>
          <w:rFonts w:ascii="Arial" w:cs="Arial" w:eastAsia="Arial" w:hAnsi="Arial"/>
          <w:sz w:val="16"/>
          <w:szCs w:val="16"/>
          <w:color w:val="auto"/>
        </w:rPr>
        <w:t xml:space="preserve"> shall not at any time exceed $50,000,000; and (ii) at the time of the incurrence, assumption or creation of any such Indebtedness, no Default shall have occurred and be continuing or would result therefrom; and</w:t>
      </w:r>
    </w:p>
    <w:p>
      <w:pPr>
        <w:spacing w:after="0" w:line="146" w:lineRule="exact"/>
        <w:rPr>
          <w:rFonts w:ascii="Arial" w:cs="Arial" w:eastAsia="Arial" w:hAnsi="Arial"/>
          <w:sz w:val="16"/>
          <w:szCs w:val="16"/>
          <w:color w:val="auto"/>
        </w:rPr>
      </w:pPr>
    </w:p>
    <w:p>
      <w:pPr>
        <w:ind w:left="-20" w:firstLine="1305"/>
        <w:spacing w:after="0" w:line="277" w:lineRule="auto"/>
        <w:tabs>
          <w:tab w:leader="none" w:pos="212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loans and advances made by any Captive Insurance Company to the Company or any Subsidiary pursuant to arrangements consistent with those in effect on the Closing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3" w:name="page164"/>
    <w:bookmarkEnd w:id="163"/>
    <w:p>
      <w:pPr>
        <w:jc w:val="both"/>
        <w:ind w:firstLine="1297"/>
        <w:spacing w:after="0" w:line="276"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(i) in the event that an item of Indebtedness (or any portion thereof) meets the criteria of more than one of the categories of Indebtedness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above, the Company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Indebtedness outstanding under the Loan Documents will be deemed to have been incurred in reliance only on the exception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w:t>
      </w:r>
    </w:p>
    <w:p>
      <w:pPr>
        <w:spacing w:after="0" w:line="173"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Liens</w:t>
      </w:r>
      <w:r>
        <w:rPr>
          <w:rFonts w:ascii="Arial" w:cs="Arial" w:eastAsia="Arial" w:hAnsi="Arial"/>
          <w:sz w:val="17"/>
          <w:szCs w:val="17"/>
          <w:color w:val="auto"/>
        </w:rPr>
        <w:t>. None of the Company or any Subsidiary will create, incur, assume or permit to exist any Lien on any asset now owned or hereafter acquired by it, or assign or sell any income or revenues (including accounts receivable) or rights in respect of any thereof, except:</w:t>
      </w:r>
    </w:p>
    <w:p>
      <w:pPr>
        <w:spacing w:after="0" w:line="147" w:lineRule="exact"/>
        <w:rPr>
          <w:sz w:val="20"/>
          <w:szCs w:val="20"/>
          <w:color w:val="auto"/>
        </w:rPr>
      </w:pPr>
    </w:p>
    <w:p>
      <w:pPr>
        <w:ind w:left="1900" w:hanging="595"/>
        <w:spacing w:after="0"/>
        <w:tabs>
          <w:tab w:leader="none" w:pos="1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Liens created under the Loan Documents;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any Lien on any asset of the Company or any Subsidiary existing on the Closing Date and set forth on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jc w:val="both"/>
        <w:ind w:firstLine="8"/>
        <w:spacing w:after="0" w:line="292" w:lineRule="auto"/>
        <w:tabs>
          <w:tab w:leader="none" w:pos="22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such Lien shall not apply to any other asset of the Company or any Subsidiary other than after-acquired property that is affixed or incorporated into the asset covered by such Lien on the Closing Date and the proceeds and products of the foregoing and (ii) such Lien shall secure only those obligations that it secures on the Closing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as Refinancing Indebtedness in respect thereof;</w:t>
      </w:r>
    </w:p>
    <w:p>
      <w:pPr>
        <w:spacing w:after="0" w:line="162" w:lineRule="exact"/>
        <w:rPr>
          <w:rFonts w:ascii="Arial" w:cs="Arial" w:eastAsia="Arial" w:hAnsi="Arial"/>
          <w:sz w:val="16"/>
          <w:szCs w:val="16"/>
          <w:color w:val="auto"/>
        </w:rPr>
      </w:pPr>
    </w:p>
    <w:p>
      <w:pPr>
        <w:jc w:val="both"/>
        <w:ind w:firstLine="1305"/>
        <w:spacing w:after="0" w:line="269" w:lineRule="auto"/>
        <w:tabs>
          <w:tab w:leader="none" w:pos="199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 xml:space="preserve">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Closing Date prior to the time such Person becomes a Subsidiary (or is so merged or consolidated);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(or such merger or consolidation), (ii) such Lien shall not apply to any other asset of the Company or any Subsidiary (other than (x) in the case of any such merger or consolidation, the assets of any Subsidiary without significant assets that was formed solely for the purpose of effecting such acquisition and (y) after-acquired property that is affixed or incorporated into the asset initially covered by such Lien and the proceeds and products of the foregoing)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7"/>
          <w:szCs w:val="17"/>
          <w:u w:val="single" w:color="auto"/>
          <w:color w:val="auto"/>
        </w:rPr>
        <w:t>Section 6.01(g)</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1305"/>
        <w:spacing w:after="0" w:line="288" w:lineRule="auto"/>
        <w:tabs>
          <w:tab w:leader="none" w:pos="197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Liens on fixed or capital assets acquired, constructed or improved (including any such assets made the subject of a Capital Lease Obligation incurred) by the Company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secure Indebtedness incurred to finance such acquisition, construction or improvement and permitted by </w:t>
      </w:r>
      <w:r>
        <w:rPr>
          <w:rFonts w:ascii="Arial" w:cs="Arial" w:eastAsia="Arial" w:hAnsi="Arial"/>
          <w:sz w:val="16"/>
          <w:szCs w:val="16"/>
          <w:u w:val="single" w:color="auto"/>
          <w:color w:val="auto"/>
        </w:rPr>
        <w:t>clause (f)(i)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any Refinancing Indebtedness in respect thereof permitted by </w:t>
      </w:r>
      <w:r>
        <w:rPr>
          <w:rFonts w:ascii="Arial" w:cs="Arial" w:eastAsia="Arial" w:hAnsi="Arial"/>
          <w:sz w:val="16"/>
          <w:szCs w:val="16"/>
          <w:u w:val="single" w:color="auto"/>
          <w:color w:val="auto"/>
        </w:rPr>
        <w:t>clause (f)(ii)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and</w:t>
      </w:r>
    </w:p>
    <w:p>
      <w:pPr>
        <w:ind w:firstLine="8"/>
        <w:spacing w:after="0" w:line="261" w:lineRule="auto"/>
        <w:tabs>
          <w:tab w:leader="none" w:pos="2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such Liens shall not apply to any other property or assets of the Company or any Subsidiary, other than after-acquired property affixed or incorporated into such asset initially covered by such Lien and the proceeds and products of the foregoing;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ind w:firstLine="1305"/>
        <w:spacing w:after="0" w:line="277" w:lineRule="auto"/>
        <w:tabs>
          <w:tab w:leader="none" w:pos="210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in connection with the sale or transfer of any Equity Interests or other assets in a transaction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08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65" w:lineRule="exact"/>
        <w:rPr>
          <w:rFonts w:ascii="Arial" w:cs="Arial" w:eastAsia="Arial" w:hAnsi="Arial"/>
          <w:sz w:val="17"/>
          <w:szCs w:val="17"/>
          <w:color w:val="auto"/>
        </w:rPr>
      </w:pPr>
    </w:p>
    <w:p>
      <w:pPr>
        <w:ind w:firstLine="1305"/>
        <w:spacing w:after="0" w:line="308" w:lineRule="auto"/>
        <w:tabs>
          <w:tab w:leader="none" w:pos="206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Liens solely on any cash earnest money deposits, escrow arrangements or similar arrangements made by the Company or any Subsidiary in connection with any letter of intent or purchase agreement for a Permitted Acquisition or other transaction permitted hereunder;</w:t>
      </w:r>
    </w:p>
    <w:p>
      <w:pPr>
        <w:spacing w:after="0" w:line="146" w:lineRule="exact"/>
        <w:rPr>
          <w:rFonts w:ascii="Arial" w:cs="Arial" w:eastAsia="Arial" w:hAnsi="Arial"/>
          <w:sz w:val="17"/>
          <w:szCs w:val="17"/>
          <w:color w:val="auto"/>
        </w:rPr>
      </w:pPr>
    </w:p>
    <w:p>
      <w:pPr>
        <w:ind w:left="1900" w:hanging="595"/>
        <w:spacing w:after="0"/>
        <w:tabs>
          <w:tab w:leader="none" w:pos="1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Liens granted by a Subsidiary that is not a Loan Party in respect of Indebtedness permitted to be incurred by such Subsidiary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6.01(n)</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880" w:hanging="575"/>
        <w:spacing w:after="0"/>
        <w:tabs>
          <w:tab w:leader="none" w:pos="1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3" w:lineRule="auto"/>
        <w:tabs>
          <w:tab w:leader="none" w:pos="203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Liens on the Collateral securing (i) Permitted First Priority Refinancing Indebtedness permitted under </w:t>
      </w:r>
      <w:r>
        <w:rPr>
          <w:rFonts w:ascii="Arial" w:cs="Arial" w:eastAsia="Arial" w:hAnsi="Arial"/>
          <w:sz w:val="17"/>
          <w:szCs w:val="17"/>
          <w:u w:val="single" w:color="auto"/>
          <w:color w:val="auto"/>
        </w:rPr>
        <w:t>Section 6.01(e)</w:t>
      </w:r>
      <w:r>
        <w:rPr>
          <w:rFonts w:ascii="Arial" w:cs="Arial" w:eastAsia="Arial" w:hAnsi="Arial"/>
          <w:sz w:val="17"/>
          <w:szCs w:val="17"/>
          <w:color w:val="auto"/>
        </w:rPr>
        <w:t xml:space="preserve"> on a </w:t>
      </w:r>
      <w:r>
        <w:rPr>
          <w:rFonts w:ascii="Arial" w:cs="Arial" w:eastAsia="Arial" w:hAnsi="Arial"/>
          <w:sz w:val="17"/>
          <w:szCs w:val="17"/>
          <w:u w:val="single" w:color="auto"/>
          <w:color w:val="auto"/>
        </w:rPr>
        <w:t>pari</w:t>
      </w:r>
      <w:r>
        <w:rPr>
          <w:rFonts w:ascii="Arial" w:cs="Arial" w:eastAsia="Arial" w:hAnsi="Arial"/>
          <w:sz w:val="17"/>
          <w:szCs w:val="17"/>
          <w:color w:val="auto"/>
        </w:rPr>
        <w:t xml:space="preserve"> </w:t>
      </w:r>
      <w:r>
        <w:rPr>
          <w:rFonts w:ascii="Arial" w:cs="Arial" w:eastAsia="Arial" w:hAnsi="Arial"/>
          <w:sz w:val="17"/>
          <w:szCs w:val="17"/>
          <w:u w:val="single" w:color="auto"/>
          <w:color w:val="auto"/>
        </w:rPr>
        <w:t>passu</w:t>
      </w:r>
      <w:r>
        <w:rPr>
          <w:rFonts w:ascii="Arial" w:cs="Arial" w:eastAsia="Arial" w:hAnsi="Arial"/>
          <w:sz w:val="17"/>
          <w:szCs w:val="17"/>
          <w:color w:val="auto"/>
        </w:rPr>
        <w:t xml:space="preserve"> or junior basis with the Liens on the Collateral securing the Loan Document Obligations, and Refinancing Indebtedness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trustee, collateral agent, security agent or other Person acting on behalf of the holders of such Indebtedness has entered into an Intercreditor Agreement and (ii) Permitted Second Priority Refinancing Indebtedness permitted under </w:t>
      </w:r>
      <w:r>
        <w:rPr>
          <w:rFonts w:ascii="Arial" w:cs="Arial" w:eastAsia="Arial" w:hAnsi="Arial"/>
          <w:sz w:val="17"/>
          <w:szCs w:val="17"/>
          <w:u w:val="single" w:color="auto"/>
          <w:color w:val="auto"/>
        </w:rPr>
        <w:t>Section 6.01(e)</w:t>
      </w:r>
      <w:r>
        <w:rPr>
          <w:rFonts w:ascii="Arial" w:cs="Arial" w:eastAsia="Arial" w:hAnsi="Arial"/>
          <w:sz w:val="17"/>
          <w:szCs w:val="17"/>
          <w:color w:val="auto"/>
        </w:rPr>
        <w:t xml:space="preserve"> on a junior basis to the Liens on the Collateral securing the Loan Document Obligations and Refinancing Indebtedness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trustee, collateral agent, security agent or other Person acting on behalf of the holders of such Indebtedness has entered into an Intercreditor Agreement;</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197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Liens on cash and other assets owned by a Person that has incurred Indebtedness permitted pursuant to </w:t>
      </w:r>
      <w:r>
        <w:rPr>
          <w:rFonts w:ascii="Arial" w:cs="Arial" w:eastAsia="Arial" w:hAnsi="Arial"/>
          <w:sz w:val="17"/>
          <w:szCs w:val="17"/>
          <w:u w:val="single" w:color="auto"/>
          <w:color w:val="auto"/>
        </w:rPr>
        <w:t>Section 6.01(l)</w:t>
      </w:r>
      <w:r>
        <w:rPr>
          <w:rFonts w:ascii="Arial" w:cs="Arial" w:eastAsia="Arial" w:hAnsi="Arial"/>
          <w:sz w:val="17"/>
          <w:szCs w:val="17"/>
          <w:color w:val="auto"/>
        </w:rPr>
        <w:t xml:space="preserve"> to secure such Indebtedness of such Person or on cash and other assets owned by a Person that has entered into a Hedging Agreement permitted by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to secure Hedging Obligations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in respect of Indebtedness incurred pursuant to </w:t>
      </w:r>
      <w:r>
        <w:rPr>
          <w:rFonts w:ascii="Arial" w:cs="Arial" w:eastAsia="Arial" w:hAnsi="Arial"/>
          <w:sz w:val="17"/>
          <w:szCs w:val="17"/>
          <w:u w:val="single" w:color="auto"/>
          <w:color w:val="auto"/>
        </w:rPr>
        <w:t>Section 6.01(l)</w:t>
      </w:r>
      <w:r>
        <w:rPr>
          <w:rFonts w:ascii="Arial" w:cs="Arial" w:eastAsia="Arial" w:hAnsi="Arial"/>
          <w:sz w:val="17"/>
          <w:szCs w:val="17"/>
          <w:color w:val="auto"/>
        </w:rPr>
        <w:t xml:space="preserve"> shall not apply to any other assets of the Company or any Subsidiary other than after-acquired property that is affixed or incorporated into the assets initially covered by such Lien and the proceeds and products of the foregoing;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Liens shall not secure Indebtedness or Hedging Obligations in an aggregate outstanding amount in excess of the greater of (A) $30,000,000 and (B) 10% of Consolidated EBITDA computed on a Pro Forma Basis for the most recently ended Test Period as of the time such Liens are incurred;</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211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Liens on the Collateral securing Incremental Equivalent Debt that are pari passu with or junior to the Liens on the Collateral securing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trustee, collateral agent, security agent or other Person acting on behalf of the holders of such Indebtedness has entered into an Intercreditor Agreement;</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19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additional Liens securing Indebtedness or other obligations in an aggregate principal amount not to exceed at any time outstanding the greater of (A) $25,000,000 and (B) 8% of Consolidated EBITDA computed on a Pro Forma Basis for the most recently ended Test Period as of the time such Liens are incurred;</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Liens on assets of Foreign Subsidiaries securing obligations of Foreign Subsidiaries permitted hereunder;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ind w:left="1920" w:hanging="615"/>
        <w:spacing w:after="0"/>
        <w:tabs>
          <w:tab w:leader="none" w:pos="19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on Permitted Receivables Facility Assets arising under Permitted Receivables Facilities;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by </w:t>
      </w:r>
      <w:r>
        <w:rPr>
          <w:rFonts w:ascii="Arial" w:cs="Arial" w:eastAsia="Arial" w:hAnsi="Arial"/>
          <w:sz w:val="18"/>
          <w:szCs w:val="18"/>
          <w:u w:val="single" w:color="auto"/>
          <w:color w:val="auto"/>
        </w:rPr>
        <w:t>Section 6.01(c)</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firstLine="1305"/>
        <w:spacing w:after="0" w:line="277" w:lineRule="auto"/>
        <w:tabs>
          <w:tab w:leader="none" w:pos="20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by </w:t>
      </w:r>
      <w:r>
        <w:rPr>
          <w:rFonts w:ascii="Arial" w:cs="Arial" w:eastAsia="Arial" w:hAnsi="Arial"/>
          <w:sz w:val="18"/>
          <w:szCs w:val="18"/>
          <w:u w:val="single" w:color="auto"/>
          <w:color w:val="auto"/>
        </w:rPr>
        <w:t>6.01(w)</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not apply to any property or assets of the Company or any Subsidiary other than Receivables arising pursuant to ESPCs.</w:t>
      </w:r>
    </w:p>
    <w:p>
      <w:pPr>
        <w:spacing w:after="0" w:line="170" w:lineRule="exact"/>
        <w:rPr>
          <w:sz w:val="20"/>
          <w:szCs w:val="20"/>
          <w:color w:val="auto"/>
        </w:rPr>
      </w:pPr>
    </w:p>
    <w:p>
      <w:pPr>
        <w:ind w:right="460" w:firstLine="1297"/>
        <w:spacing w:after="0" w:line="26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(a) None of the Company or any Subsidiary will merge into or consolidate with any other Person, or permit any other Person to merge into or consolidate with it, or liquidate or dissolve (which, for the avoidance of doubt, shall not restrict the Company or any Subsidiary from changing its organizational form), except that:</w:t>
      </w:r>
    </w:p>
    <w:p>
      <w:pPr>
        <w:spacing w:after="0" w:line="181" w:lineRule="exact"/>
        <w:rPr>
          <w:sz w:val="20"/>
          <w:szCs w:val="20"/>
          <w:color w:val="auto"/>
        </w:rPr>
      </w:pPr>
    </w:p>
    <w:p>
      <w:pPr>
        <w:ind w:left="660" w:firstLine="645"/>
        <w:spacing w:after="0" w:line="277" w:lineRule="auto"/>
        <w:tabs>
          <w:tab w:leader="none" w:pos="195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Person (other than the Company) may merge into or consolidate with the Company in a transaction in which the Company is the surviving entity;</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7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Person (other than the Company) may merge or consolidate with any Subsidiary in a transaction in which the surviving entity is a Subsidiary (and, if any party to such merger or consolidation is a Loan Party, the surviving entity is a Loan Party);</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3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Subsidiary (other than the Company) may merge into or consolidate with any Person (other than the Company) in a transaction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6.05(n)</w:t>
      </w:r>
      <w:r>
        <w:rPr>
          <w:rFonts w:ascii="Arial" w:cs="Arial" w:eastAsia="Arial" w:hAnsi="Arial"/>
          <w:sz w:val="18"/>
          <w:szCs w:val="18"/>
          <w:color w:val="auto"/>
        </w:rPr>
        <w:t>) in which, after giving effect to such transaction, the surviving entity is not a Subsidiary;</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209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Subsidiary (other than the Company) may merge, consolidate or amalgamate with any other Person in order to effect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Subsidiary is a Loan Party the continuing or surviving Person shall be a Loan Party;</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97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Subsidiary (other than the Company) may liquidate or dissolve if the Company determines in good faith that such liquidation or dissolution is in the best interests of the Company and is not materially disadvantageous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or consolidation involving a Person that is not a wholly-owned Subsidiary immediately prior thereto shall not be permitted unless it is also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6.05(n)</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920" w:hanging="615"/>
        <w:spacing w:after="0"/>
        <w:tabs>
          <w:tab w:leader="none" w:pos="1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or any Subsidiary may consummate any Permitted Reorganization.</w:t>
      </w:r>
    </w:p>
    <w:p>
      <w:pPr>
        <w:spacing w:after="0" w:line="225" w:lineRule="exact"/>
        <w:rPr>
          <w:sz w:val="20"/>
          <w:szCs w:val="20"/>
          <w:color w:val="auto"/>
        </w:rPr>
      </w:pPr>
    </w:p>
    <w:p>
      <w:pPr>
        <w:ind w:firstLine="1305"/>
        <w:spacing w:after="0" w:line="308" w:lineRule="auto"/>
        <w:tabs>
          <w:tab w:leader="none" w:pos="208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None of the Company or any Subsidiary will engage to any material extent in any business other than businesses of the type conducted by the Company and the Subsidiaries on the Closing Date and businesses reasonably related, ancillary, adjacent or incidental thereto.</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None of the Company or any Subsidiary will purchase, hold, acquire (including pursuant to any merger or consolidation with any Person that was not a wholly-owned Subsidiary prior thereto), make or otherwise permit to exist any Investment in any other Person, except:</w:t>
      </w:r>
    </w:p>
    <w:p>
      <w:pPr>
        <w:spacing w:after="0" w:line="181" w:lineRule="exact"/>
        <w:rPr>
          <w:sz w:val="20"/>
          <w:szCs w:val="20"/>
          <w:color w:val="auto"/>
        </w:rPr>
      </w:pPr>
    </w:p>
    <w:p>
      <w:pPr>
        <w:ind w:left="1900" w:hanging="595"/>
        <w:spacing w:after="0"/>
        <w:tabs>
          <w:tab w:leader="none" w:pos="1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GCA Acquisition;</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ind w:left="-20" w:firstLine="1305"/>
        <w:spacing w:after="0" w:line="277" w:lineRule="auto"/>
        <w:tabs>
          <w:tab w:leader="none" w:pos="203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 Investments existing in Subsidiaries on the Closing Date and (ii) other Investments existing or contemplated by investment agreements existing on the Closing Date as set forth on </w:t>
      </w:r>
      <w:r>
        <w:rPr>
          <w:rFonts w:ascii="Arial" w:cs="Arial" w:eastAsia="Arial" w:hAnsi="Arial"/>
          <w:sz w:val="18"/>
          <w:szCs w:val="18"/>
          <w:u w:val="single" w:color="auto"/>
          <w:color w:val="auto"/>
        </w:rPr>
        <w:t>Schedule 6.04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305"/>
        <w:spacing w:after="0" w:line="270" w:lineRule="auto"/>
        <w:tabs>
          <w:tab w:leader="none" w:pos="19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(i) Investments by any Loan Party in another Loan Party, (ii) Investments by any Subsidiary that is not a Loan Party in any other Subsidiary that is not a Loan Party, (iii) Investments by Loan Parties in any Subsidiary (including any Unrestricted Subsidiary) that is not a Loan Party, (iv) Investments by Loan Parties in any Subsidiary that is not a Loan Party so long as such Investment is part of a series of simultaneous Investments by Subsidiaries in other Subsidiaries (including Unrestricted Subsidiaries) that result in the proceeds of the initial Investment being invested in one or more Loan Parties and (v) Investments (including by way of capital contributions) by the Company and the Subsidiaries in Equity Interests in their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case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that (x) any such Equity Interests held by a Loan Party shall be pledged in accordance with the requirements of (and to the extent required by) the Collateral and Guarantee Requirement and (y) no Investment by any Loan Party in any Subsidiary that is not a Loan Party shall be permitted pursuant to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if, at the time of the making of, and after giving effect to, such Investment (and any substantially simultaneous use of the Permitted Amount), the Permitted Amount would be less than zero;</w:t>
      </w:r>
    </w:p>
    <w:p>
      <w:pPr>
        <w:spacing w:after="0" w:line="181" w:lineRule="exact"/>
        <w:rPr>
          <w:rFonts w:ascii="Arial" w:cs="Arial" w:eastAsia="Arial" w:hAnsi="Arial"/>
          <w:sz w:val="17"/>
          <w:szCs w:val="17"/>
          <w:color w:val="auto"/>
        </w:rPr>
      </w:pPr>
    </w:p>
    <w:p>
      <w:pPr>
        <w:jc w:val="both"/>
        <w:ind w:left="-20" w:firstLine="1305"/>
        <w:spacing w:after="0" w:line="259" w:lineRule="auto"/>
        <w:tabs>
          <w:tab w:leader="none" w:pos="197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loans or advances made among the Company and its Subsidiaries (including Unrestricted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or advance made by any Loan Party to a Subsidiary (including any Unrestricted Subsidiary) that is not a Loan Party shall be permitted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6.04(e)</w:t>
      </w:r>
      <w:r>
        <w:rPr>
          <w:rFonts w:ascii="Arial" w:cs="Arial" w:eastAsia="Arial" w:hAnsi="Arial"/>
          <w:sz w:val="18"/>
          <w:szCs w:val="18"/>
          <w:color w:val="auto"/>
        </w:rPr>
        <w:t xml:space="preserve"> if, at the time of, and after giving effect to, the making of such loan or advance (and any substantially simultaneous use of the Permitted Amount) and the use of proceeds thereof, the Permitted Amount would be less than zero;</w:t>
      </w:r>
    </w:p>
    <w:p>
      <w:pPr>
        <w:spacing w:after="0" w:line="186" w:lineRule="exact"/>
        <w:rPr>
          <w:rFonts w:ascii="Arial" w:cs="Arial" w:eastAsia="Arial" w:hAnsi="Arial"/>
          <w:sz w:val="18"/>
          <w:szCs w:val="18"/>
          <w:color w:val="auto"/>
        </w:rPr>
      </w:pPr>
    </w:p>
    <w:p>
      <w:pPr>
        <w:jc w:val="both"/>
        <w:ind w:left="-20" w:firstLine="1305"/>
        <w:spacing w:after="0" w:line="269" w:lineRule="auto"/>
        <w:tabs>
          <w:tab w:leader="none" w:pos="194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Guarantees by the Company or any Subsidiary of Indebtedness or other obligations of the Company or any Subsidiary, including any Unrestricted Subsidiary (including any such Guarantees arising as a result of any such Person being a joint and several co-applicant with respect to any letter of credit or letter of guaranty);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 a Subsidiary (including any Unrestricted Subsidiary) that has not Guaranteed the Obligations pursuant to the Guarantee Agreement shall not Guarantee any Indebtedness of any Loan Party (other than Indebtedness of a Loan Party owed to the Company or a Subsidiary) in an amount not to exceed at any time outstanding the greater of (A) $25,000,000 and (B) 8% of Consolidated EBITDA computed on a Pro Forma Basis for the most recently ended Test Period as of the time such Indebtedness is guaranteed and (B) if the Guarantee is of Indebtedness that is required to be subordinated to the Loan Document Obligations, such Guarantee shall be subordinated to the Loan Document Obligations on terms no less favorable to the Lenders, taken as a whole, than the subordination terms of such Subordinated Indebtedness, (ii) any such Guarantee constituting Indebtedness is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thereof) and (iii) no Guarantee by any Loan Party of Indebtedness (excluding, for the avoidance of doubt, Guarantees of obligations not constituting Indebtedness) of any Subsidiary (including any Unrestricted Subsidiary) that is not a Loan Party shall be permitted pursuant to this </w:t>
      </w:r>
      <w:r>
        <w:rPr>
          <w:rFonts w:ascii="Arial" w:cs="Arial" w:eastAsia="Arial" w:hAnsi="Arial"/>
          <w:sz w:val="17"/>
          <w:szCs w:val="17"/>
          <w:u w:val="single" w:color="auto"/>
          <w:color w:val="auto"/>
        </w:rPr>
        <w:t>Section 6.04(f)</w:t>
      </w:r>
      <w:r>
        <w:rPr>
          <w:rFonts w:ascii="Arial" w:cs="Arial" w:eastAsia="Arial" w:hAnsi="Arial"/>
          <w:sz w:val="17"/>
          <w:szCs w:val="17"/>
          <w:color w:val="auto"/>
        </w:rPr>
        <w:t xml:space="preserve"> if, at the time of the making of, and after giving effect to, such Guarantee (and any substantially simultaneous use of the Permitted Amount), the Permitted Amount would be zero;</w:t>
      </w:r>
    </w:p>
    <w:p>
      <w:pPr>
        <w:spacing w:after="0" w:line="179" w:lineRule="exact"/>
        <w:rPr>
          <w:rFonts w:ascii="Arial" w:cs="Arial" w:eastAsia="Arial" w:hAnsi="Arial"/>
          <w:sz w:val="17"/>
          <w:szCs w:val="17"/>
          <w:color w:val="auto"/>
        </w:rPr>
      </w:pPr>
    </w:p>
    <w:p>
      <w:pPr>
        <w:jc w:val="both"/>
        <w:ind w:left="-20" w:firstLine="1305"/>
        <w:spacing w:after="0" w:line="302" w:lineRule="auto"/>
        <w:tabs>
          <w:tab w:leader="none" w:pos="1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(i) loans or advances to officers, directors or employees of the Company or any Subsidiary made in the ordinary course of business, including those to finance the purchase of Equity Interests of the Company pursuant to employee plans and (ii) payroll, travel, entertainment, relocation and similar advances to officers, directors and employees of the Company or any Subsidiary that are made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such loans and advances under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outstanding at any time shall not exceed $5,000,000;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7" w:name="page168"/>
    <w:bookmarkEnd w:id="167"/>
    <w:p>
      <w:pPr>
        <w:jc w:val="both"/>
        <w:ind w:left="-20" w:right="20" w:firstLine="1305"/>
        <w:spacing w:after="0" w:line="264" w:lineRule="auto"/>
        <w:tabs>
          <w:tab w:leader="none" w:pos="201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86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Permitted Acquisitions (it being understood the definition thereof contains certain separate requirements that must be complied with in order for an Investment to qualify as a Permitted Acquisition) and Investments consisting of cash earnest money deposits in connection with a Permitted Acquisition or other Investment permitted hereunder;</w:t>
      </w:r>
    </w:p>
    <w:p>
      <w:pPr>
        <w:spacing w:after="0" w:line="181" w:lineRule="exact"/>
        <w:rPr>
          <w:rFonts w:ascii="Arial" w:cs="Arial" w:eastAsia="Arial" w:hAnsi="Arial"/>
          <w:sz w:val="18"/>
          <w:szCs w:val="18"/>
          <w:color w:val="auto"/>
        </w:rPr>
      </w:pPr>
    </w:p>
    <w:p>
      <w:pPr>
        <w:jc w:val="both"/>
        <w:ind w:left="-20" w:firstLine="1305"/>
        <w:spacing w:after="0" w:line="312" w:lineRule="auto"/>
        <w:tabs>
          <w:tab w:leader="none" w:pos="190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Investments held by a Subsidiary acquired after the Closing Date or of a Person merged or consolidated with or into the Company or a Subsidiary after the Closing Date, in each case as permitted hereunder, to the extent that such Investments were not made in contemplation of or in connection with such acquisition, merger or consolidation and were in existence on the date of such acquisition, merger or consolidation;</w:t>
      </w:r>
    </w:p>
    <w:p>
      <w:pPr>
        <w:spacing w:after="0" w:line="146" w:lineRule="exact"/>
        <w:rPr>
          <w:rFonts w:ascii="Arial" w:cs="Arial" w:eastAsia="Arial" w:hAnsi="Arial"/>
          <w:sz w:val="16"/>
          <w:szCs w:val="16"/>
          <w:color w:val="auto"/>
        </w:rPr>
      </w:pPr>
    </w:p>
    <w:p>
      <w:pPr>
        <w:ind w:left="-20" w:right="20" w:firstLine="1305"/>
        <w:spacing w:after="0" w:line="277" w:lineRule="auto"/>
        <w:tabs>
          <w:tab w:leader="none" w:pos="19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Investments made as a result of the receipt of non-cash consideration from a sale, transfer, lease or other disposition of any asset in compliance with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90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81" w:lineRule="exact"/>
        <w:rPr>
          <w:rFonts w:ascii="Arial" w:cs="Arial" w:eastAsia="Arial" w:hAnsi="Arial"/>
          <w:sz w:val="18"/>
          <w:szCs w:val="18"/>
          <w:color w:val="auto"/>
        </w:rPr>
      </w:pPr>
    </w:p>
    <w:p>
      <w:pPr>
        <w:ind w:left="1900" w:hanging="615"/>
        <w:spacing w:after="0"/>
        <w:tabs>
          <w:tab w:leader="none" w:pos="1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Investments in the form of Hedging Agreements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76" w:lineRule="auto"/>
        <w:tabs>
          <w:tab w:leader="none" w:pos="194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and (iv) Guarantees made in the ordinary course of business in support of obligations of the Company or any of its Subsidiaries not constituting Indebtedness for borrowed money, including operating leases and obligations owing to suppliers, customers and licensees;</w:t>
      </w:r>
    </w:p>
    <w:p>
      <w:pPr>
        <w:spacing w:after="0" w:line="172" w:lineRule="exact"/>
        <w:rPr>
          <w:rFonts w:ascii="Arial" w:cs="Arial" w:eastAsia="Arial" w:hAnsi="Arial"/>
          <w:sz w:val="17"/>
          <w:szCs w:val="17"/>
          <w:color w:val="auto"/>
        </w:rPr>
      </w:pPr>
    </w:p>
    <w:p>
      <w:pPr>
        <w:ind w:left="-20" w:firstLine="1305"/>
        <w:spacing w:after="0" w:line="277" w:lineRule="auto"/>
        <w:tabs>
          <w:tab w:leader="none" w:pos="19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mergers and consolidations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that do not involve any Person other than the Company and Subsidiaries that are wholly-owned Subsidiaries;</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193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Investments (including by way of capital contributions, loans and advances and Guarantees of Indebtedness) by the Company and the Subsidiaries in Unrestricted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Investment may be made under this </w:t>
      </w:r>
      <w:r>
        <w:rPr>
          <w:rFonts w:ascii="Arial" w:cs="Arial" w:eastAsia="Arial" w:hAnsi="Arial"/>
          <w:sz w:val="18"/>
          <w:szCs w:val="18"/>
          <w:u w:val="single" w:color="auto"/>
          <w:color w:val="auto"/>
        </w:rPr>
        <w:t>clause (p)</w:t>
      </w:r>
      <w:r>
        <w:rPr>
          <w:rFonts w:ascii="Arial" w:cs="Arial" w:eastAsia="Arial" w:hAnsi="Arial"/>
          <w:sz w:val="18"/>
          <w:szCs w:val="18"/>
          <w:color w:val="auto"/>
        </w:rPr>
        <w:t xml:space="preserve"> if, at time of the making of, and after giving effect to, such Investment (and any substantially simultaneous use of the Specified Permitted Amount), the Specified Permitted Amount would be less than zero;</w:t>
      </w:r>
    </w:p>
    <w:p>
      <w:pPr>
        <w:spacing w:after="0" w:line="186" w:lineRule="exact"/>
        <w:rPr>
          <w:rFonts w:ascii="Arial" w:cs="Arial" w:eastAsia="Arial" w:hAnsi="Arial"/>
          <w:sz w:val="18"/>
          <w:szCs w:val="18"/>
          <w:color w:val="auto"/>
        </w:rPr>
      </w:pPr>
    </w:p>
    <w:p>
      <w:pPr>
        <w:ind w:left="-20" w:right="20" w:firstLine="1305"/>
        <w:spacing w:after="0" w:line="277" w:lineRule="auto"/>
        <w:tabs>
          <w:tab w:leader="none" w:pos="204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Investments consisting of Guarantees in the ordinary course of business to support the obligations of any Subsidiary under its worker’s compensation and general insurance agreements;</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20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contributions of Permitted Receivables Facility Assets and cash deemed received from proceeds of Permitted Receivables Facility Assets to any Receivables Entity to the extent required or made pursuant to Permitted Receivables Facility Documents or to the extent necessary to keep such Receivables Entity properly capitalized to avoid insolvency or consolidation with a Loan Party or any of the Subsidiaries and (ii) loans or advances made by the Company or any Receivables Seller to the Receivables Entity for the purchase price of the Receivables and the Permitted Receivables Facility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8" w:name="page169"/>
    <w:bookmarkEnd w:id="168"/>
    <w:p>
      <w:pPr>
        <w:jc w:val="both"/>
        <w:ind w:left="-20" w:firstLine="1305"/>
        <w:spacing w:after="0" w:line="264" w:lineRule="auto"/>
        <w:tabs>
          <w:tab w:leader="none" w:pos="197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intercompany loans or other intercompany Investments made by the Loan Parties in the ordinary course of business to or in any Subsidiary that is not a Loan Party to provide funds as necessary to enable the applicable Subsidiary that is not a Loan Party to comply with changes in statutory or contractual capital requirements (other than any contractual requirement that constitutes a Guarantee);</w:t>
      </w:r>
    </w:p>
    <w:p>
      <w:pPr>
        <w:spacing w:after="0" w:line="181" w:lineRule="exact"/>
        <w:rPr>
          <w:rFonts w:ascii="Arial" w:cs="Arial" w:eastAsia="Arial" w:hAnsi="Arial"/>
          <w:sz w:val="18"/>
          <w:szCs w:val="18"/>
          <w:color w:val="auto"/>
        </w:rPr>
      </w:pPr>
    </w:p>
    <w:p>
      <w:pPr>
        <w:ind w:left="1860" w:hanging="575"/>
        <w:spacing w:after="0"/>
        <w:tabs>
          <w:tab w:leader="none" w:pos="18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to the extent procured in exchange for the issuance of Qualified Equity Interests;</w:t>
      </w:r>
    </w:p>
    <w:p>
      <w:pPr>
        <w:spacing w:after="0" w:line="225" w:lineRule="exact"/>
        <w:rPr>
          <w:rFonts w:ascii="Arial" w:cs="Arial" w:eastAsia="Arial" w:hAnsi="Arial"/>
          <w:sz w:val="18"/>
          <w:szCs w:val="18"/>
          <w:color w:val="auto"/>
        </w:rPr>
      </w:pPr>
    </w:p>
    <w:p>
      <w:pPr>
        <w:ind w:left="-20" w:firstLine="1305"/>
        <w:spacing w:after="0" w:line="277" w:lineRule="auto"/>
        <w:tabs>
          <w:tab w:leader="none" w:pos="21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Investments to the extent consisting of the redemption, purchase, repurchase or retirement of any common Equity Interests expressly permitted under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98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Guarantees by the Company or any Subsidiary of operating leases or of other obligations (for the avoidance of doubt, excluding any Capital Lease Obligations) that do not constitute Indebtedness, in each case, entered into by the Company or any such Subsidiary in the ordinary course of business;</w:t>
      </w:r>
    </w:p>
    <w:p>
      <w:pPr>
        <w:spacing w:after="0" w:line="181" w:lineRule="exact"/>
        <w:rPr>
          <w:rFonts w:ascii="Arial" w:cs="Arial" w:eastAsia="Arial" w:hAnsi="Arial"/>
          <w:sz w:val="18"/>
          <w:szCs w:val="18"/>
          <w:color w:val="auto"/>
        </w:rPr>
      </w:pPr>
    </w:p>
    <w:p>
      <w:pPr>
        <w:ind w:left="-20" w:firstLine="1305"/>
        <w:spacing w:after="0" w:line="277" w:lineRule="auto"/>
        <w:tabs>
          <w:tab w:leader="none" w:pos="196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Investments consisting of the non-exclusive licensing of Intellectual Property pursuant to joint marketing arrangements with other Persons, in the ordinary course of business;</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95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additional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Total Leverage Ratio immediately after giving effect to any such Investment, calculated on a Pro Forma Basis at the time such Investment is made, is not in excess of 2.75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the time any such Investment is made pursuant to this </w:t>
      </w:r>
      <w:r>
        <w:rPr>
          <w:rFonts w:ascii="Arial" w:cs="Arial" w:eastAsia="Arial" w:hAnsi="Arial"/>
          <w:sz w:val="18"/>
          <w:szCs w:val="18"/>
          <w:u w:val="single" w:color="auto"/>
          <w:color w:val="auto"/>
        </w:rPr>
        <w:t>clause (x)</w:t>
      </w:r>
      <w:r>
        <w:rPr>
          <w:rFonts w:ascii="Arial" w:cs="Arial" w:eastAsia="Arial" w:hAnsi="Arial"/>
          <w:sz w:val="18"/>
          <w:szCs w:val="18"/>
          <w:color w:val="auto"/>
        </w:rPr>
        <w:t>, no Event of Default shall have occurred and be continuing or would result therefrom;</w:t>
      </w:r>
    </w:p>
    <w:p>
      <w:pPr>
        <w:spacing w:after="0" w:line="181" w:lineRule="exact"/>
        <w:rPr>
          <w:rFonts w:ascii="Arial" w:cs="Arial" w:eastAsia="Arial" w:hAnsi="Arial"/>
          <w:sz w:val="18"/>
          <w:szCs w:val="18"/>
          <w:color w:val="auto"/>
        </w:rPr>
      </w:pPr>
    </w:p>
    <w:p>
      <w:pPr>
        <w:jc w:val="both"/>
        <w:ind w:left="-20" w:firstLine="1305"/>
        <w:spacing w:after="0" w:line="259" w:lineRule="auto"/>
        <w:tabs>
          <w:tab w:leader="none" w:pos="21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Investments made in connection with the cash management of the Company and the Subsidiaries; provided that such Investments are made in the ordinary course of business or are consistent with past practice and (ii) intercompany loans, advances, payables and receivables made among the Company and its Subsidiaries in connection with the cash management of such entities in the ordinary course of business or consistent with past practice;</w:t>
      </w:r>
    </w:p>
    <w:p>
      <w:pPr>
        <w:spacing w:after="0" w:line="186" w:lineRule="exact"/>
        <w:rPr>
          <w:rFonts w:ascii="Arial" w:cs="Arial" w:eastAsia="Arial" w:hAnsi="Arial"/>
          <w:sz w:val="18"/>
          <w:szCs w:val="18"/>
          <w:color w:val="auto"/>
        </w:rPr>
      </w:pPr>
    </w:p>
    <w:p>
      <w:pPr>
        <w:jc w:val="both"/>
        <w:ind w:left="-20" w:firstLine="1305"/>
        <w:spacing w:after="0" w:line="286" w:lineRule="auto"/>
        <w:tabs>
          <w:tab w:leader="none" w:pos="205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66" w:lineRule="exact"/>
        <w:rPr>
          <w:sz w:val="20"/>
          <w:szCs w:val="20"/>
          <w:color w:val="auto"/>
        </w:rPr>
      </w:pPr>
    </w:p>
    <w:p>
      <w:pPr>
        <w:ind w:left="1960" w:hanging="67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Permitted Reorganization;</w:t>
      </w:r>
    </w:p>
    <w:p>
      <w:pPr>
        <w:spacing w:after="0" w:line="225" w:lineRule="exact"/>
        <w:rPr>
          <w:rFonts w:ascii="Arial" w:cs="Arial" w:eastAsia="Arial" w:hAnsi="Arial"/>
          <w:sz w:val="18"/>
          <w:szCs w:val="18"/>
          <w:color w:val="auto"/>
        </w:rPr>
      </w:pPr>
    </w:p>
    <w:p>
      <w:pPr>
        <w:ind w:left="-20" w:firstLine="1305"/>
        <w:spacing w:after="0" w:line="277" w:lineRule="auto"/>
        <w:tabs>
          <w:tab w:leader="none" w:pos="208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Indebtedness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guarantees of obligations that do not constitute Indebtedness and are otherwise not prohibited hereunder and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7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accounts receivable arising and trade credit granted in the ordinary course of business;</w:t>
      </w:r>
    </w:p>
    <w:p>
      <w:pPr>
        <w:spacing w:after="0" w:line="225" w:lineRule="exact"/>
        <w:rPr>
          <w:rFonts w:ascii="Arial" w:cs="Arial" w:eastAsia="Arial" w:hAnsi="Arial"/>
          <w:sz w:val="18"/>
          <w:szCs w:val="18"/>
          <w:color w:val="auto"/>
        </w:rPr>
      </w:pPr>
    </w:p>
    <w:p>
      <w:pPr>
        <w:ind w:left="-20" w:firstLine="1305"/>
        <w:spacing w:after="0" w:line="308" w:lineRule="auto"/>
        <w:tabs>
          <w:tab w:leader="none" w:pos="209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additional Investments in an aggregate amount not to exceed, in any fiscal year, the greater of (A) $25,000,000 and (B) 8% of Consolidated EBITDA computed on a Pro Forma Basis for the most recently ended Test Period as of the time such Investments are made;</w:t>
      </w:r>
    </w:p>
    <w:p>
      <w:pPr>
        <w:spacing w:after="0" w:line="146" w:lineRule="exact"/>
        <w:rPr>
          <w:rFonts w:ascii="Arial" w:cs="Arial" w:eastAsia="Arial" w:hAnsi="Arial"/>
          <w:sz w:val="17"/>
          <w:szCs w:val="17"/>
          <w:color w:val="auto"/>
        </w:rPr>
      </w:pPr>
    </w:p>
    <w:p>
      <w:pPr>
        <w:jc w:val="both"/>
        <w:ind w:left="-20" w:firstLine="1305"/>
        <w:spacing w:after="0" w:line="257" w:lineRule="auto"/>
        <w:tabs>
          <w:tab w:leader="none" w:pos="215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Investments which, when made, constitute Permitted Joint Ventures; provided that such investments shall only be permitted hereunder if the Dollar Equivalent of all consideration paid (including any Indebtedness assumed), and any contractually binding commitment to pay any additional consideration or make any future capital contributions incurred in connection therewith does not exceed, together with all other amounts so paid, assumed or incurred, or with respect to which the Company or any Subsidiary has any commitment, in connection with all other Permitted Joint Ventures outstanding at such time, $40,000,000;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9" w:name="page170"/>
    <w:bookmarkEnd w:id="169"/>
    <w:p>
      <w:pPr>
        <w:jc w:val="both"/>
        <w:ind w:firstLine="1305"/>
        <w:spacing w:after="0" w:line="264" w:lineRule="auto"/>
        <w:tabs>
          <w:tab w:leader="none" w:pos="207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Investments in Captive Insurance Companies (i) in an aggregate amount not to exceed $75,000,000 at any time and (ii) to the extent necessary to cause such Captive Insurance Companies to comply with applicable legal and/or regulatory requirements; provided that, the aggregate amount of Investments permitted in reliance on this clause (ff)(ii) shall not exceed $25,000,000 at any time; and</w:t>
      </w:r>
    </w:p>
    <w:p>
      <w:pPr>
        <w:spacing w:after="0" w:line="181" w:lineRule="exact"/>
        <w:rPr>
          <w:rFonts w:ascii="Arial" w:cs="Arial" w:eastAsia="Arial" w:hAnsi="Arial"/>
          <w:sz w:val="18"/>
          <w:szCs w:val="18"/>
          <w:color w:val="auto"/>
        </w:rPr>
      </w:pPr>
    </w:p>
    <w:p>
      <w:pPr>
        <w:ind w:left="2240" w:hanging="935"/>
        <w:spacing w:after="0"/>
        <w:tabs>
          <w:tab w:leader="none" w:pos="22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Investments by any Captive Insurance Company in accounts receivable of or in the form of loans to the Company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Notwithstanding anything contrary set forth above, (i) if any Investment is denominated in a foreign currency, no fluctuation in currency values shall result in a breach of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(ii) if any Investment is made in reliance on any “basket” determined by reference to Consolidated EBITDA, no fluctuation in the amount of Consolidated EBITDA shall result in a breach of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In addition, in the event that a Loan Party makes an Investment in an Excluded Subsidiary for purposes of permitting such Excluded Subsidiary or any other Excluded Subsidiary to apply the amounts received by it to make a substantially concurrent Investment (which may be made through any other Excluded Subsidiary) permitted hereunder, such substantially concurrent Investment by such Excluded Subsidiary shall not be included as an Investment for purposes of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to the extent that the initial Investment by the Loan Party reduced amounts available to make Investments hereunder.</w:t>
      </w:r>
    </w:p>
    <w:p>
      <w:pPr>
        <w:spacing w:after="0" w:line="17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Asset Sales</w:t>
      </w:r>
      <w:r>
        <w:rPr>
          <w:rFonts w:ascii="Arial" w:cs="Arial" w:eastAsia="Arial" w:hAnsi="Arial"/>
          <w:sz w:val="17"/>
          <w:szCs w:val="17"/>
          <w:color w:val="auto"/>
        </w:rPr>
        <w:t xml:space="preserve">. None of the Company or any Subsidiary will sell, transfer, lease, license, sublicense or otherwise dispose of any asset, including any Equity Interest owned by it (but other than, for the avoidance of doubt, treasury shares of the Company held by the Company), nor will any Subsidiary issue any additional Equity Interest in such Subsidiary (other than issuing directors’ qualifying shares and other than issuing Equity Interests to the Company or another Subsidiary in compliance with </w:t>
      </w:r>
      <w:r>
        <w:rPr>
          <w:rFonts w:ascii="Arial" w:cs="Arial" w:eastAsia="Arial" w:hAnsi="Arial"/>
          <w:sz w:val="17"/>
          <w:szCs w:val="17"/>
          <w:u w:val="single" w:color="auto"/>
          <w:color w:val="auto"/>
        </w:rPr>
        <w:t>Section 6.04(d)</w:t>
      </w:r>
      <w:r>
        <w:rPr>
          <w:rFonts w:ascii="Arial" w:cs="Arial" w:eastAsia="Arial" w:hAnsi="Arial"/>
          <w:sz w:val="17"/>
          <w:szCs w:val="17"/>
          <w:color w:val="auto"/>
        </w:rPr>
        <w:t>) (each, a “</w:t>
      </w:r>
      <w:r>
        <w:rPr>
          <w:rFonts w:ascii="Arial" w:cs="Arial" w:eastAsia="Arial" w:hAnsi="Arial"/>
          <w:sz w:val="17"/>
          <w:szCs w:val="17"/>
          <w:u w:val="single" w:color="auto"/>
          <w:color w:val="auto"/>
        </w:rPr>
        <w:t>Disposition</w:t>
      </w:r>
      <w:r>
        <w:rPr>
          <w:rFonts w:ascii="Arial" w:cs="Arial" w:eastAsia="Arial" w:hAnsi="Arial"/>
          <w:sz w:val="17"/>
          <w:szCs w:val="17"/>
          <w:color w:val="auto"/>
        </w:rPr>
        <w:t>”), except:</w:t>
      </w:r>
    </w:p>
    <w:p>
      <w:pPr>
        <w:spacing w:after="0" w:line="171" w:lineRule="exact"/>
        <w:rPr>
          <w:sz w:val="20"/>
          <w:szCs w:val="20"/>
          <w:color w:val="auto"/>
        </w:rPr>
      </w:pPr>
    </w:p>
    <w:p>
      <w:pPr>
        <w:ind w:right="20" w:firstLine="1305"/>
        <w:spacing w:after="0" w:line="277" w:lineRule="auto"/>
        <w:tabs>
          <w:tab w:leader="none" w:pos="210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Dispositions of (i) inventory or other tangible property, (ii) used, obsolete, damaged or surplus equipment and (iii) cash and Permitted Investments, in each case in the ordinary course of business;</w:t>
      </w:r>
    </w:p>
    <w:p>
      <w:pPr>
        <w:spacing w:after="0" w:line="170" w:lineRule="exact"/>
        <w:rPr>
          <w:rFonts w:ascii="Arial" w:cs="Arial" w:eastAsia="Arial" w:hAnsi="Arial"/>
          <w:sz w:val="18"/>
          <w:szCs w:val="18"/>
          <w:color w:val="auto"/>
        </w:rPr>
      </w:pPr>
    </w:p>
    <w:p>
      <w:pPr>
        <w:ind w:firstLine="1305"/>
        <w:spacing w:after="0" w:line="277" w:lineRule="auto"/>
        <w:tabs>
          <w:tab w:leader="none" w:pos="19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Dispositions to the Company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Disposition involving a Subsidiary that is not a Loan Party shall be made in compliance with </w:t>
      </w:r>
      <w:r>
        <w:rPr>
          <w:rFonts w:ascii="Arial" w:cs="Arial" w:eastAsia="Arial" w:hAnsi="Arial"/>
          <w:sz w:val="18"/>
          <w:szCs w:val="18"/>
          <w:u w:val="single" w:color="auto"/>
          <w:color w:val="auto"/>
        </w:rPr>
        <w:t>Sections 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277" w:lineRule="auto"/>
        <w:tabs>
          <w:tab w:leader="none" w:pos="197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Dispositions of accounts receivable in connection with the compromise, settlement or collection thereof in the ordinary course of business consistent with past practice and not as part of any accounts receivables financing transaction;</w:t>
      </w:r>
    </w:p>
    <w:p>
      <w:pPr>
        <w:spacing w:after="0" w:line="170" w:lineRule="exact"/>
        <w:rPr>
          <w:rFonts w:ascii="Arial" w:cs="Arial" w:eastAsia="Arial" w:hAnsi="Arial"/>
          <w:sz w:val="18"/>
          <w:szCs w:val="18"/>
          <w:color w:val="auto"/>
        </w:rPr>
      </w:pPr>
    </w:p>
    <w:p>
      <w:pPr>
        <w:ind w:firstLine="1305"/>
        <w:spacing w:after="0" w:line="308" w:lineRule="auto"/>
        <w:tabs>
          <w:tab w:leader="none" w:pos="195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(i) Dispositions of assets to the extent that such Disposition constitutes an Investment referred to in and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(ii) Dispositions of assets to the extent that such Disposition constitute a Restricted Payment referred to in and permitted by </w:t>
      </w:r>
      <w:r>
        <w:rPr>
          <w:rFonts w:ascii="Arial" w:cs="Arial" w:eastAsia="Arial" w:hAnsi="Arial"/>
          <w:sz w:val="17"/>
          <w:szCs w:val="17"/>
          <w:u w:val="single" w:color="auto"/>
          <w:color w:val="auto"/>
        </w:rPr>
        <w:t>Section 6.08</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900" w:hanging="595"/>
        <w:spacing w:after="0"/>
        <w:tabs>
          <w:tab w:leader="none" w:pos="1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Sale/Leaseback Transactions permitted by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96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Licenses, sublicenses, leases or subleases entered into in the ordinary course of business, to the extent that they do not materially interfere with the business of the Company or any Subsidiary;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0" w:name="page171"/>
    <w:bookmarkEnd w:id="170"/>
    <w:p>
      <w:pPr>
        <w:ind w:left="1920" w:hanging="615"/>
        <w:spacing w:after="0"/>
        <w:tabs>
          <w:tab w:leader="none" w:pos="1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Non-exclusive licenses or sublicenses of Intellectual Property in the ordinary course of business;</w:t>
      </w:r>
    </w:p>
    <w:p>
      <w:pPr>
        <w:spacing w:after="0" w:line="225" w:lineRule="exact"/>
        <w:rPr>
          <w:rFonts w:ascii="Arial" w:cs="Arial" w:eastAsia="Arial" w:hAnsi="Arial"/>
          <w:sz w:val="18"/>
          <w:szCs w:val="18"/>
          <w:color w:val="auto"/>
        </w:rPr>
      </w:pPr>
    </w:p>
    <w:p>
      <w:pPr>
        <w:ind w:firstLine="1305"/>
        <w:spacing w:after="0" w:line="277" w:lineRule="auto"/>
        <w:tabs>
          <w:tab w:leader="none" w:pos="21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asset of any of the Company or any Subsidiary;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spacing w:after="0" w:line="181" w:lineRule="exact"/>
        <w:rPr>
          <w:rFonts w:ascii="Arial" w:cs="Arial" w:eastAsia="Arial" w:hAnsi="Arial"/>
          <w:sz w:val="18"/>
          <w:szCs w:val="18"/>
          <w:color w:val="auto"/>
        </w:rPr>
      </w:pPr>
    </w:p>
    <w:p>
      <w:pPr>
        <w:ind w:left="1880" w:hanging="575"/>
        <w:spacing w:after="0"/>
        <w:tabs>
          <w:tab w:leader="none" w:pos="1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the relevant joint venture arrangements;</w:t>
      </w:r>
    </w:p>
    <w:p>
      <w:pPr>
        <w:spacing w:after="0" w:line="225" w:lineRule="exact"/>
        <w:rPr>
          <w:rFonts w:ascii="Arial" w:cs="Arial" w:eastAsia="Arial" w:hAnsi="Arial"/>
          <w:sz w:val="18"/>
          <w:szCs w:val="18"/>
          <w:color w:val="auto"/>
        </w:rPr>
      </w:pPr>
    </w:p>
    <w:p>
      <w:pPr>
        <w:ind w:firstLine="1305"/>
        <w:spacing w:after="0" w:line="277" w:lineRule="auto"/>
        <w:tabs>
          <w:tab w:leader="none" w:pos="19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abandonment, cancellation, non-renewal or discontinuance of use or maintenance of non-material Intellectual Property that the Company determines in its reasonable judgment does not need to be used or maintained;</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93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additional Dispositions of assets (including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the total fair market value of the assets subject to any such Disposition or series of related Dispositions is in excess of $10,000,000, it shall be for fair market value (or if not for fair market value, the shortfall is permitted as and treated as an Investment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(ii) at least 75% of the total consideration for any such Disposition received by the Company and its Subsidiaries is in the form of cash or Permitted Investments, (iii) no Event of Default then exists or would result from such Disposition (except if such Disposition is made pursuant to an agreement entered into at a time when no Event of Default exists) and (iv) the requirements of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to the extent applicable, are complied with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 (B) any securities, notes or other obligations or assets received by the Company or any of its Subsidiaries from such transferee that are converted by the Company or such Subsidiary into cash or Permitted Investments (to the extent of the cash or Permitted Investments received) within one hundred and eighty (180) days following the closing of the applicable Disposition and (C) any Designated Non-Cash Consideration received by the Company or any of its Subsidiaries in such Disposition having an aggregate fair market value, taken together with all other Designated Non-Cash Consideration received pursuant to this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that is at that time outstanding, not to exceed $20,000,000 (with the fair market value of each item of Designated Non-Cash Consideration being measured at the time received and without giving effect to subsequent changes in value);</w:t>
      </w:r>
    </w:p>
    <w:p>
      <w:pPr>
        <w:spacing w:after="0" w:line="168" w:lineRule="exact"/>
        <w:rPr>
          <w:rFonts w:ascii="Arial" w:cs="Arial" w:eastAsia="Arial" w:hAnsi="Arial"/>
          <w:sz w:val="16"/>
          <w:szCs w:val="16"/>
          <w:color w:val="auto"/>
        </w:rPr>
      </w:pPr>
    </w:p>
    <w:p>
      <w:pPr>
        <w:ind w:left="1960" w:hanging="655"/>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granting of Liens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6.02(f)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by reference to this </w:t>
      </w:r>
      <w:r>
        <w:rPr>
          <w:rFonts w:ascii="Arial" w:cs="Arial" w:eastAsia="Arial" w:hAnsi="Arial"/>
          <w:sz w:val="18"/>
          <w:szCs w:val="18"/>
          <w:u w:val="single" w:color="auto"/>
          <w:color w:val="auto"/>
        </w:rPr>
        <w:t>Section 6.05(n)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915"/>
        <w:spacing w:after="0"/>
        <w:tabs>
          <w:tab w:leader="none" w:pos="22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Dispositions of receivables in the ordinary course of business and consistent with past practice of the Company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ind w:right="20" w:firstLine="1305"/>
        <w:spacing w:after="0" w:line="277" w:lineRule="auto"/>
        <w:tabs>
          <w:tab w:leader="none" w:pos="194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additional Dispositions of assets in an aggregate amount not to exceed the greater of (A) $25,000,000 and (B) 8% of Consolidated EBITDA computed on a Pro Forma Basis for the most recently ended Test Period as of the time of such Dispositions;</w:t>
      </w:r>
    </w:p>
    <w:p>
      <w:pPr>
        <w:spacing w:after="0" w:line="170" w:lineRule="exact"/>
        <w:rPr>
          <w:rFonts w:ascii="Arial" w:cs="Arial" w:eastAsia="Arial" w:hAnsi="Arial"/>
          <w:sz w:val="18"/>
          <w:szCs w:val="18"/>
          <w:color w:val="auto"/>
        </w:rPr>
      </w:pPr>
    </w:p>
    <w:p>
      <w:pPr>
        <w:ind w:firstLine="1305"/>
        <w:spacing w:after="0" w:line="308" w:lineRule="auto"/>
        <w:tabs>
          <w:tab w:leader="none" w:pos="197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Dispositions of accounts receivable owing to the Company or any Subsidiary pursuant to any ESPC;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such accounts receivable sold or otherwise disposed of during the term of this Agreement shall not exceed $200,000,000; and</w:t>
      </w:r>
    </w:p>
    <w:p>
      <w:pPr>
        <w:spacing w:after="0" w:line="146" w:lineRule="exact"/>
        <w:rPr>
          <w:rFonts w:ascii="Arial" w:cs="Arial" w:eastAsia="Arial" w:hAnsi="Arial"/>
          <w:sz w:val="17"/>
          <w:szCs w:val="17"/>
          <w:color w:val="auto"/>
        </w:rPr>
      </w:pPr>
    </w:p>
    <w:p>
      <w:pPr>
        <w:ind w:firstLine="1305"/>
        <w:spacing w:after="0" w:line="342" w:lineRule="auto"/>
        <w:tabs>
          <w:tab w:leader="none" w:pos="190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or any Subsidiary may transfer, sell and/or pledge Permitted Receivables Related Assets under Permitted Receivables Facilities (subject to the limitation that the Attributable Receivables Indebtedness thereunder shall not exceed an aggregate amount of $150,000,000).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Notwithstanding the foregoing, other than Dispositions to the Company or any Subsidiary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other than directors’ qualifying shares and other nominal amounts of Equity Interests that are required to be held by other Persons under applicable Requirements of Law, no such Disposition of any Equity Interests in any Subsidiary shall be permitted unless immediately after giving effect to such transaction, the Company and the Subsidiaries shall otherwise be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Sale/Leaseback Transactions</w:t>
      </w:r>
      <w:r>
        <w:rPr>
          <w:rFonts w:ascii="Arial" w:cs="Arial" w:eastAsia="Arial" w:hAnsi="Arial"/>
          <w:sz w:val="18"/>
          <w:szCs w:val="18"/>
          <w:color w:val="auto"/>
        </w:rPr>
        <w:t xml:space="preserve">. None of the Company or any Subsidiary will enter into any Sale/Leaseback Transaction unless (a) the sale or transfer of the property thereunder is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6.05(e)</w:t>
      </w:r>
      <w:r>
        <w:rPr>
          <w:rFonts w:ascii="Arial" w:cs="Arial" w:eastAsia="Arial" w:hAnsi="Arial"/>
          <w:sz w:val="18"/>
          <w:szCs w:val="18"/>
          <w:color w:val="auto"/>
        </w:rPr>
        <w:t xml:space="preserve">), (b) any Capital Lease Obligations arising in connection therewith are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(c) any Liens arising in connection therewith (including Liens deemed to arise in connection with any such Capital Lease Obligations) are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Hedging Agreements</w:t>
      </w:r>
      <w:r>
        <w:rPr>
          <w:rFonts w:ascii="Arial" w:cs="Arial" w:eastAsia="Arial" w:hAnsi="Arial"/>
          <w:sz w:val="18"/>
          <w:szCs w:val="18"/>
          <w:color w:val="auto"/>
        </w:rPr>
        <w:t>. None of the Company or any Subsidiary will enter into any Hedging Agreement, other than Hedging Agreements entered into for purposes other than speculative purposes, including (a) Hedging Agreements entered into to hedge or mitigate risks to which the Company or any Subsidiary has actual exposure (other than those in respect of the Equity Interests or Indebtedness of the Company or any Subsidiary), including, without limitation, with respect to currencies, and (b) Hedging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 (a) None of the Company or any Subsidiary will declare or make, directly or indirectly, any Restricted Payment, or incur any obligation (contingent or otherwise) to do so, except that:</w:t>
      </w:r>
    </w:p>
    <w:p>
      <w:pPr>
        <w:spacing w:after="0" w:line="170" w:lineRule="exact"/>
        <w:rPr>
          <w:sz w:val="20"/>
          <w:szCs w:val="20"/>
          <w:color w:val="auto"/>
        </w:rPr>
      </w:pPr>
    </w:p>
    <w:p>
      <w:pPr>
        <w:ind w:left="660" w:right="20" w:firstLine="645"/>
        <w:spacing w:after="0" w:line="277" w:lineRule="auto"/>
        <w:tabs>
          <w:tab w:leader="none" w:pos="188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Subsidiary may declare and pay dividends or make other distributions with respect to its Equity Interests, in each case ratably to the holders of such Equity Interests (or if not ratably, on a basis more favorable to the Company and the Loan Parties);</w:t>
      </w:r>
    </w:p>
    <w:p>
      <w:pPr>
        <w:spacing w:after="0" w:line="170" w:lineRule="exact"/>
        <w:rPr>
          <w:rFonts w:ascii="Arial" w:cs="Arial" w:eastAsia="Arial" w:hAnsi="Arial"/>
          <w:sz w:val="18"/>
          <w:szCs w:val="18"/>
          <w:color w:val="auto"/>
        </w:rPr>
      </w:pPr>
    </w:p>
    <w:p>
      <w:pPr>
        <w:ind w:left="660" w:firstLine="645"/>
        <w:spacing w:after="0" w:line="277" w:lineRule="auto"/>
        <w:tabs>
          <w:tab w:leader="none" w:pos="210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may declare and pay dividends with respect to its Equity Interests payable solely in shares of Qualified Equity Interests of the Company;</w:t>
      </w:r>
    </w:p>
    <w:p>
      <w:pPr>
        <w:spacing w:after="0" w:line="170" w:lineRule="exact"/>
        <w:rPr>
          <w:rFonts w:ascii="Arial" w:cs="Arial" w:eastAsia="Arial" w:hAnsi="Arial"/>
          <w:sz w:val="18"/>
          <w:szCs w:val="18"/>
          <w:color w:val="auto"/>
        </w:rPr>
      </w:pPr>
    </w:p>
    <w:p>
      <w:pPr>
        <w:jc w:val="both"/>
        <w:ind w:left="660" w:firstLine="645"/>
        <w:spacing w:after="0" w:line="297" w:lineRule="auto"/>
        <w:tabs>
          <w:tab w:leader="none" w:pos="19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Restricted Payments made pursuant to this </w:t>
      </w:r>
      <w:r>
        <w:rPr>
          <w:rFonts w:ascii="Arial" w:cs="Arial" w:eastAsia="Arial" w:hAnsi="Arial"/>
          <w:sz w:val="16"/>
          <w:szCs w:val="16"/>
          <w:u w:val="single" w:color="auto"/>
          <w:color w:val="auto"/>
        </w:rPr>
        <w:t>Section 6.08(a)(iii)</w:t>
      </w:r>
      <w:r>
        <w:rPr>
          <w:rFonts w:ascii="Arial" w:cs="Arial" w:eastAsia="Arial" w:hAnsi="Arial"/>
          <w:sz w:val="16"/>
          <w:szCs w:val="16"/>
          <w:color w:val="auto"/>
        </w:rPr>
        <w:t xml:space="preserve"> shall not exceed $5,000,000 in any fiscal year;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2" w:name="page173"/>
    <w:bookmarkEnd w:id="172"/>
    <w:p>
      <w:pPr>
        <w:jc w:val="both"/>
        <w:ind w:left="640" w:firstLine="645"/>
        <w:spacing w:after="0" w:line="264" w:lineRule="auto"/>
        <w:tabs>
          <w:tab w:leader="none" w:pos="209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may make cash payments in lieu of the issuance of fractional shares representing insignificant interests in the Company in connection with the exercise of warrants, options or other securities convertible into or exchangeable for Equity Interests in the Company;</w:t>
      </w:r>
    </w:p>
    <w:p>
      <w:pPr>
        <w:spacing w:after="0" w:line="181" w:lineRule="exact"/>
        <w:rPr>
          <w:rFonts w:ascii="Arial" w:cs="Arial" w:eastAsia="Arial" w:hAnsi="Arial"/>
          <w:sz w:val="18"/>
          <w:szCs w:val="18"/>
          <w:color w:val="auto"/>
        </w:rPr>
      </w:pPr>
    </w:p>
    <w:p>
      <w:pPr>
        <w:jc w:val="both"/>
        <w:ind w:left="640" w:firstLine="645"/>
        <w:spacing w:after="0" w:line="259" w:lineRule="auto"/>
        <w:tabs>
          <w:tab w:leader="none" w:pos="20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spacing w:after="0" w:line="186" w:lineRule="exact"/>
        <w:rPr>
          <w:rFonts w:ascii="Arial" w:cs="Arial" w:eastAsia="Arial" w:hAnsi="Arial"/>
          <w:sz w:val="18"/>
          <w:szCs w:val="18"/>
          <w:color w:val="auto"/>
        </w:rPr>
      </w:pPr>
    </w:p>
    <w:p>
      <w:pPr>
        <w:ind w:left="1900" w:hanging="615"/>
        <w:spacing w:after="0"/>
        <w:tabs>
          <w:tab w:leader="none" w:pos="1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Company may convert or exchange any Equity Interests of the Company for or into Qualified Equity Interests of the Company;</w:t>
      </w:r>
    </w:p>
    <w:p>
      <w:pPr>
        <w:spacing w:after="0" w:line="248" w:lineRule="exact"/>
        <w:rPr>
          <w:rFonts w:ascii="Arial" w:cs="Arial" w:eastAsia="Arial" w:hAnsi="Arial"/>
          <w:sz w:val="16"/>
          <w:szCs w:val="16"/>
          <w:color w:val="auto"/>
        </w:rPr>
      </w:pPr>
    </w:p>
    <w:p>
      <w:pPr>
        <w:ind w:left="2020" w:hanging="735"/>
        <w:spacing w:after="0"/>
        <w:tabs>
          <w:tab w:leader="none" w:pos="20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any Receivables Entity may declare and pay dividends or other distributions to the Company or any wholly owned Subsidiary</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jc w:val="both"/>
        <w:ind w:left="640" w:firstLine="645"/>
        <w:spacing w:after="0" w:line="302" w:lineRule="auto"/>
        <w:tabs>
          <w:tab w:leader="none" w:pos="194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any Subsidiary may repurchase its Equity Interests held by minority shareholders or interest holders in a Permitted Acquisition or another transaction expressly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6.04(u)</w:t>
      </w:r>
      <w:r>
        <w:rPr>
          <w:rFonts w:ascii="Arial" w:cs="Arial" w:eastAsia="Arial" w:hAnsi="Arial"/>
          <w:sz w:val="16"/>
          <w:szCs w:val="16"/>
          <w:color w:val="auto"/>
        </w:rPr>
        <w:t xml:space="preserve"> (it being understood that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the Company shall be deemed the purchaser of such Equity Interests and such repurchase shall constitute an Investment by the Company in a Person that is not a Subsidiary in the amount of such purchase unless such Subsidiary becomes a Loan Party in connection with such repurchase);</w:t>
      </w:r>
    </w:p>
    <w:p>
      <w:pPr>
        <w:spacing w:after="0" w:line="154" w:lineRule="exact"/>
        <w:rPr>
          <w:rFonts w:ascii="Arial" w:cs="Arial" w:eastAsia="Arial" w:hAnsi="Arial"/>
          <w:sz w:val="16"/>
          <w:szCs w:val="16"/>
          <w:color w:val="auto"/>
        </w:rPr>
      </w:pPr>
    </w:p>
    <w:p>
      <w:pPr>
        <w:ind w:left="640" w:firstLine="645"/>
        <w:spacing w:after="0" w:line="277" w:lineRule="auto"/>
        <w:tabs>
          <w:tab w:leader="none" w:pos="202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to the extent such Investment constitutes a Restricted Payment, the Company and its Subsidiaries may enter into any Investment expressly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6.04(u)</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0" w:firstLine="645"/>
        <w:spacing w:after="0" w:line="259" w:lineRule="auto"/>
        <w:tabs>
          <w:tab w:leader="none" w:pos="20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additional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Total Leverage Ratio immediately after giving effect to any such Restricted Payment, calculated on a Pro Forma Basis at the time such Restricted Payment is made, is not in excess of 2.75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at the time any such Restricted Payment is made pursuant to this </w:t>
      </w:r>
      <w:r>
        <w:rPr>
          <w:rFonts w:ascii="Arial" w:cs="Arial" w:eastAsia="Arial" w:hAnsi="Arial"/>
          <w:sz w:val="18"/>
          <w:szCs w:val="18"/>
          <w:u w:val="single" w:color="auto"/>
          <w:color w:val="auto"/>
        </w:rPr>
        <w:t>clause (x)</w:t>
      </w:r>
      <w:r>
        <w:rPr>
          <w:rFonts w:ascii="Arial" w:cs="Arial" w:eastAsia="Arial" w:hAnsi="Arial"/>
          <w:sz w:val="18"/>
          <w:szCs w:val="18"/>
          <w:color w:val="auto"/>
        </w:rPr>
        <w:t>, no Event of Default shall have occurred and be continuing or would result therefrom;</w:t>
      </w:r>
    </w:p>
    <w:p>
      <w:pPr>
        <w:spacing w:after="0" w:line="186" w:lineRule="exact"/>
        <w:rPr>
          <w:rFonts w:ascii="Arial" w:cs="Arial" w:eastAsia="Arial" w:hAnsi="Arial"/>
          <w:sz w:val="18"/>
          <w:szCs w:val="18"/>
          <w:color w:val="auto"/>
        </w:rPr>
      </w:pPr>
    </w:p>
    <w:p>
      <w:pPr>
        <w:jc w:val="both"/>
        <w:ind w:left="640" w:firstLine="645"/>
        <w:spacing w:after="0" w:line="279" w:lineRule="auto"/>
        <w:tabs>
          <w:tab w:leader="none" w:pos="208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the Company may pay regularly scheduled quarterly cash dividends to its shareholders consistent with its past practice or any other Restricted Payment in an amount per annum not to exceed the greater of (A) $50,000,000 and (B) $1.00 per share of the total issued and outstanding shares of common Equity Interests of the Company on the date of the declaration of a Restricted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 share amount shall be adjusted to give effect to any stock split or issuance on account of equity for no consideration effected; and</w:t>
      </w:r>
    </w:p>
    <w:p>
      <w:pPr>
        <w:spacing w:after="0" w:line="171" w:lineRule="exact"/>
        <w:rPr>
          <w:rFonts w:ascii="Arial" w:cs="Arial" w:eastAsia="Arial" w:hAnsi="Arial"/>
          <w:sz w:val="17"/>
          <w:szCs w:val="17"/>
          <w:color w:val="auto"/>
        </w:rPr>
      </w:pPr>
    </w:p>
    <w:p>
      <w:pPr>
        <w:ind w:left="1960" w:hanging="675"/>
        <w:spacing w:after="0"/>
        <w:tabs>
          <w:tab w:leader="none" w:pos="19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additional Restricted Payments in an aggregate principal amount not to exceed $75,000,000.</w:t>
      </w:r>
    </w:p>
    <w:p>
      <w:pPr>
        <w:spacing w:after="0" w:line="225" w:lineRule="exact"/>
        <w:rPr>
          <w:sz w:val="20"/>
          <w:szCs w:val="20"/>
          <w:color w:val="auto"/>
        </w:rPr>
      </w:pPr>
    </w:p>
    <w:p>
      <w:pPr>
        <w:jc w:val="both"/>
        <w:ind w:left="-20" w:firstLine="1305"/>
        <w:spacing w:after="0" w:line="273" w:lineRule="auto"/>
        <w:tabs>
          <w:tab w:leader="none" w:pos="189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None of the Company or any Subsidiary will make or agree to pay or make, directly or indirectly, any payment or other distribution (whether in cash, securities or other property) of or in respect of principal of or interest on (i) any Subordinated Indebtedness that is subordinated to the payment of the Obligations or (ii) other Indebtedness that is required pursuant to the Loan Documents to not mature later than the Latest Maturity Date at the time of incurrence thereof (Indebtedness described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w:t>
      </w:r>
      <w:r>
        <w:rPr>
          <w:rFonts w:ascii="Arial" w:cs="Arial" w:eastAsia="Arial" w:hAnsi="Arial"/>
          <w:sz w:val="17"/>
          <w:szCs w:val="17"/>
          <w:u w:val="single" w:color="auto"/>
          <w:color w:val="auto"/>
        </w:rPr>
        <w:t>Restricted Indebtedness</w:t>
      </w:r>
      <w:r>
        <w:rPr>
          <w:rFonts w:ascii="Arial" w:cs="Arial" w:eastAsia="Arial" w:hAnsi="Arial"/>
          <w:sz w:val="17"/>
          <w:szCs w:val="17"/>
          <w:color w:val="auto"/>
        </w:rPr>
        <w:t>”), or any payment or other distribution (whether in cash, securities or other property), including any sinking fund or similar deposit, on account of the purchase, redemption, retirement, acquisition, defeasance, cancelation or termination of such Restricted Indebtedness, except: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3" w:name="page174"/>
    <w:bookmarkEnd w:id="173"/>
    <w:p>
      <w:pPr>
        <w:ind w:left="660" w:firstLine="645"/>
        <w:spacing w:after="0" w:line="277" w:lineRule="auto"/>
        <w:tabs>
          <w:tab w:leader="none" w:pos="21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regularly scheduled interest and principal payments as and when due in respect of such Indebtedness, other than payments prohibited by the subordination provisions thereof;</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refinancings of such Indebtedness with the proceeds of Refinancing Indebtedness permitted in respect thereof under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660" w:firstLine="645"/>
        <w:spacing w:after="0" w:line="277" w:lineRule="auto"/>
        <w:tabs>
          <w:tab w:leader="none" w:pos="200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payments of or in respect of such Indebtedness made solely with Qualified Equity Interests in the Company or the conversion of such Indebtedness into Qualified Equity Interests of the Company;</w:t>
      </w:r>
    </w:p>
    <w:p>
      <w:pPr>
        <w:spacing w:after="0" w:line="170" w:lineRule="exact"/>
        <w:rPr>
          <w:rFonts w:ascii="Arial" w:cs="Arial" w:eastAsia="Arial" w:hAnsi="Arial"/>
          <w:sz w:val="18"/>
          <w:szCs w:val="18"/>
          <w:color w:val="auto"/>
        </w:rPr>
      </w:pPr>
    </w:p>
    <w:p>
      <w:pPr>
        <w:ind w:left="660" w:firstLine="645"/>
        <w:spacing w:after="0" w:line="277" w:lineRule="auto"/>
        <w:tabs>
          <w:tab w:leader="none" w:pos="205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prepayments of intercompany Indebtedness permitted hereby owed by the Company or any Subsidiary to the Company or any Subsidiary, other than prepayments prohibited by the subordination provisions governing such Indebtedness;</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Company may on any date make payments of or in respect of any such Indebtedness in an unlimited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Total Leverage Ratio immediately after giving effect to any such payment, calculated on a Pro Forma Basis at the time such payment is made, is not in excess of 2.75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at the time any such payment is made pursuant to this </w:t>
      </w:r>
      <w:r>
        <w:rPr>
          <w:rFonts w:ascii="Arial" w:cs="Arial" w:eastAsia="Arial" w:hAnsi="Arial"/>
          <w:sz w:val="18"/>
          <w:szCs w:val="18"/>
          <w:u w:val="single" w:color="auto"/>
          <w:color w:val="auto"/>
        </w:rPr>
        <w:t>clause (vi)</w:t>
      </w:r>
      <w:r>
        <w:rPr>
          <w:rFonts w:ascii="Arial" w:cs="Arial" w:eastAsia="Arial" w:hAnsi="Arial"/>
          <w:sz w:val="18"/>
          <w:szCs w:val="18"/>
          <w:color w:val="auto"/>
        </w:rPr>
        <w:t>, no Event of Default shall have occurred and be continuing or would result therefrom.</w:t>
      </w:r>
    </w:p>
    <w:p>
      <w:pPr>
        <w:spacing w:after="0" w:line="187"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None of the Company or any Subsidiary will sell, lease or otherwise transfer any assets to, or purchase, lease or otherwise acquire any assets from, or otherwise engage in any other transactions in each case with an aggregate value for any such transaction or series of related transactions in excess of $5,000,000 with, any of its Affiliates (each an “</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xml:space="preserve">”), except (a) transactions that are at prices and on terms and conditions, taken as a whole, not less favorable to the Company or such Subsidiary than those that could be obtained on an arm’s-length basis from unrelated third parties, (b) transactions between or among Subsidiaries not involving any other Affiliate, (c) any Investment permitted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(d) the payment of reasonable fees to directors of the Company or any Subsidiary who are not employees of the Company or any Subsidiary, (e) compensation, expense reimbursement and indemnification of, and other employment arrangements (including severance arrangements) and health, disability and similar insurance or benefit arrangements with, directors, officers and employees of the Company or any Subsidiary entered into in the ordinary course of business, (f) any Restricted Payment permitted by </w:t>
      </w:r>
      <w:r>
        <w:rPr>
          <w:rFonts w:ascii="Arial" w:cs="Arial" w:eastAsia="Arial" w:hAnsi="Arial"/>
          <w:sz w:val="16"/>
          <w:szCs w:val="16"/>
          <w:u w:val="single" w:color="auto"/>
          <w:color w:val="auto"/>
        </w:rPr>
        <w:t>Section 6.08</w:t>
      </w:r>
      <w:r>
        <w:rPr>
          <w:rFonts w:ascii="Arial" w:cs="Arial" w:eastAsia="Arial" w:hAnsi="Arial"/>
          <w:sz w:val="16"/>
          <w:szCs w:val="16"/>
          <w:color w:val="auto"/>
        </w:rPr>
        <w:t>, (g) sales of Equity Interests to Affiliates to the extent not prohibited under this Agreement,</w:t>
      </w:r>
    </w:p>
    <w:p>
      <w:pPr>
        <w:spacing w:after="0" w:line="7" w:lineRule="exact"/>
        <w:rPr>
          <w:sz w:val="20"/>
          <w:szCs w:val="20"/>
          <w:color w:val="auto"/>
        </w:rPr>
      </w:pPr>
    </w:p>
    <w:p>
      <w:pPr>
        <w:jc w:val="both"/>
        <w:ind w:firstLine="8"/>
        <w:spacing w:after="0" w:line="290" w:lineRule="auto"/>
        <w:tabs>
          <w:tab w:leader="none" w:pos="27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any payments or other transactions pursuant to any tax sharing agreement among the Loan Parties and their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tax sharing agreement is entered into in the ordinary course of business or on terms usual and customary for agreements of that type, (i) transactions with joint ventures in the ordinary course of business, (j) any Indebtedness permitted by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(k) any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(k) any transactions permitted by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(l) the consummation of the GCA Acquisition and the payment of fees and expenses in connection therewith, (m) agreements in existence on the Closing Date and set forth on </w:t>
      </w:r>
      <w:r>
        <w:rPr>
          <w:rFonts w:ascii="Arial" w:cs="Arial" w:eastAsia="Arial" w:hAnsi="Arial"/>
          <w:sz w:val="16"/>
          <w:szCs w:val="16"/>
          <w:u w:val="single" w:color="auto"/>
          <w:color w:val="auto"/>
        </w:rPr>
        <w:t>Schedule 6.09</w:t>
      </w:r>
      <w:r>
        <w:rPr>
          <w:rFonts w:ascii="Arial" w:cs="Arial" w:eastAsia="Arial" w:hAnsi="Arial"/>
          <w:sz w:val="16"/>
          <w:szCs w:val="16"/>
          <w:color w:val="auto"/>
        </w:rPr>
        <w:t xml:space="preserve"> or any amendment to any such agreement to the extent such amendment is not materially adverse, taken as a whole, the Lenders in any material respect and (n) transactions contemplated by any Permitted Receivables Facility Documents.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4" w:name="page175"/>
    <w:bookmarkEnd w:id="174"/>
    <w:p>
      <w:pPr>
        <w:jc w:val="both"/>
        <w:ind w:firstLine="1297"/>
        <w:spacing w:after="0" w:line="282"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None of the Company or any Subsidiary will, directly or indirectly, enter into, incur or permit to exist any agreement or other arrangement that restricts or imposes any condition upon (a) the ability of the Company or any Subsidiary to create, incur or permit to exist any Lien upon any of its assets to secure the Obligations or (b) the ability of any Subsidiary to pay dividends or other distributions with respect to any of its Equity Interests or to make or repay loans or advances to the Company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(A) restrictions and conditions imposed by law or by this Agreement or any other Loan Document, (B) restrictions and conditions contained in any agreement or document governing or evidencing Refinancing Indebtedness in respect of Indebtedness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(including, for the avoidance of doubt, Permitted First Priority Refinancing Indebtedness, Permitted Second Priority Refinancing Indebtedness and Permitted Unsecured Refinancing Indebtedness) or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restrictions and conditions (that would otherwise be prohibited by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contained in any such agreement or document referred to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are not materially less favorable, taken as a whole, to the Lenders than the restrictions and conditions imposed by this Agreement, (C) restrictions and conditions existing on the date hereof identified on </w:t>
      </w:r>
      <w:r>
        <w:rPr>
          <w:rFonts w:ascii="Arial" w:cs="Arial" w:eastAsia="Arial" w:hAnsi="Arial"/>
          <w:sz w:val="16"/>
          <w:szCs w:val="16"/>
          <w:u w:val="single" w:color="auto"/>
          <w:color w:val="auto"/>
        </w:rPr>
        <w:t>Schedule 6.10</w:t>
      </w:r>
      <w:r>
        <w:rPr>
          <w:rFonts w:ascii="Arial" w:cs="Arial" w:eastAsia="Arial" w:hAnsi="Arial"/>
          <w:sz w:val="16"/>
          <w:szCs w:val="16"/>
          <w:color w:val="auto"/>
        </w:rPr>
        <w:t xml:space="preserve"> and any extension, renewal, amendment, modification or replacement thereof, except to the extent any such extension, renewal, amendment, modification or replacement expands the scope of any such restriction or condition, (D) in the case of any Subsidiary that is not a wholly-owned Subsidiary, restrictions and conditions imposed by its Organizational Documents or any related joint venture, shareholder or similar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such Subsidiary and to the Equity Interests of such Subsidiary, (E) in the case of clause (b) only, restrictions imposed by any agreement governing Indebtedness entered into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(and any Refinancing Indebtedness in respect thereof) that either (i) are customary or reasonable or, taken as a whole, in the good faith judgment of the Company, not materially more restrictive with respect to the Company or any Subsidiary than those contained in this Agreement or (ii) the Company determines at the time of entry into such agreement or instrument that such encumbrances or restrictions will not adversely affect, in any material respect, the Company’s ability to make principal or interest payments required hereunder or such encumbrances or restriction applies only during the continuance of a default relating to such agreement or instrument, (F) customary restrictions and conditions contained in agreements relating to the sale of a Subsidiary or any assets of the Company or any Subsidiary, in each case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such Subsidiary or the assets that are to be sold and, in each case, such sale is permitted hereunder; and (ii)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foregoing shall not apply to (A) restrictions and conditions imposed by any agreement relating to secured Indebtedness permitted by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w:t>
      </w:r>
      <w:r>
        <w:rPr>
          <w:rFonts w:ascii="Arial" w:cs="Arial" w:eastAsia="Arial" w:hAnsi="Arial"/>
          <w:sz w:val="16"/>
          <w:szCs w:val="16"/>
          <w:u w:val="single" w:color="auto"/>
          <w:color w:val="auto"/>
        </w:rPr>
        <w:t>(q)</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(u)</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if such restrictions and conditions apply only to the assets securing such Indebtedness, (B) customary provisions in leases, licenses and other agreements restricting the assignment thereof, (C) customary net worth provisions contained in real property leases, (D) restrictions on cash (or Permitted Investments) or other deposits or net worth imposed by (x) suppliers or landlords under contracts entered into in the ordinary course of business, (y) customers under contracts entered into in the ordinary course of business or</w:t>
      </w:r>
    </w:p>
    <w:p>
      <w:pPr>
        <w:spacing w:after="0" w:line="12" w:lineRule="exact"/>
        <w:rPr>
          <w:sz w:val="20"/>
          <w:szCs w:val="20"/>
          <w:color w:val="auto"/>
        </w:rPr>
      </w:pPr>
    </w:p>
    <w:p>
      <w:pPr>
        <w:jc w:val="both"/>
        <w:ind w:firstLine="8"/>
        <w:spacing w:after="0" w:line="268" w:lineRule="auto"/>
        <w:tabs>
          <w:tab w:leader="none" w:pos="24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or otherwise in the ordinary course of business, (E) restrictions imposed by agreements relating to Indebtedness of any Subsidiary in existence at the time such Subsidiary became a Subsidiary and otherwise permitted by </w:t>
      </w:r>
      <w:r>
        <w:rPr>
          <w:rFonts w:ascii="Arial" w:cs="Arial" w:eastAsia="Arial" w:hAnsi="Arial"/>
          <w:sz w:val="17"/>
          <w:szCs w:val="17"/>
          <w:u w:val="single" w:color="auto"/>
          <w:color w:val="auto"/>
        </w:rPr>
        <w:t>Section 6.01(g)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apply only to such Subsidiary and its assets (or any special purpose acquisition Subsidiary without material assets acquiring such Subsidiary pursuant to a merger), (F) customary provisions restricting assignment of any agreement entered into in the ordinary course of business, (G) restrictions imposed by applicable law, (H) any restrictions regarding non-exclusive licensing or sublicensing by the Company or any of its Subsidiaries of intellectual property in the ordinary course of business and (I) any customary restriction and condition contained in any Permitted Receivables Facility Documents. Nothing in this paragraph shall be deemed to modify the requirements set forth in the definition of the term “Collateral and Guarantee Requirement” or the obligations of the Loan Parties under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5.17</w:t>
      </w:r>
      <w:r>
        <w:rPr>
          <w:rFonts w:ascii="Arial" w:cs="Arial" w:eastAsia="Arial" w:hAnsi="Arial"/>
          <w:sz w:val="17"/>
          <w:szCs w:val="17"/>
          <w:color w:val="auto"/>
        </w:rPr>
        <w:t xml:space="preserve"> or under the Security Documents.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5" w:name="page176"/>
    <w:bookmarkEnd w:id="175"/>
    <w:p>
      <w:pPr>
        <w:jc w:val="both"/>
        <w:ind w:firstLine="1297"/>
        <w:spacing w:after="0" w:line="264"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No Loan Party will, amend, modify or waive any of its rights under (a) any agreement or document evidencing Restricted Indebtedness that constitutes Material Indebtedness or (b) its Organizational Documents, in each case to the extent such amendment, modification or waiver, taken as a whole, would be materially adverse to the Lenders.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Fiscal Year</w:t>
      </w:r>
      <w:r>
        <w:rPr>
          <w:rFonts w:ascii="Arial" w:cs="Arial" w:eastAsia="Arial" w:hAnsi="Arial"/>
          <w:sz w:val="18"/>
          <w:szCs w:val="18"/>
          <w:color w:val="auto"/>
        </w:rPr>
        <w:t>. The Company will not, and the Company will not permit any other Loan Party to, change its fiscal year to end on a date other than October 31.</w:t>
      </w:r>
    </w:p>
    <w:p>
      <w:pPr>
        <w:spacing w:after="0" w:line="170"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8" w:lineRule="auto"/>
        <w:tabs>
          <w:tab w:leader="none" w:pos="1928"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Maximum Total Leverage Ratio</w:t>
      </w:r>
      <w:r>
        <w:rPr>
          <w:rFonts w:ascii="Arial" w:cs="Arial" w:eastAsia="Arial" w:hAnsi="Arial"/>
          <w:sz w:val="17"/>
          <w:szCs w:val="17"/>
          <w:color w:val="auto"/>
        </w:rPr>
        <w:t xml:space="preserve">. The Company shall not permit the Total Leverage Ratio (a) as of the last day of any fiscal quarter ending on or after October 31, 2017 and on or prior to April 30, 2018 to exceed 4.75 to 1.00, (b) as of the last day of any fiscal quarter ending on or after July 31, 2018 and on or prior to April 30, 2019 to exceed 4.25 to 1.00, (c) as of the last day of any fiscal quarter ending on or after July 31, 2019 and on or prior to April 30, 2020 to exceed 3.75 to 1.00 and (e) as of the last day of any fiscal quarter ending on or after July 31, 2020, to exceed 3.50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 upon the occurrence of the Collateral Release Event, the maximum permitted Total Leverage Ratio for the first fiscal quarter ending after the occurrence of the Collateral Release Event and each subsequent fiscal quarter shall be 3.50 to 1.00 and (ii) at any time during which the maximum permitted Total Leverage Ratio is not greater than 3.50 to 1.00, if the Company makes a Permitted Acquisition (the “</w:t>
      </w:r>
      <w:r>
        <w:rPr>
          <w:rFonts w:ascii="Arial" w:cs="Arial" w:eastAsia="Arial" w:hAnsi="Arial"/>
          <w:sz w:val="17"/>
          <w:szCs w:val="17"/>
          <w:u w:val="single" w:color="auto"/>
          <w:color w:val="auto"/>
        </w:rPr>
        <w:t>Specified Acquisition</w:t>
      </w:r>
      <w:r>
        <w:rPr>
          <w:rFonts w:ascii="Arial" w:cs="Arial" w:eastAsia="Arial" w:hAnsi="Arial"/>
          <w:sz w:val="17"/>
          <w:szCs w:val="17"/>
          <w:color w:val="auto"/>
        </w:rPr>
        <w:t>”) for consideration (including assumed liabilities) in excess of $50,000,000 in a fiscal quarter, then the Company may elect to increase the maximum Total Leverage Ratio to 3.75 to 1.00 for such fiscal quarter and the three (3) immediately following fiscal quarters (such period, the “</w:t>
      </w:r>
      <w:r>
        <w:rPr>
          <w:rFonts w:ascii="Arial" w:cs="Arial" w:eastAsia="Arial" w:hAnsi="Arial"/>
          <w:sz w:val="17"/>
          <w:szCs w:val="17"/>
          <w:u w:val="single" w:color="auto"/>
          <w:color w:val="auto"/>
        </w:rPr>
        <w:t>Adjusted Covenant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Company may not elect to have an Adjusted Covenant Period commence unless at least two (2) full fiscal quarters have ended following the end of the most recently completed Adjusted Covenant Period (if any), (y) the Company shall provide notice in writing to the Administrative Agent of the commencement of an Adjusted Covenant Period and a transaction description of the applicable Specified Acquisition (regarding the name of the Person or assets being acquired and the approximate purchase price) and (z) at the end of the Adjusted Covenant Period, the maximum permitted Total Leverage Ratio permitted shall revert to 3.50 to 1.00.</w:t>
      </w:r>
    </w:p>
    <w:p>
      <w:pPr>
        <w:spacing w:after="0" w:line="185" w:lineRule="exact"/>
        <w:rPr>
          <w:rFonts w:ascii="Arial" w:cs="Arial" w:eastAsia="Arial" w:hAnsi="Arial"/>
          <w:sz w:val="17"/>
          <w:szCs w:val="17"/>
          <w:color w:val="auto"/>
        </w:rPr>
      </w:pPr>
    </w:p>
    <w:p>
      <w:pPr>
        <w:ind w:firstLine="1305"/>
        <w:spacing w:after="0" w:line="277" w:lineRule="auto"/>
        <w:tabs>
          <w:tab w:leader="none" w:pos="193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Minimum Fixed Charge Coverage Ratio</w:t>
      </w:r>
      <w:r>
        <w:rPr>
          <w:rFonts w:ascii="Arial" w:cs="Arial" w:eastAsia="Arial" w:hAnsi="Arial"/>
          <w:sz w:val="18"/>
          <w:szCs w:val="18"/>
          <w:color w:val="auto"/>
        </w:rPr>
        <w:t>. The Company shall not permit the Fixed Charge Coverage Ratio as of the last day of any fiscal quarter to be less than 1.50 to 1.00.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any of the following events (each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25" w:lineRule="exact"/>
        <w:rPr>
          <w:sz w:val="20"/>
          <w:szCs w:val="20"/>
          <w:color w:val="auto"/>
        </w:rPr>
      </w:pPr>
    </w:p>
    <w:p>
      <w:pPr>
        <w:ind w:firstLine="1305"/>
        <w:spacing w:after="0" w:line="308" w:lineRule="auto"/>
        <w:tabs>
          <w:tab w:leader="none" w:pos="1986"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any Borrower shall fail to pay any principal of any Loan or Reimbursement Obligation in the required currency when and as the same shall become due and payable, whether at the due date thereof or at a date fixed for mandatory prepayment thereof or otherwise;</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any Borrower shall fail to pay any interest on any Loan or any fee or any other amount (other than an amount referred to in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right="20" w:firstLine="8"/>
        <w:spacing w:after="0" w:line="261" w:lineRule="auto"/>
        <w:tabs>
          <w:tab w:leader="none" w:pos="258" w:val="left"/>
        </w:tabs>
        <w:numPr>
          <w:ilvl w:val="0"/>
          <w:numId w:val="196"/>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Article VII</w:t>
      </w:r>
      <w:r>
        <w:rPr>
          <w:rFonts w:ascii="Arial" w:cs="Arial" w:eastAsia="Arial" w:hAnsi="Arial"/>
          <w:sz w:val="18"/>
          <w:szCs w:val="18"/>
          <w:color w:val="auto"/>
        </w:rPr>
        <w:t>) payable under this Agreement or any other Loan Document, when and as the same shall become due and payable, and such failure shall continue unremedied for a period of five Business Days;</w:t>
      </w:r>
    </w:p>
    <w:p>
      <w:pPr>
        <w:spacing w:after="0" w:line="183" w:lineRule="exact"/>
        <w:rPr>
          <w:rFonts w:ascii="Arial" w:cs="Arial" w:eastAsia="Arial" w:hAnsi="Arial"/>
          <w:sz w:val="18"/>
          <w:szCs w:val="18"/>
          <w:u w:val="single" w:color="auto"/>
          <w:color w:val="auto"/>
        </w:rPr>
      </w:pPr>
    </w:p>
    <w:p>
      <w:pPr>
        <w:jc w:val="both"/>
        <w:ind w:firstLine="1305"/>
        <w:spacing w:after="0" w:line="286" w:lineRule="auto"/>
        <w:tabs>
          <w:tab w:leader="none" w:pos="198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representation, warranty or statement made or deemed made by or on behalf of any Loan Party in any Loan Document or in any report, certificate, financial statement or other information furnished pursuant to or in connection with this Agreement or any other Loan Document or waiver hereunder or thereunder shall prove to have been incorrect in any material respect when made or deemed made;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6" w:name="page177"/>
    <w:bookmarkEnd w:id="176"/>
    <w:p>
      <w:pPr>
        <w:ind w:left="-20" w:right="20" w:firstLine="1305"/>
        <w:spacing w:after="0" w:line="277" w:lineRule="auto"/>
        <w:tabs>
          <w:tab w:leader="none" w:pos="203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5.04</w:t>
      </w:r>
      <w:r>
        <w:rPr>
          <w:rFonts w:ascii="Arial" w:cs="Arial" w:eastAsia="Arial" w:hAnsi="Arial"/>
          <w:sz w:val="18"/>
          <w:szCs w:val="18"/>
          <w:color w:val="auto"/>
        </w:rPr>
        <w:t xml:space="preserve"> (with respect to the existence of any Borrower),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199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this Agreement or any other Loan Document (other than those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and such failure shall continue unremedied for a period of 30 days after notice thereof from the Administrative Agent or any Lender to the Company (with a copy to the Administrative Agent in the case of any such notice from a Lender);</w:t>
      </w:r>
    </w:p>
    <w:p>
      <w:pPr>
        <w:spacing w:after="0" w:line="186" w:lineRule="exact"/>
        <w:rPr>
          <w:rFonts w:ascii="Arial" w:cs="Arial" w:eastAsia="Arial" w:hAnsi="Arial"/>
          <w:sz w:val="18"/>
          <w:szCs w:val="18"/>
          <w:color w:val="auto"/>
        </w:rPr>
      </w:pPr>
    </w:p>
    <w:p>
      <w:pPr>
        <w:jc w:val="both"/>
        <w:ind w:left="-20" w:firstLine="1305"/>
        <w:spacing w:after="0" w:line="257" w:lineRule="auto"/>
        <w:tabs>
          <w:tab w:leader="none" w:pos="187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Company or any Subsidiary shall fail to make any payment (whether of principal, interest, premium or otherwise and regardless of amount) in respect of any Material Indebtedness, when and as the same shall become due and payable (after giving effect to any grace period applicable on the date on which such payment was initially due), unless such event is remedied by the Company or any applicable Subsidiary or waived (including in the form of amendment) by the requisite holders of the applicable item of Material Indebtedness in either case, prior to acceleration of all the Loans pursuant to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20" w:firstLine="1305"/>
        <w:spacing w:after="0" w:line="270" w:lineRule="auto"/>
        <w:tabs>
          <w:tab w:leader="none" w:pos="1913"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or being required to be prepaid, repurchased, redeemed or defeased prior to its scheduled maturity or that enables or permits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prior to its scheduled maturity (in each case after expiration of any applicable grace or cure period set forth in the agreement or instrument evidencing or governing such Material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shall not apply to (i) any secured Indebtedness that becomes due as a result of the voluntary sale, transfer or other disposition of the assets securing such Indebtedness, (ii) any Indebtedness that becomes due as a result of a voluntary refinancing thereof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(iii) the occurrence of any conversion or exchange trigger in Indebtedness that is contingently convertible or exchangeable into Equity Interests of the Company or (iv) any such event or condition that is remedied by the Company or any applicable Subsidiary or waived (including in the form of amendment) by the requisite holders of the applicable item of Material Indebtedness in either case, prior to acceleration of all the Loans pursuant to this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20" w:firstLine="1305"/>
        <w:spacing w:after="0" w:line="273" w:lineRule="auto"/>
        <w:tabs>
          <w:tab w:leader="none" w:pos="197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Company, any Borrower or any Significant Subsidiary or its debts, or of a substantial part of its assets, under any federal, state, or foreign bankruptcy, insolvency, receivership or similar law now or hereafter in effect, (ii) the appointment of a receiver, trustee, custodian, sequestrator, liquidator, conservator or similar official for the Company, any Borrower or any Significant Subsidiary or for a substantial part of its assets or (iii) rehabilitation, creditors’ arrangement or compromise, or a moratorium of any Indebtedness, and, in any such case, such proceeding, action or petition shall continue undismissed for 60 days or an order or decree approving or ordering any of the foregoing shall be entered;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7" w:name="page178"/>
    <w:bookmarkEnd w:id="177"/>
    <w:p>
      <w:pPr>
        <w:jc w:val="both"/>
        <w:ind w:left="-20" w:firstLine="1305"/>
        <w:spacing w:after="0" w:line="287" w:lineRule="auto"/>
        <w:tabs>
          <w:tab w:leader="none" w:pos="204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the Company, any Borrower or any Significant Subsidiary shall (i) voluntarily commence any proceeding or file any petition seeking liquidation (other than any liquidation permitted under </w:t>
      </w:r>
      <w:r>
        <w:rPr>
          <w:rFonts w:ascii="Arial" w:cs="Arial" w:eastAsia="Arial" w:hAnsi="Arial"/>
          <w:sz w:val="16"/>
          <w:szCs w:val="16"/>
          <w:u w:val="single" w:color="auto"/>
          <w:color w:val="auto"/>
        </w:rPr>
        <w:t>Section 6.03(a)(v)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(iii) apply for or consent to the appointment of a receiver, trustee, custodian, sequestrator, liquidator, conservator or similar official for the Company, any Borrower or any Significant Subsidiary or for a substantial part of its assets, (iv) file an answer admitting the material allegations of a petition filed against it in any such proceeding or (v) make a general assignment for the benefit of creditors, commence negotiations with one or more of its creditors with a view to rescheduling any of its Indebtedness or enter into a compromise, arrangement, assignment or composition with one or more of its creditors in connection with its potential inability to pay any Indebtedness as it shall become due, apply for any remedies with respect to, or enters into, any rehabilitation, creditors’ arrangement or compromise, a moratorium of any Indebtedness, or the board of directors (or similar governing body) of the Company, any Borrower or any Significant Subsidiary (or any committee thereof) shall adopt any resolution or otherwise authorize any of the actions referred to above in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20" w:firstLine="1305"/>
        <w:spacing w:after="0" w:line="277" w:lineRule="auto"/>
        <w:tabs>
          <w:tab w:leader="none" w:pos="186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Company, any Borrower or any Significant Subsidiary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jc w:val="both"/>
        <w:ind w:left="-20" w:firstLine="1305"/>
        <w:spacing w:after="0" w:line="297" w:lineRule="auto"/>
        <w:tabs>
          <w:tab w:leader="none" w:pos="192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$50,000,000 (other than any such judgment covered by insurance (other than under a self-insurance program) to the extent a claim therefor has been made in writing and liability therefor has not been denied by the insurer), shall be rendered against the Company, any Borrower, any Significant Subsidiary or any combination thereof and the same shall remain undischarged for a period of 60 consecutive days during which execution shall not be effectively stayed, or any action shall be legally taken by a judgment creditor to attach or levy upon any assets of the Company, any Borrower or any Significant Subsidiary to enforce any such judgment;</w:t>
      </w:r>
    </w:p>
    <w:p>
      <w:pPr>
        <w:spacing w:after="0" w:line="158" w:lineRule="exact"/>
        <w:rPr>
          <w:rFonts w:ascii="Arial" w:cs="Arial" w:eastAsia="Arial" w:hAnsi="Arial"/>
          <w:sz w:val="16"/>
          <w:szCs w:val="16"/>
          <w:color w:val="auto"/>
        </w:rPr>
      </w:pPr>
    </w:p>
    <w:p>
      <w:pPr>
        <w:ind w:left="-20" w:right="20" w:firstLine="1305"/>
        <w:spacing w:after="0" w:line="277" w:lineRule="auto"/>
        <w:tabs>
          <w:tab w:leader="none" w:pos="190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jc w:val="both"/>
        <w:ind w:left="-20" w:firstLine="1305"/>
        <w:spacing w:after="0" w:line="273" w:lineRule="auto"/>
        <w:tabs>
          <w:tab w:leader="none" w:pos="194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any Lien purported to be created under any Security Document shall cease to be, or shall be asserted by any Loan Party not to be, a valid and perfected Lien on any Collateral having, individually or in the aggregate, a fair value in excess of $25,000,000, with the priority required by the applicable Security Document, except as a result of (i) the sale or other disposition of the applicable Collateral in a transaction permitted under the Loan Documents, (ii) the release thereof as provided in the applicable Security Document or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or (iii) as a result of the Administrative Agent’s (A) failure to maintain possession of any stock certificate, promissory note or other instrument delivered to it under the Collateral Agreements or (B) file continuation statements under the applicable Uniform Commercial Code (or similar provisions under applicable law);</w:t>
      </w:r>
    </w:p>
    <w:p>
      <w:pPr>
        <w:spacing w:after="0" w:line="178" w:lineRule="exact"/>
        <w:rPr>
          <w:rFonts w:ascii="Arial" w:cs="Arial" w:eastAsia="Arial" w:hAnsi="Arial"/>
          <w:sz w:val="17"/>
          <w:szCs w:val="17"/>
          <w:color w:val="auto"/>
        </w:rPr>
      </w:pPr>
    </w:p>
    <w:p>
      <w:pPr>
        <w:jc w:val="both"/>
        <w:ind w:left="-20" w:firstLine="1305"/>
        <w:spacing w:after="0" w:line="264" w:lineRule="auto"/>
        <w:tabs>
          <w:tab w:leader="none" w:pos="189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 this Agreement or any Guarantee purported to be created under any Loan Document shall cease to be, or shall be asserted by any Loan Party not to be, in full force and effect, except, solely with respect to any Guarantee, as a result of the release thereof or any limitation in respect thereof, in each case as provided in the applicable Loan Document or </w:t>
      </w:r>
      <w:r>
        <w:rPr>
          <w:rFonts w:ascii="Arial" w:cs="Arial" w:eastAsia="Arial" w:hAnsi="Arial"/>
          <w:sz w:val="18"/>
          <w:szCs w:val="18"/>
          <w:u w:val="single" w:color="auto"/>
          <w:color w:val="auto"/>
        </w:rPr>
        <w:t>Section 9.14</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900" w:hanging="615"/>
        <w:spacing w:after="0"/>
        <w:tabs>
          <w:tab w:leader="none" w:pos="1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8" w:name="page179"/>
    <w:bookmarkEnd w:id="178"/>
    <w:p>
      <w:pPr>
        <w:jc w:val="both"/>
        <w:spacing w:after="0" w:line="267" w:lineRule="auto"/>
        <w:rPr>
          <w:sz w:val="20"/>
          <w:szCs w:val="20"/>
          <w:color w:val="auto"/>
        </w:rPr>
      </w:pPr>
      <w:r>
        <w:rPr>
          <w:rFonts w:ascii="Arial" w:cs="Arial" w:eastAsia="Arial" w:hAnsi="Arial"/>
          <w:sz w:val="17"/>
          <w:szCs w:val="17"/>
          <w:color w:val="auto"/>
        </w:rPr>
        <w:t xml:space="preserve">then, and (i) in every such event (other than an event with respect to the Company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at any time after the Closing Date and thereafter during the continuance of such event, the Administrative Agent, at the request of the Required Lenders, shall by notice to the Company, take any or all of the following actions, at the same or different times: (A) terminate the Commitments, and thereupon such Commitments shall terminate immediately and (B) declare the Loans then outstanding to be due and payable in whole (or in part (but ratably as among the Classes of Loans and the Loans of each Class at such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or owing hereunder (including all amounts of L/C Obligations, whether or not the beneficiaries of the then outstanding Letters of Credit shall have presented the documents required thereunder), shall become due and payable immediately, in each case without presentment, demand, protest or other notice of any kind, all of which are hereby waived by the Borrowers; and (ii) in the case of any event with respect to the Company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 Commitments shall automatically terminate and the principal of the Loans then outstanding, together with accrued interest thereon and all fees and other obligations of the Borrowers hereunder (including all amounts of L/C Obligations, whether or not the beneficiaries of the then outstanding Letters of Credit shall have presented the documents required thereunder), shall immediately and automatically become due, in each case without presentment, demand, protest or other notice of any kind, all of which are hereby waived by the Borrowers. With respect to all Letters of Credit with respect to which presentment for honor shall not have occurred at the time of an acceleration pursuant to this paragraph, the Company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Company hereunder and under the other Loan Documents. After all such Letters of Credit shall have expired or been fully drawn upon, all Reimbursement Obligations shall have been satisfied and all other obligations of the Borrowers hereunder and under the other Loan Documents shall have been paid in full, the balance, if any, in such cash collateral account shall be returned to the Company (or such other Person as may be lawfully entitled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Appointment and Authority.</w:t>
      </w:r>
    </w:p>
    <w:p>
      <w:pPr>
        <w:spacing w:after="0" w:line="225" w:lineRule="exact"/>
        <w:rPr>
          <w:sz w:val="20"/>
          <w:szCs w:val="20"/>
          <w:color w:val="auto"/>
        </w:rPr>
      </w:pPr>
    </w:p>
    <w:p>
      <w:pPr>
        <w:jc w:val="both"/>
        <w:ind w:firstLine="1305"/>
        <w:spacing w:after="0" w:line="268" w:lineRule="auto"/>
        <w:tabs>
          <w:tab w:leader="none" w:pos="193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Each of the Lenders and each Issuing Lender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furtherance of the foregoing, and not in limitation, each of the Lenders authorizes the Administrative Agent to enter into one or more intercreditor agreements acceptable to the Administrative Agent in its sole discretion with parties to any Permitted Receivables Facility. Such intercreditor agreements may provide for, among other things, (i) the Administrative Agent’s and the Lenders’ forbearance of, and other limitations on, any exercise of remedies in respect of any equity interests in any Receivables Entity and/or any notes issued by any Receivables Entity to any Receivables Seller in connection with any Permitted Receivables Facility, in any case, that have been pledged to secure the Obligations and/or (ii) disclaimers of interests on, and releases of security interests in, any Receivables and Permitted Receivables Facility Assets.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9" w:name="page180"/>
    <w:bookmarkEnd w:id="179"/>
    <w:p>
      <w:pPr>
        <w:jc w:val="both"/>
        <w:ind w:firstLine="1305"/>
        <w:spacing w:after="0" w:line="290" w:lineRule="auto"/>
        <w:tabs>
          <w:tab w:leader="none" w:pos="196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Administrative Agent shall also act as the “collateral agent” under the Loan Documents, and each of the Lenders and each of the Issuing Lenders hereby irrevocably appoints and authorizes the Administrative Agent to act as the agent of such Lender and such Issuing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VIII (including </w:t>
      </w:r>
      <w:r>
        <w:rPr>
          <w:rFonts w:ascii="Arial" w:cs="Arial" w:eastAsia="Arial" w:hAnsi="Arial"/>
          <w:sz w:val="16"/>
          <w:szCs w:val="16"/>
          <w:u w:val="single" w:color="auto"/>
          <w:color w:val="auto"/>
        </w:rPr>
        <w:t>Section 8.03(c)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or to provide notice to or obtain the consent of the Lenders with respect thereto.</w:t>
      </w:r>
    </w:p>
    <w:p>
      <w:pPr>
        <w:spacing w:after="0" w:line="18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81" w:lineRule="exact"/>
        <w:rPr>
          <w:sz w:val="20"/>
          <w:szCs w:val="20"/>
          <w:color w:val="auto"/>
        </w:rPr>
      </w:pPr>
    </w:p>
    <w:p>
      <w:pPr>
        <w:ind w:left="1900" w:hanging="595"/>
        <w:spacing w:after="0"/>
        <w:tabs>
          <w:tab w:leader="none" w:pos="1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36" w:lineRule="exact"/>
        <w:rPr>
          <w:rFonts w:ascii="Arial" w:cs="Arial" w:eastAsia="Arial" w:hAnsi="Arial"/>
          <w:sz w:val="17"/>
          <w:szCs w:val="17"/>
          <w:color w:val="auto"/>
        </w:rPr>
      </w:pPr>
    </w:p>
    <w:p>
      <w:pPr>
        <w:jc w:val="both"/>
        <w:ind w:firstLine="1305"/>
        <w:spacing w:after="0" w:line="255" w:lineRule="auto"/>
        <w:tabs>
          <w:tab w:leader="none" w:pos="20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9" w:lineRule="exact"/>
        <w:rPr>
          <w:rFonts w:ascii="Arial" w:cs="Arial" w:eastAsia="Arial" w:hAnsi="Arial"/>
          <w:sz w:val="18"/>
          <w:szCs w:val="18"/>
          <w:color w:val="auto"/>
        </w:rPr>
      </w:pPr>
    </w:p>
    <w:p>
      <w:pPr>
        <w:jc w:val="both"/>
        <w:ind w:firstLine="1305"/>
        <w:spacing w:after="0" w:line="264" w:lineRule="auto"/>
        <w:tabs>
          <w:tab w:leader="none" w:pos="197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Issuing Lender.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0" w:name="page181"/>
    <w:bookmarkEnd w:id="180"/>
    <w:p>
      <w:pPr>
        <w:jc w:val="both"/>
        <w:spacing w:after="0" w:line="272" w:lineRule="auto"/>
        <w:rPr>
          <w:sz w:val="20"/>
          <w:szCs w:val="20"/>
          <w:color w:val="auto"/>
        </w:rPr>
      </w:pPr>
      <w:r>
        <w:rPr>
          <w:rFonts w:ascii="Arial" w:cs="Arial" w:eastAsia="Arial" w:hAnsi="Arial"/>
          <w:sz w:val="17"/>
          <w:szCs w:val="17"/>
          <w:color w:val="auto"/>
        </w:rPr>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 (vi) the creation, perfection or priority of any Lien purported to be created by the Collateral Documents or (vi) the value or sufficiency of the Collateral.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spacing w:after="0" w:line="18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6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 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1" w:name="page182"/>
    <w:bookmarkEnd w:id="181"/>
    <w:p>
      <w:pPr>
        <w:ind w:left="1280"/>
        <w:spacing w:after="0"/>
        <w:tabs>
          <w:tab w:leader="none" w:pos="27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90" w:lineRule="auto"/>
        <w:tabs>
          <w:tab w:leader="none" w:pos="200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Issuing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Issuing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66" w:lineRule="exact"/>
        <w:rPr>
          <w:rFonts w:ascii="Arial" w:cs="Arial" w:eastAsia="Arial" w:hAnsi="Arial"/>
          <w:sz w:val="16"/>
          <w:szCs w:val="16"/>
          <w:color w:val="auto"/>
        </w:rPr>
      </w:pPr>
    </w:p>
    <w:p>
      <w:pPr>
        <w:jc w:val="both"/>
        <w:ind w:left="-20" w:firstLine="1305"/>
        <w:spacing w:after="0" w:line="276" w:lineRule="auto"/>
        <w:tabs>
          <w:tab w:leader="none" w:pos="194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jc w:val="both"/>
        <w:ind w:left="-20" w:firstLine="1305"/>
        <w:spacing w:after="0" w:line="267" w:lineRule="auto"/>
        <w:tabs>
          <w:tab w:leader="none" w:pos="212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Section 9.04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82" w:name="page183"/>
    <w:bookmarkEnd w:id="182"/>
    <w:p>
      <w:pPr>
        <w:jc w:val="both"/>
        <w:ind w:firstLine="1305"/>
        <w:spacing w:after="0" w:line="268" w:lineRule="auto"/>
        <w:tabs>
          <w:tab w:leader="none" w:pos="201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Any resignation by Bank of America as Administrative Agent pursuant to this Section shall also constitute its resignation as an Issuing Lender and Swingline Lender. If Bank of America resigns as an Issuing Lender, it shall retain all the rights, powers, privileges and duties of an Issuing Lender hereunder with respect to all Letters of Credit outstanding as of the effective date of its resignation as an Issuing Lender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Upon the appointment by the Company of a successor Issuing Lender or Swingline Lender hereunder (which successor shall in all cases be a Lender other than a Defaulting Lender), (a) such successor shall succeed to and become vested with all of the rights, powers, privileges and duties of the retiring Issuing Lender or Swingline Lender, as applicable, (b) the retiring Issuing Lender and Swingline Lender shall be discharged from all of their respective duties and obligations hereunder or under the other Loan Documents, and (c) the successor Issuing Lender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Notwithstanding the foregoing, it is hereby understood and agreed that, for the avoidance of doubt, after the resignation of Bank of America as an Issuing Lender but prior to the appointment by the Company of an Issuing Lender to succeed Bank of America (in its capacity as an Issuing Lender), the Company shall continue to be permitted to request Letters of Credit from other existing or newly appointed Issuing Lenders in accordance with the terms of this Agreement.</w:t>
      </w:r>
    </w:p>
    <w:p>
      <w:pPr>
        <w:spacing w:after="0" w:line="18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Bookrunners, Arrangers or other agents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8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u w:val="single" w:color="auto"/>
          <w:color w:val="auto"/>
        </w:rPr>
        <w:t>Administrative Agent May File Proofs of Claim; Credit Bidding</w:t>
      </w:r>
      <w:r>
        <w:rPr>
          <w:rFonts w:ascii="Arial" w:cs="Arial" w:eastAsia="Arial" w:hAnsi="Arial"/>
          <w:sz w:val="17"/>
          <w:szCs w:val="17"/>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71" w:lineRule="exact"/>
        <w:rPr>
          <w:sz w:val="20"/>
          <w:szCs w:val="20"/>
          <w:color w:val="auto"/>
        </w:rPr>
      </w:pPr>
    </w:p>
    <w:p>
      <w:pPr>
        <w:jc w:val="both"/>
        <w:ind w:firstLine="1305"/>
        <w:spacing w:after="0" w:line="297" w:lineRule="auto"/>
        <w:tabs>
          <w:tab w:leader="none" w:pos="211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6"/>
          <w:szCs w:val="16"/>
          <w:u w:val="single" w:color="auto"/>
          <w:color w:val="auto"/>
        </w:rPr>
        <w:t>Sections 2.06(c)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allowed in such judicial proceeding; 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3" w:name="page184"/>
    <w:bookmarkEnd w:id="183"/>
    <w:p>
      <w:pPr>
        <w:ind w:left="1920" w:hanging="615"/>
        <w:spacing w:after="0"/>
        <w:tabs>
          <w:tab w:leader="none" w:pos="19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6" w:lineRule="exact"/>
        <w:rPr>
          <w:rFonts w:ascii="Arial" w:cs="Arial" w:eastAsia="Arial" w:hAnsi="Arial"/>
          <w:sz w:val="17"/>
          <w:szCs w:val="17"/>
          <w:color w:val="auto"/>
        </w:rPr>
      </w:pPr>
    </w:p>
    <w:p>
      <w:pPr>
        <w:jc w:val="both"/>
        <w:ind w:firstLine="1305"/>
        <w:spacing w:after="0" w:line="257" w:lineRule="auto"/>
        <w:tabs>
          <w:tab w:leader="none" w:pos="202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or any similar Requirement of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Requirement of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7"/>
          <w:szCs w:val="17"/>
          <w:u w:val="single" w:color="auto"/>
          <w:color w:val="auto"/>
        </w:rPr>
        <w:t>Section 9.02(b)(ii)</w:t>
      </w:r>
      <w:r>
        <w:rPr>
          <w:rFonts w:ascii="Arial" w:cs="Arial" w:eastAsia="Arial" w:hAnsi="Arial"/>
          <w:sz w:val="17"/>
          <w:szCs w:val="17"/>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4" w:name="page185"/>
    <w:bookmarkEnd w:id="184"/>
    <w:p>
      <w:pPr>
        <w:ind w:firstLine="1297"/>
        <w:spacing w:after="0" w:line="27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9.14</w:t>
      </w:r>
      <w:r>
        <w:rPr>
          <w:rFonts w:ascii="Arial" w:cs="Arial" w:eastAsia="Arial" w:hAnsi="Arial"/>
          <w:sz w:val="18"/>
          <w:szCs w:val="18"/>
          <w:color w:val="auto"/>
        </w:rPr>
        <w:t>, the Lenders and the Issuing Lenders irrevocably authorize the Administrative Agent, at its option and in its discretion,</w:t>
      </w:r>
    </w:p>
    <w:p>
      <w:pPr>
        <w:spacing w:after="0" w:line="170" w:lineRule="exact"/>
        <w:rPr>
          <w:sz w:val="20"/>
          <w:szCs w:val="20"/>
          <w:color w:val="auto"/>
        </w:rPr>
      </w:pPr>
    </w:p>
    <w:p>
      <w:pPr>
        <w:jc w:val="both"/>
        <w:ind w:firstLine="1305"/>
        <w:spacing w:after="0" w:line="255" w:lineRule="auto"/>
        <w:tabs>
          <w:tab w:leader="none" w:pos="192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under any Loan Document (i) upon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applicable Issuing Lender shall have been made), (ii) that is sold or otherwise disposed of or to be sold or otherwise disposed of as part of or in connection with any sale or other disposition permitted hereunder or under any other Loan Document, or (iii) subject to </w:t>
      </w:r>
      <w:r>
        <w:rPr>
          <w:rFonts w:ascii="Arial" w:cs="Arial" w:eastAsia="Arial" w:hAnsi="Arial"/>
          <w:sz w:val="18"/>
          <w:szCs w:val="18"/>
          <w:u w:val="single" w:color="auto"/>
          <w:color w:val="auto"/>
        </w:rPr>
        <w:t>Section 9.02</w:t>
      </w:r>
      <w:r>
        <w:rPr>
          <w:rFonts w:ascii="Arial" w:cs="Arial" w:eastAsia="Arial" w:hAnsi="Arial"/>
          <w:sz w:val="18"/>
          <w:szCs w:val="18"/>
          <w:color w:val="auto"/>
        </w:rPr>
        <w:t>, if approved, authorized or ratified in writing by the Required Lenders;</w:t>
      </w:r>
    </w:p>
    <w:p>
      <w:pPr>
        <w:spacing w:after="0" w:line="193" w:lineRule="exact"/>
        <w:rPr>
          <w:rFonts w:ascii="Arial" w:cs="Arial" w:eastAsia="Arial" w:hAnsi="Arial"/>
          <w:sz w:val="18"/>
          <w:szCs w:val="18"/>
          <w:color w:val="auto"/>
        </w:rPr>
      </w:pPr>
    </w:p>
    <w:p>
      <w:pPr>
        <w:ind w:firstLine="1305"/>
        <w:spacing w:after="0" w:line="277" w:lineRule="auto"/>
        <w:tabs>
          <w:tab w:leader="none" w:pos="193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6.02 (e), (p)</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(r)</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firstLine="1305"/>
        <w:spacing w:after="0" w:line="277" w:lineRule="auto"/>
        <w:tabs>
          <w:tab w:leader="none" w:pos="190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Secured Cash Management Agreements and Secured Hedge Agreements</w:t>
      </w:r>
      <w:r>
        <w:rPr>
          <w:rFonts w:ascii="Arial" w:cs="Arial" w:eastAsia="Arial" w:hAnsi="Arial"/>
          <w:sz w:val="17"/>
          <w:szCs w:val="17"/>
          <w:color w:val="auto"/>
        </w:rPr>
        <w:t>. Except as otherwise expressly set forth herein, no provider of Secured Cash Management Obligations or Secured Hedging Obligations that obtains the benefit of the provisions of the Guaranty or any Collateral by virtue of the provisions hereof or any Loan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other than in its capacity as a Lender and, in such case, only to the extent expressly provided in the Loan Documents. The Administrative Agent shall not be required to verify the payment of, or that other satisfactory arrangements have been made with respect to, Secured Obligations arising under Secured Cash Management Agreements and Secured Hedge Agreements in the case of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applicable Issuing Lender shall have been made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 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all notices and other communications provided for herein shall be in writing and shall be delivered by hand or overnight courier service, mailed by certified or registered mail or sent by fax, as follows:</w:t>
      </w:r>
    </w:p>
    <w:p>
      <w:pPr>
        <w:spacing w:after="0" w:line="181" w:lineRule="exact"/>
        <w:rPr>
          <w:sz w:val="20"/>
          <w:szCs w:val="20"/>
          <w:color w:val="auto"/>
        </w:rPr>
      </w:pPr>
    </w:p>
    <w:p>
      <w:pPr>
        <w:ind w:left="660" w:right="140" w:firstLine="645"/>
        <w:spacing w:after="0" w:line="308" w:lineRule="auto"/>
        <w:tabs>
          <w:tab w:leader="none" w:pos="1883"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if to any Borrower, to it c/o ABM Industries Incorporated, One Liberty Plaza, 7th Floor, New York, New York 10006, Attention of the Chief Financial Officer, with a copy to the General Counsel (Telecopy No. 212-297-0375; Telephone No. 212-297-0200);</w:t>
      </w:r>
    </w:p>
    <w:p>
      <w:pPr>
        <w:spacing w:after="0" w:line="146" w:lineRule="exact"/>
        <w:rPr>
          <w:rFonts w:ascii="Arial" w:cs="Arial" w:eastAsia="Arial" w:hAnsi="Arial"/>
          <w:sz w:val="17"/>
          <w:szCs w:val="17"/>
          <w:color w:val="auto"/>
        </w:rPr>
      </w:pPr>
    </w:p>
    <w:p>
      <w:pPr>
        <w:jc w:val="both"/>
        <w:ind w:left="660" w:firstLine="645"/>
        <w:spacing w:after="0" w:line="276" w:lineRule="auto"/>
        <w:tabs>
          <w:tab w:leader="none" w:pos="2033"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if to the Administrative Agent, (a) for payments and Borrowing Requests, Bank of America, N.A., Bank of America Plaza, 901 Main St., Mail Code: TX1-492-14-1, Dallas, TX 75202-3735, Attention: Armando Gonzalez, Telephone: 972-338-3808, Electronic Mail: </w:t>
      </w:r>
      <w:r>
        <w:rPr>
          <w:rFonts w:ascii="Arial" w:cs="Arial" w:eastAsia="Arial" w:hAnsi="Arial"/>
          <w:sz w:val="17"/>
          <w:szCs w:val="17"/>
          <w:u w:val="single" w:color="auto"/>
          <w:color w:val="auto"/>
        </w:rPr>
        <w:t>armando.a.gonzalez@bankofamerica.com</w:t>
      </w:r>
      <w:r>
        <w:rPr>
          <w:rFonts w:ascii="Arial" w:cs="Arial" w:eastAsia="Arial" w:hAnsi="Arial"/>
          <w:sz w:val="17"/>
          <w:szCs w:val="17"/>
          <w:color w:val="auto"/>
        </w:rPr>
        <w:t xml:space="preserve">, Account No.: 1366072250600, ABA#: 026009593, Ref: ABM Industries, Inc. and (b) for other notices, Bank of America N.A., Bank of America Agency Management, 135 South LaSalle Street, Mail Code: IL4-135-09-61, Chicago, Illinois 60603, Attention: Elizabeth Uribe, Telephone: 312-828-5060, Facsimile: 877-206-9473, Electronic Mail: </w:t>
      </w:r>
      <w:r>
        <w:rPr>
          <w:rFonts w:ascii="Arial" w:cs="Arial" w:eastAsia="Arial" w:hAnsi="Arial"/>
          <w:sz w:val="17"/>
          <w:szCs w:val="17"/>
          <w:u w:val="single" w:color="auto"/>
          <w:color w:val="auto"/>
        </w:rPr>
        <w:t>elizabeth.uribe@baml.com</w:t>
      </w:r>
      <w:r>
        <w:rPr>
          <w:rFonts w:ascii="Arial" w:cs="Arial" w:eastAsia="Arial" w:hAnsi="Arial"/>
          <w:sz w:val="17"/>
          <w:szCs w:val="17"/>
          <w:color w:val="auto"/>
        </w:rPr>
        <w:t>; and</w:t>
      </w:r>
    </w:p>
    <w:p>
      <w:pPr>
        <w:spacing w:after="0" w:line="172" w:lineRule="exact"/>
        <w:rPr>
          <w:rFonts w:ascii="Arial" w:cs="Arial" w:eastAsia="Arial" w:hAnsi="Arial"/>
          <w:sz w:val="17"/>
          <w:szCs w:val="17"/>
          <w:color w:val="auto"/>
        </w:rPr>
      </w:pPr>
    </w:p>
    <w:p>
      <w:pPr>
        <w:ind w:left="1940" w:hanging="635"/>
        <w:spacing w:after="0"/>
        <w:tabs>
          <w:tab w:leader="none" w:pos="1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set forth in its Administrative Questionnaire.</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Notices and other communications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shall be effective as provided in such paragraph.</w:t>
      </w:r>
    </w:p>
    <w:p>
      <w:pPr>
        <w:spacing w:after="0" w:line="154" w:lineRule="exact"/>
        <w:rPr>
          <w:sz w:val="20"/>
          <w:szCs w:val="20"/>
          <w:color w:val="auto"/>
        </w:rPr>
      </w:pPr>
    </w:p>
    <w:p>
      <w:pPr>
        <w:jc w:val="both"/>
        <w:ind w:firstLine="1305"/>
        <w:spacing w:after="0" w:line="255" w:lineRule="auto"/>
        <w:tabs>
          <w:tab w:leader="none" w:pos="191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communication (including e-mail and Internet and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any Lender if such Lender has notified the Administrative Agent that it is incapable of receiving notices under such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by electronic communication. Any notices or other communications to the Administrative Agent or the Company may be delivered or furnished by electronic communications pursuant to procedures approved by the recipient thereof prior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or rescinded by any such Person by notice to each other such Person.</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unless bounced back, shall be deemed received and (ii) notices and other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such notice or other communication is not sent during the normal business hours of the recipient, such notice or communication shall be deemed to have been sent at the opening of business on the next Business Day for the recipient.</w:t>
      </w:r>
    </w:p>
    <w:p>
      <w:pPr>
        <w:spacing w:after="0" w:line="193" w:lineRule="exact"/>
        <w:rPr>
          <w:sz w:val="20"/>
          <w:szCs w:val="20"/>
          <w:color w:val="auto"/>
        </w:rPr>
      </w:pPr>
    </w:p>
    <w:p>
      <w:pPr>
        <w:ind w:left="2020" w:hanging="715"/>
        <w:spacing w:after="0"/>
        <w:tabs>
          <w:tab w:leader="none" w:pos="20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party hereto may change its address or fax number for notices and other communications hereunder by notice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6" w:name="page187"/>
    <w:bookmarkEnd w:id="186"/>
    <w:p>
      <w:pPr>
        <w:jc w:val="both"/>
        <w:ind w:firstLine="1305"/>
        <w:spacing w:after="0" w:line="291" w:lineRule="auto"/>
        <w:tabs>
          <w:tab w:leader="none" w:pos="198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Borrowers agree that the Administrative Agent may, but shall not be obligated to, make any communication by posting such communications on Debt Domain, Intralinks, Syndtrak or a similar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PLATFORM IS PROVIDED “AS</w:t>
      </w:r>
    </w:p>
    <w:p>
      <w:pPr>
        <w:jc w:val="both"/>
        <w:spacing w:after="0" w:line="251" w:lineRule="auto"/>
        <w:rPr>
          <w:rFonts w:ascii="Arial" w:cs="Arial" w:eastAsia="Arial" w:hAnsi="Arial"/>
          <w:sz w:val="16"/>
          <w:szCs w:val="16"/>
          <w:color w:val="auto"/>
        </w:rPr>
      </w:pPr>
      <w:r>
        <w:rPr>
          <w:rFonts w:ascii="Arial" w:cs="Arial" w:eastAsia="Arial" w:hAnsi="Arial"/>
          <w:sz w:val="18"/>
          <w:szCs w:val="18"/>
          <w:color w:val="auto"/>
        </w:rPr>
        <w:t>IS” AND “AS AVAILABLE.” THE AGENT PARTIES (AS DEFINED BELOW) DO NOT WARRANT THE ACCURACY OR COMPLETENESS OF SUCH COMMUNICATIONS OR THE ADEQUACY OF THE PLATFORM, AND EXPRESSLY DISCLAIM LIABILITY FOR ERRORS IN OR OMISSIONS FROM SUCH COMMUNICATIONS. NO WARRANTY OF ANY KIND, EXPRESS, IMPLIED OR STATUTORY, INCLUDING ANY WARRANTY OF MERCHANTABILITY, FITNESS FOR A PARTICULAR PURPOSE, NON-INFRINGEMENT OF THIRD PARTY RIGHTS OR FREEDOM FROM VIRUSES OR OTHER CODE DEFECTS, IS MADE BY ANY AGENT PARTY IN CONNECTION WITH SUCH COMMUNICATIONS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Borrower, any Lender, any Issuing Lender or any other Person for losses, claims, damages, liabilities or expenses of any kind (whether in tort, contract or otherwise) arising out of any Loan Party’s or the Administrative Agent’s transmission of Borrower Materials or notices through the Platform, any other electronic platform or electronic messaging service, or through the Internet.</w:t>
      </w:r>
    </w:p>
    <w:p>
      <w:pPr>
        <w:spacing w:after="0" w:line="198" w:lineRule="exact"/>
        <w:rPr>
          <w:rFonts w:ascii="Arial" w:cs="Arial" w:eastAsia="Arial" w:hAnsi="Arial"/>
          <w:sz w:val="16"/>
          <w:szCs w:val="16"/>
          <w:color w:val="auto"/>
        </w:rPr>
      </w:pPr>
    </w:p>
    <w:p>
      <w:pPr>
        <w:jc w:val="both"/>
        <w:ind w:firstLine="1305"/>
        <w:spacing w:after="0" w:line="276" w:lineRule="auto"/>
        <w:tabs>
          <w:tab w:leader="none" w:pos="198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Platform is provided “as is” and “as available.” Neither the Administrative Agent nor any of its Related Parties warrants, or shall be deemed to warrant, the adequacy of the Platform and expressly disclaim liability for errors or omissions in such communications, absent willful misconduct, gross negligence or bad faith of any such Persons.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communications or the Platform.</w:t>
      </w:r>
    </w:p>
    <w:p>
      <w:pPr>
        <w:spacing w:after="0" w:line="17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xml:space="preserve">.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9.02</w:t>
      </w:r>
      <w:r>
        <w:rPr>
          <w:rFonts w:ascii="Arial" w:cs="Arial" w:eastAsia="Arial" w:hAnsi="Arial"/>
          <w:sz w:val="17"/>
          <w:szCs w:val="17"/>
          <w:color w:val="auto"/>
        </w:rPr>
        <w:t>, and then such waiver or consent shall be effective only in the specific instance and for the specific purpose for which given. Without limiting the generality of the foregoing, the execution and delivery of this Agreement or the making of a Loan shall not be construed as a waiver of any Default, regardless of whether the Administrative Agent or any Lender may have had notice or knowledge of such Default at the time.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7" w:name="page188"/>
    <w:bookmarkEnd w:id="187"/>
    <w:p>
      <w:pPr>
        <w:jc w:val="both"/>
        <w:ind w:left="-8" w:firstLine="1305"/>
        <w:spacing w:after="0" w:line="286" w:lineRule="auto"/>
        <w:tabs>
          <w:tab w:leader="none" w:pos="201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this Agreement, none of this Agreement, any other Loan Document or any provision hereof or thereof may be waived, amended or modified except, in the case of this Agreement, pursuant to an agreement or agreements in writing entered into by the Borrowers, the Administrative Agent and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provision of this Agreement or any other Loan Document may be amended by an agreement in writing entered into by the Borrowers and the Administrative Agent to cure any ambiguity, omission, defect or inconsistency and</w:t>
      </w:r>
    </w:p>
    <w:p>
      <w:pPr>
        <w:spacing w:after="0" w:line="1" w:lineRule="exact"/>
        <w:rPr>
          <w:rFonts w:ascii="Arial" w:cs="Arial" w:eastAsia="Arial" w:hAnsi="Arial"/>
          <w:sz w:val="16"/>
          <w:szCs w:val="16"/>
          <w:color w:val="auto"/>
        </w:rPr>
      </w:pPr>
    </w:p>
    <w:p>
      <w:pPr>
        <w:jc w:val="both"/>
        <w:ind w:left="-8" w:firstLine="8"/>
        <w:spacing w:after="0" w:line="282" w:lineRule="auto"/>
        <w:tabs>
          <w:tab w:leader="none" w:pos="26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no such agreement shall (A) increase the amount of or extend the expiration date of any Commitment of any Lender without the written consent of such Lender, (B) reduce the principal amount of any Loan or reduce the rate of interest thereon (except in connection with the waiver of applicability of any post-default increase in interest rates (which waiver shall be effective with the consent of the Majority in Interest of each adversely affected Class) or any waiver of or change to a financial ratio or defined term related thereto), or reduce any fees payable hereunder (except in connection with the waiver of applicability of any post-default increase in fee rates (which waiver shall be effective with the consent of the Majority in Interest of each adversely affected Class), in each case, without the written consent of each Lender directly and adversely affected thereby (in which case the separate consent of the Required Lenders shall not be required), (C) postpone the scheduled maturity date of any Loan, or the date of any scheduled payment of the principal amount of any Term Loan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the applicable Incremental Facility Amendment or Refinancing Facility Agreement,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(in which case the separate consent of the Required Lenders shall not be required), (D) amend, modify or waive the pro rata provisions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without the written consent of each Lender adversely affected thereby, (E) change any of the provisions of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the percentage set forth in the definition of the term “Required Lenders” or “Majority in Interest” or any other provision of this Agreement or any other Loan Document specifying the number or percentage of Lenders (or Lenders of any Class) required to waive, amend or otherwise modify any rights thereunder or make any determination or grant any consent thereunder, without the written consent of each Lender (or each Lender of such Class,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the consent of the Required Lenders or pursuant to an Incremental Facility Amendment or Refinancing Facility Agreement, the provisions of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the definition of the term “Required Lenders” may be amended to include references to any new Class of loans created under this Agreement (or to lenders extending such loans) on substantially the same basis as the corresponding references relating to the existing Classes of Loans or Lenders, (F) release all or substantially all of the value of the Guarantees provided by the Loan Parties under the Guarantee Agreement without the written consent of each Lender (except as expressly provided in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or the Guarantee Agreement (including any such release by the Administrative Agent in connection with any sale or other disposition of any Subsidiary upon the exercise of remedies under the Security Documents), it being understood and agreed that an amendment or other modification of the type of obligations guaranteed under the Guarantee Agreement shall not be deemed to be a release or limitation of any Guarantee), (G) release all or substantially all the Collateral from the Liens of the Security Documents without the written consent of each Lender (except as expressly provided in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or the applicable Security Document (including any such release by the Administrative Agent in connection with any sale or other disposition of the Collateral upon the exercise of remedies under the Security Documents), it being understood and agreed that an amendment or other modification of the type of obligations secured by the Security Documents shall not be deemed to be a release of the Collateral from the Liens of the Security Documents), (H) change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of the Collateral Agreement without the written consent of each Lender, (I) amend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or the definition of “Alternative Currency” without the written consent of, in the case of a Multicurrency Tranche Revolving Loan, each Multicurrency Tranche Revolving Lender and, in the case of a Letter of Credit, the applicable Issuing Lender, or (J) change any provisions of this Agreement or any other Loan Document in a manner that by its terms directly and adversely affects the rights in respect of payments due to Lenders holding Loans of any Class differently than those holding Loans of any other Class, without the written consent of Lenders representing a Majority in Interest of each affected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(1) no such agreement shall amend, modify, extend or otherwise affect the rights or obligations of the Administrative Agent without the prior written consent of the Administrative Agent, (2) any amendment, waiver or other modification of this Agreement that by its terms affects the rights or duties under this Agreement of the Lenders of one or more Classes (but not the Lenders of any other Class) may be effected by an agreement or agreements in writing entered into by the Company and the requisite number or percentage in interest of each affected Class of Lenders that would be required to consent thereto under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if such Class of Lenders were the only Class of Lenders hereunder at the time (it being understood that increases in the Applicable Rate, amendments or modifications to the amortization of the Initial Term Loans as in effect on the Closing Date, any amendment to the Term Maturity Date such that the Initial Term Loans mature prior to the Term Maturity Date as in effect on the Closing Date and any waiver of conditions to the provision of any Incremental Facility shall be deemed to affect each Class), (3) no such agreement shall amend, modify or waive any provision of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without the written consent of the Swingline Lender and (4) no such agreement shall amend, modify or waive any provision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without the written consent of each Issuing Lender. Notwithstanding any of the foregoing, (1) no consent with respect to any amendment, waiver or other modification of this Agreement or any other Loan Document shall be required of any Defaulting Lender, except with respect to any amendment, waiver or other modification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first proviso of this paragraph and then only in the event such Defaulting Lender shall be directly and adversely affected by such amendment, waiver or other modification and (2) this Agreement may be amended to provide for Incremental Facilities, Refinancing Commitments and Refinancing Loans and Permitted Amendments in connection with Loan Modification Offers as provided in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2.24</w:t>
      </w:r>
      <w:r>
        <w:rPr>
          <w:rFonts w:ascii="Arial" w:cs="Arial" w:eastAsia="Arial" w:hAnsi="Arial"/>
          <w:sz w:val="16"/>
          <w:szCs w:val="16"/>
          <w:color w:val="auto"/>
        </w:rPr>
        <w:t>, in each case without any additional consents.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88" w:name="page189"/>
    <w:bookmarkEnd w:id="188"/>
    <w:p>
      <w:pPr>
        <w:jc w:val="both"/>
        <w:ind w:left="-20" w:firstLine="1305"/>
        <w:spacing w:after="0" w:line="267" w:lineRule="auto"/>
        <w:tabs>
          <w:tab w:leader="none" w:pos="192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connection with any proposed amendment, modification, waiver or termination (a “</w:t>
      </w:r>
      <w:r>
        <w:rPr>
          <w:rFonts w:ascii="Arial" w:cs="Arial" w:eastAsia="Arial" w:hAnsi="Arial"/>
          <w:sz w:val="17"/>
          <w:szCs w:val="17"/>
          <w:u w:val="single" w:color="auto"/>
          <w:color w:val="auto"/>
        </w:rPr>
        <w:t>Proposed Change</w:t>
      </w:r>
      <w:r>
        <w:rPr>
          <w:rFonts w:ascii="Arial" w:cs="Arial" w:eastAsia="Arial" w:hAnsi="Arial"/>
          <w:sz w:val="17"/>
          <w:szCs w:val="17"/>
          <w:color w:val="auto"/>
        </w:rPr>
        <w:t xml:space="preserve">”) requiring the consent of all Lenders or all affected Lenders, if the consent of the Required Lenders (and, to the extent any Proposed Change requires the consent of Lenders holding Loans of any Class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being referred to as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then, so long as the Lender that is acting as Administrative Agent is not a Non-Consenting Lender, the Company may, at its sole expense and effort, upon notice to such Non-Consenting Lender and the Administrative Agent, require such Non-Consenting Lender to assign and delegate (in accordance with and subject to the restrictions contained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Company shall have received the prior written consent of the Administrative Agent, to the extent required by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which consent shall not unreasonably be withheld or delayed, (ii) such Non-Consenting Lender shall have received payment of an amount equal to the outstanding principal of its Loans, accrued interest thereon, accrued fees and all other amounts payable to it hereunder from the assignee or the Company, (iii) the Company or such assignee shall have paid to the Administrative Agent the processing and recordation fee specified in </w:t>
      </w:r>
      <w:r>
        <w:rPr>
          <w:rFonts w:ascii="Arial" w:cs="Arial" w:eastAsia="Arial" w:hAnsi="Arial"/>
          <w:sz w:val="17"/>
          <w:szCs w:val="17"/>
          <w:u w:val="single" w:color="auto"/>
          <w:color w:val="auto"/>
        </w:rPr>
        <w:t>Section 9.04(b)(ii)</w:t>
      </w:r>
      <w:r>
        <w:rPr>
          <w:rFonts w:ascii="Arial" w:cs="Arial" w:eastAsia="Arial" w:hAnsi="Arial"/>
          <w:sz w:val="17"/>
          <w:szCs w:val="17"/>
          <w:color w:val="auto"/>
        </w:rPr>
        <w:t xml:space="preserve">, (iv) such assignment does not conflict with applicable law and (v) the assignee shall have given its consent to such Proposed Change. In connection with any such replacement, if any such Non-Consenting Lender does not execute and deliver to the Administrative Agent a duly executed Assignment and Assumption reflecting such replacement within five (5) Business Days of the date on which the assignee Lender executes and delivers such Assignment and Assumption to such Non-Consenting Lender, then such Non-Consenting Lender shall be deemed to have executed and delivered such Assignment and Assumption without any action on the part of the Non-Consenting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Non-Consenting Lender shall be deemed to have executed and delivered such Assignment and Assumption only to the extent such Non-Consenting Lender shall have received payment of an amount equal to the outstanding principal of its Loans, accrued interest thereon, accrued fees and all other amounts payable to it hereunder from the assignee or the Company.</w:t>
      </w:r>
    </w:p>
    <w:p>
      <w:pPr>
        <w:spacing w:after="0" w:line="188" w:lineRule="exact"/>
        <w:rPr>
          <w:rFonts w:ascii="Arial" w:cs="Arial" w:eastAsia="Arial" w:hAnsi="Arial"/>
          <w:sz w:val="17"/>
          <w:szCs w:val="17"/>
          <w:color w:val="auto"/>
        </w:rPr>
      </w:pPr>
    </w:p>
    <w:p>
      <w:pPr>
        <w:jc w:val="both"/>
        <w:ind w:left="-20" w:firstLine="1305"/>
        <w:spacing w:after="0" w:line="259" w:lineRule="auto"/>
        <w:tabs>
          <w:tab w:leader="none" w:pos="19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Administrative Agent may, without the consent of any Secured Party, consent to a departure by any Loan Party from any covenant of such Loan Party set forth in this Agreement, the Guarantee Agreement, the Collateral Agreements or any other Security Document to the extent that such departure is consistent with the authority of the Administrative Agent set forth in the definition of the term “Collateral and Guarantee Requirement.”</w:t>
      </w:r>
    </w:p>
    <w:p>
      <w:pPr>
        <w:spacing w:after="0" w:line="186" w:lineRule="exact"/>
        <w:rPr>
          <w:rFonts w:ascii="Arial" w:cs="Arial" w:eastAsia="Arial" w:hAnsi="Arial"/>
          <w:sz w:val="18"/>
          <w:szCs w:val="18"/>
          <w:color w:val="auto"/>
        </w:rPr>
      </w:pPr>
    </w:p>
    <w:p>
      <w:pPr>
        <w:jc w:val="both"/>
        <w:ind w:left="-20" w:firstLine="1305"/>
        <w:spacing w:after="0" w:line="286" w:lineRule="auto"/>
        <w:tabs>
          <w:tab w:leader="none" w:pos="191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The Administrative Agent may, but shall have no obligation to, with the concurrence of any Lender, execute amendments, waivers or other modifications on behalf of such Lender. Any amendment, waiver or other modification effected in accordance with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shall be binding upon each Person that is at the time thereof a Lender and each Person that subsequently becomes a Lender.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89" w:name="page190"/>
    <w:bookmarkEnd w:id="189"/>
    <w:p>
      <w:pPr>
        <w:jc w:val="both"/>
        <w:ind w:firstLine="1297"/>
        <w:spacing w:after="0" w:line="267"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xml:space="preserve">. (a) The Company shall pay (i) all reasonable and documented out-of-pocket expenses incurred by the Administrative Agent, any Arranger and their respective Affiliates without duplication, including the reasonable and documented fees, charges and disbursements of one primary counsel, one counsel to the Administrative Agent, and if reasonably necessary, one firm of local counsel in each jurisdiction as the Administrative Agent shall deem advisable in connection with the creation and perfection of the security interests in the Collateral provided under the Loan Documents (and such additional counsels otherwise retained with the Company’s consent (such consent not to be unreasonably withheld, delayed or conditioned),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and any amendments, modifications and waivers of the provisions hereof or thereof (whether or not the transactions contemplated hereby or thereby shall be consummated) and (ii) all reasonable and documented out-of-pocket expenses incurred by the Administrative Agent, any Arranger, any Issuing Lender, the Swingline Lender or any Lender and their respective Affiliates, including the reasonable and documented fees, charges and disbursements of any counsel for any of the foregoing, in connection with the enforcement or protection of its rights in connection with the Loan Documents, including its rights under this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or in connection with the Loans made hereunder, including all such out-of-pocket expenses incurred during any workout, restructuring or negotiations in respect of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fees, charges and disbursements of counsel required to be paid by the Company pursuant to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be limited to (A) one counsel to the Administrative Agent, (B) one counsel for the Lenders (taken together as a single group or client), (C) if reasonably necessary, one local counsel in jurisdictions material to the interests of the Lenders taken as a whole (which may include a single special counsel acting in multiple jurisdictions), (D) additional counsel retained with the Company’s prior written consent (such consent not to be unreasonably withheld, delayed or conditioned) and (E) if representation of the Administrative Agent and/or all Lenders in such matter by a single counsel would be inappropriate based on the advice of legal counsel due to the existence of an actual or potential conflict of interest and such party informs the Company of such conflict prior to retaining additional counsel, one additional counsel for each party subject to such conflict.</w:t>
      </w:r>
    </w:p>
    <w:p>
      <w:pPr>
        <w:spacing w:after="0" w:line="188" w:lineRule="exact"/>
        <w:rPr>
          <w:sz w:val="20"/>
          <w:szCs w:val="20"/>
          <w:color w:val="auto"/>
        </w:rPr>
      </w:pPr>
    </w:p>
    <w:p>
      <w:pPr>
        <w:jc w:val="both"/>
        <w:ind w:firstLine="1305"/>
        <w:spacing w:after="0" w:line="283" w:lineRule="auto"/>
        <w:tabs>
          <w:tab w:leader="none" w:pos="20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Company shall indemnify the Administrative Agent (and any sub-agent thereof), the Syndication Agent, each Arranger, each Issuing Lender, the Swingline Lender and each Lender, and each Related Party of any of the foregoing Persons and permitted successors and assigns of any of the foregoing Persons, without duplication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penalties, liabilities and related expenses, including reasonable and documented fees, charges and disbursements of counsel (limited to reasonable fees, disbursements and other charges of one counsel for the Administrative Agent, one counsel for all other Indemnitees, taken as a whole, and, if reasonably necessary, one firm of local counsel in each jurisdiction (which may include a single special counsel acting in multiple jurisdictions) material to the interests of all such Indemnitees, taken as a whole (and, in the case of an actual or perceived conflict of interest, where an Indemnitee affected by such conflict informs the Company of such conflict and thereafter retains its own counsel, of another firm of counsel for such affected Indemnitee and, if necessary, one firm of local counsel in each jurisdiction (which may include a single special counsel acting in multiple jurisdictions) material to the interests of such affected Indemnitee) and other reasonable and documented out-of-pocket expenses, incurred by or asserted against any Indemnitee arising out of, in connection with or as a result of (i) the structuring, arrangement and syndication of the credit facilities provided for herein, the preparation, execution, delivery, operation and administration of this Agreement, the other Loan Documents or any other agreement or instrument contemplated hereby or thereby, the performance by the parties to this Agreement or the other Loan Documents of their respective obligations hereunder or thereunder or the consummation of the Transactions or any other transactions contemplated hereby or thereby, (ii) any Loan or Letters of Credit (including any refusal by an Issuing Lender to honor a demand for payment under a Letter of Credit if the documents presented in connection with such demand do not strictly comply with the terms of such Letter of Credit) or the use of the proceeds therefrom, (iii) any actual or alleged presence or Release of Hazardous Materials on or from any Mortgaged Property or any other property owned, leased or operated by the Company or any Subsidiary or any Environmental Liability related in any way to the Company or any Subsidiary or (iv) any actual or prospective claim, litigation, investigation or proceeding relating to any of the foregoing,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indemnity shall not, as to any Indemnitee, apply to any losses, claims, damages, penalties, liabilities or related expenses to the extent they (A) are found in a final and non-appealable judgment of a court of competent jurisdiction to have resulted from the willful misconduct, bad faith or gross negligence of such Indemnitee or any of its controlled Affiliates or any of the officers, directors, employees, agents, advisors or other representatives of any of the foregoing, in each case who are involved in the Transactions, (B) result from a material breach of such Indemnitee’s or its controlled Affiliate’s or any officers, directors, employees, agents, advisors or other representatives of any of the foregoing’s obligations under this Agreement or any other Loan Document if the Company or such Subsidiary has obtained a final and non-appealable judgment in the Company’s or its Subsidiary’s favor on such claim as determined by a court of competent jurisdiction, (C) result from a proceeding that does not involve an act or omission by the Company or any of its Affiliates and that is solely among Indemnitees (other than a proceeding that is brought against an Indemnitee in its capacity as or in fulfilling its roles as an agent or arranger hereunder or any similar role with respect to the Indebtedness incurred or to be incurred hereunder), unless such proceeding arises from the gross negligence, bad faith or willful misconduct of such Indemnitee. This paragraph shall not apply with respect to Taxes other than any Taxes that represent losses, claims or damages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0" w:name="page191"/>
    <w:bookmarkEnd w:id="190"/>
    <w:p>
      <w:pPr>
        <w:jc w:val="both"/>
        <w:ind w:left="-20" w:firstLine="1305"/>
        <w:spacing w:after="0" w:line="254" w:lineRule="auto"/>
        <w:tabs>
          <w:tab w:leader="none" w:pos="19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To the extent that the Company fails to pay any amount required to be paid by it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to the Administrative Agent (or any sub-agent thereof) or an Issuing Lender or any Related Party of any of the foregoing (and without limiting their obligation to do so), each Lender severally agrees to pay to the Administrative Agent (or any such sub-agent) or the applicable Issuing Lender or such Related Party, as applicable, such portion of the unpaid amount equal to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applicable, was incurred by or asserted against the Administrative Agent (or such sub-agent) or applicable Issuing Lender or against any Related Party of any of the foregoing acting for the Administrative Agent (or any such sub-agent) or such Issuing Lender, as the case may be, in connection with such capacity.</w:t>
      </w:r>
    </w:p>
    <w:p>
      <w:pPr>
        <w:spacing w:after="0" w:line="192" w:lineRule="exact"/>
        <w:rPr>
          <w:rFonts w:ascii="Arial" w:cs="Arial" w:eastAsia="Arial" w:hAnsi="Arial"/>
          <w:sz w:val="18"/>
          <w:szCs w:val="18"/>
          <w:color w:val="auto"/>
        </w:rPr>
      </w:pPr>
    </w:p>
    <w:p>
      <w:pPr>
        <w:jc w:val="both"/>
        <w:ind w:left="-20" w:firstLine="1305"/>
        <w:spacing w:after="0" w:line="287" w:lineRule="auto"/>
        <w:tabs>
          <w:tab w:leader="none" w:pos="195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 the Company shall not assert, or permit any of its Affiliates or Related Parties to assert, and each hereby waives, any claim against any Indemnitee for any damages arising from the use by others of information or other materials obtained through telecommunications, electronic or other information transmission systems (including the Internet), except to the extent that such damages have resulted from the willful misconduct, bad faith or gross negligence of, or a material breach of the obligations under this Agreement or any other Loan Document by, such Indemnitee or any of such Indemnitee’s controlled Affiliates or any of its or their respective officers, directors, employees, agents, advisors, controlling persons or other representatives (as determined by a court of competent jurisdiction in a final and non-appealable decision) and (ii) no party hereto shall assert, or permit any of its Affiliates or Related Parties to assert, and each party hereto hereby waives, any claim or damages based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shall relieve any Loan Party of any obligation it may have to indemnify an Indemnitee against special, indirect, consequential or punitive damages asserted against such Indemnitee by a third party.</w:t>
      </w:r>
    </w:p>
    <w:p>
      <w:pPr>
        <w:spacing w:after="0" w:line="172" w:lineRule="exact"/>
        <w:rPr>
          <w:rFonts w:ascii="Arial" w:cs="Arial" w:eastAsia="Arial" w:hAnsi="Arial"/>
          <w:sz w:val="16"/>
          <w:szCs w:val="16"/>
          <w:color w:val="auto"/>
        </w:rPr>
      </w:pPr>
    </w:p>
    <w:p>
      <w:pPr>
        <w:ind w:left="-20" w:firstLine="1305"/>
        <w:spacing w:after="0" w:line="277" w:lineRule="auto"/>
        <w:tabs>
          <w:tab w:leader="none" w:pos="192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shall be payable within 30 Business Days after written demand therefor (or such later time as the party making such demand provides in such notice).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91" w:name="page192"/>
    <w:bookmarkEnd w:id="191"/>
    <w:p>
      <w:pPr>
        <w:jc w:val="both"/>
        <w:ind w:firstLine="1297"/>
        <w:spacing w:after="0" w:line="270"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(a) The provisions of this Agreement shall be binding upon and inure to the benefit of the parties hereto and their respective successors and assigns permitted hereby (including any Affiliate of any Issuing Lender that issues any Letter of Credit), except that (i) no Borrower may assign, delegate or otherwise transfer any of its respective rights or obligations hereunder without the prior written consent of the Administrative Agent and each Lender (and any attempted assignment, delegation or transfer by any Borrower without such consent shall be null and void) and (ii) no Lender may assign, delegate or otherwise transfer its rights or obligations hereunder except in accordance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any Arranger and, to the extent expressly contemplated hereby, the sub-agents of the Administrative Agent and the Related Parties of any of the Administrative Agent, any Arranger and any Lender) any legal or equitable right, remedy or claim under or by reason of this Agreement.</w:t>
      </w:r>
    </w:p>
    <w:p>
      <w:pPr>
        <w:spacing w:after="0" w:line="182" w:lineRule="exact"/>
        <w:rPr>
          <w:sz w:val="20"/>
          <w:szCs w:val="20"/>
          <w:color w:val="auto"/>
        </w:rPr>
      </w:pPr>
    </w:p>
    <w:p>
      <w:pPr>
        <w:jc w:val="both"/>
        <w:ind w:firstLine="1305"/>
        <w:spacing w:after="0" w:line="259" w:lineRule="auto"/>
        <w:tabs>
          <w:tab w:leader="none" w:pos="211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w:t>
      </w:r>
      <w:r>
        <w:rPr>
          <w:rFonts w:ascii="Arial" w:cs="Arial" w:eastAsia="Arial" w:hAnsi="Arial"/>
          <w:sz w:val="18"/>
          <w:szCs w:val="18"/>
          <w:u w:val="single" w:color="auto"/>
          <w:color w:val="auto"/>
        </w:rPr>
        <w:t>paragraph (b)(ii)</w:t>
      </w:r>
      <w:r>
        <w:rPr>
          <w:rFonts w:ascii="Arial" w:cs="Arial" w:eastAsia="Arial" w:hAnsi="Arial"/>
          <w:sz w:val="18"/>
          <w:szCs w:val="18"/>
          <w:color w:val="auto"/>
        </w:rPr>
        <w:t xml:space="preserve"> below, any Lender may assign and delegate to one or more Eligible Assignees after the funding of the initial extensions of credit hereunder on the Closing Date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86" w:lineRule="exact"/>
        <w:rPr>
          <w:rFonts w:ascii="Arial" w:cs="Arial" w:eastAsia="Arial" w:hAnsi="Arial"/>
          <w:sz w:val="18"/>
          <w:szCs w:val="18"/>
          <w:color w:val="auto"/>
        </w:rPr>
      </w:pPr>
    </w:p>
    <w:p>
      <w:pPr>
        <w:ind w:left="2640" w:hanging="687"/>
        <w:spacing w:after="0"/>
        <w:tabs>
          <w:tab w:leader="none" w:pos="26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Company shall be required (1) if an Event of Default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jc w:val="both"/>
        <w:ind w:left="1300" w:firstLine="5"/>
        <w:spacing w:after="0" w:line="271" w:lineRule="auto"/>
        <w:tabs>
          <w:tab w:leader="none" w:pos="1555" w:val="left"/>
        </w:tabs>
        <w:numPr>
          <w:ilvl w:val="0"/>
          <w:numId w:val="217"/>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has occurred and is continuing, (2) in the case of Term Loans, for an assignment and delegation to a Term Lender, an Affiliate of a Term Lender or an Approved Fund and (3) in the case of Revolving Commitments and/or Revolving Loans, for an assignment and delegation to a Revolving Lender, an Affiliate of a Revolving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be deemed to have consented to any such assignment and delegation of Term Loans unless it shall object thereto by written notice to the Administrative Agent within ten (10) Business Days after having received notice thereof;</w:t>
      </w:r>
    </w:p>
    <w:p>
      <w:pPr>
        <w:spacing w:after="0" w:line="178" w:lineRule="exact"/>
        <w:rPr>
          <w:rFonts w:ascii="Arial" w:cs="Arial" w:eastAsia="Arial" w:hAnsi="Arial"/>
          <w:sz w:val="17"/>
          <w:szCs w:val="17"/>
          <w:u w:val="single" w:color="auto"/>
          <w:color w:val="auto"/>
        </w:rPr>
      </w:pPr>
    </w:p>
    <w:p>
      <w:pPr>
        <w:jc w:val="both"/>
        <w:ind w:left="1300" w:firstLine="653"/>
        <w:spacing w:after="0" w:line="286" w:lineRule="auto"/>
        <w:tabs>
          <w:tab w:leader="none" w:pos="2647"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and delegation of (x) any Term Loan to a Lender, an Affiliate of a Lender or an Approved Fund and (y) any Revolving Commitment to a Revolving Lender, an Affiliate of a Revolving Lender or an Approved Fund with respect to a Revolving Lender; and</w:t>
      </w:r>
    </w:p>
    <w:p>
      <w:pPr>
        <w:spacing w:after="0" w:line="165" w:lineRule="exact"/>
        <w:rPr>
          <w:rFonts w:ascii="Arial" w:cs="Arial" w:eastAsia="Arial" w:hAnsi="Arial"/>
          <w:sz w:val="17"/>
          <w:szCs w:val="17"/>
          <w:color w:val="auto"/>
        </w:rPr>
      </w:pPr>
    </w:p>
    <w:p>
      <w:pPr>
        <w:ind w:left="1300" w:firstLine="653"/>
        <w:spacing w:after="0" w:line="277" w:lineRule="auto"/>
        <w:tabs>
          <w:tab w:leader="none" w:pos="259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each Issuing Lender and the Swingline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each Issuing Lender and the Swingline Lender shall be required for an assignment and delegation of any Term Loan.</w:t>
      </w:r>
    </w:p>
    <w:p>
      <w:pPr>
        <w:spacing w:after="0" w:line="170" w:lineRule="exact"/>
        <w:rPr>
          <w:sz w:val="20"/>
          <w:szCs w:val="20"/>
          <w:color w:val="auto"/>
        </w:rPr>
      </w:pPr>
    </w:p>
    <w:p>
      <w:pPr>
        <w:ind w:left="1920" w:hanging="615"/>
        <w:spacing w:after="0"/>
        <w:tabs>
          <w:tab w:leader="none" w:pos="19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1300" w:firstLine="653"/>
        <w:spacing w:after="0" w:line="285" w:lineRule="auto"/>
        <w:tabs>
          <w:tab w:leader="none" w:pos="2752"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except in the case of an assignment and delegation to a Lender, an Affiliate of a Lender or an Approved Fund or an assignment and delegation of the entire remaining amount of the assigning Lender’s Commitment or Loans of any Class, the amount of the Commitment or Loans of the assigning Lender subject to each such assignment and delegation (determined as of the trade date specified in the Assignment and Assumption with respect to such assignment and delegation or, if no trade date is so specified, as of the date the Assignment and Assumption with respect to such assignment and delegation is delivered to the Administrative Agent) shall not be less than</w:t>
      </w:r>
    </w:p>
    <w:p>
      <w:pPr>
        <w:spacing w:after="0" w:line="2" w:lineRule="exact"/>
        <w:rPr>
          <w:rFonts w:ascii="Arial" w:cs="Arial" w:eastAsia="Arial" w:hAnsi="Arial"/>
          <w:sz w:val="16"/>
          <w:szCs w:val="16"/>
          <w:color w:val="auto"/>
        </w:rPr>
      </w:pPr>
    </w:p>
    <w:p>
      <w:pPr>
        <w:jc w:val="both"/>
        <w:ind w:left="1300" w:firstLine="5"/>
        <w:spacing w:after="0" w:line="277" w:lineRule="auto"/>
        <w:tabs>
          <w:tab w:leader="none" w:pos="157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$1,000,000 in the case of the Initial Term Facility or any Incremental Term Facility and (z) $5,000,000 in the case of the Revolving Facilities unless the Company and the Administrative Agent otherwise consent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Company shall be required if an Event of Default has occurred and is continuing;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2" w:name="page193"/>
    <w:bookmarkEnd w:id="192"/>
    <w:p>
      <w:pPr>
        <w:jc w:val="both"/>
        <w:ind w:left="100" w:firstLine="653"/>
        <w:spacing w:after="0" w:line="279" w:lineRule="auto"/>
        <w:tabs>
          <w:tab w:leader="none" w:pos="147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each partial assignment and delegation shall be made as an assignment and delegation of a proportionate part of all the assigning Lender’s rights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(x) apply to the Swingline Lender’s rights and obligations in respect of Swingline Loans or (y) be construed to prohibit the assignment and delegation of a proportionate part of all the assigning Lender’s rights and obligations in respect of one Class of Commitments or Loans;</w:t>
      </w:r>
    </w:p>
    <w:p>
      <w:pPr>
        <w:spacing w:after="0" w:line="171" w:lineRule="exact"/>
        <w:rPr>
          <w:rFonts w:ascii="Arial" w:cs="Arial" w:eastAsia="Arial" w:hAnsi="Arial"/>
          <w:sz w:val="17"/>
          <w:szCs w:val="17"/>
          <w:color w:val="auto"/>
        </w:rPr>
      </w:pPr>
    </w:p>
    <w:p>
      <w:pPr>
        <w:jc w:val="both"/>
        <w:ind w:left="100" w:firstLine="653"/>
        <w:spacing w:after="0" w:line="273" w:lineRule="auto"/>
        <w:tabs>
          <w:tab w:leader="none" w:pos="147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the parties to each assignment and delegation shall execute and deliver to the Administrative Agent an Assignment and Assumption, together with a processing and recordation fee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the Administrative Agent may, in its sole discretion, elect to waive such processing and recordation fee in the case of any assignment and (2) with respect to any assignment and delegation pursuant to </w:t>
      </w:r>
      <w:r>
        <w:rPr>
          <w:rFonts w:ascii="Arial" w:cs="Arial" w:eastAsia="Arial" w:hAnsi="Arial"/>
          <w:sz w:val="17"/>
          <w:szCs w:val="17"/>
          <w:u w:val="single" w:color="auto"/>
          <w:color w:val="auto"/>
        </w:rPr>
        <w:t>Section 2.20(b)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w:t>
      </w:r>
      <w:r>
        <w:rPr>
          <w:rFonts w:ascii="Arial" w:cs="Arial" w:eastAsia="Arial" w:hAnsi="Arial"/>
          <w:sz w:val="17"/>
          <w:szCs w:val="17"/>
          <w:color w:val="auto"/>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spacing w:after="0" w:line="178" w:lineRule="exact"/>
        <w:rPr>
          <w:rFonts w:ascii="Arial" w:cs="Arial" w:eastAsia="Arial" w:hAnsi="Arial"/>
          <w:sz w:val="17"/>
          <w:szCs w:val="17"/>
          <w:color w:val="auto"/>
        </w:rPr>
      </w:pPr>
    </w:p>
    <w:p>
      <w:pPr>
        <w:jc w:val="both"/>
        <w:ind w:left="100" w:firstLine="653"/>
        <w:spacing w:after="0" w:line="288" w:lineRule="auto"/>
        <w:tabs>
          <w:tab w:leader="none" w:pos="147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the assignee, if it shall not be a Lender (or, for purposes of </w:t>
      </w:r>
      <w:r>
        <w:rPr>
          <w:rFonts w:ascii="Arial" w:cs="Arial" w:eastAsia="Arial" w:hAnsi="Arial"/>
          <w:sz w:val="16"/>
          <w:szCs w:val="16"/>
          <w:u w:val="single" w:color="auto"/>
          <w:color w:val="auto"/>
        </w:rPr>
        <w:t>Section (D)(1)</w:t>
      </w:r>
      <w:r>
        <w:rPr>
          <w:rFonts w:ascii="Arial" w:cs="Arial" w:eastAsia="Arial" w:hAnsi="Arial"/>
          <w:sz w:val="16"/>
          <w:szCs w:val="16"/>
          <w:color w:val="auto"/>
        </w:rPr>
        <w:t xml:space="preserve">, if the assignment and delegation relates to a Loan Party incorporated in the United Kingdom, if the assignee is not already a Lender to a Loan Party incorporated in the United Kingdom), shall (1) deliver to the Administrative Agent and to the Company any tax forms and information required by </w:t>
      </w:r>
      <w:r>
        <w:rPr>
          <w:rFonts w:ascii="Arial" w:cs="Arial" w:eastAsia="Arial" w:hAnsi="Arial"/>
          <w:sz w:val="16"/>
          <w:szCs w:val="16"/>
          <w:u w:val="single" w:color="auto"/>
          <w:color w:val="auto"/>
        </w:rPr>
        <w:t>Section 2.18(g)</w:t>
      </w:r>
      <w:r>
        <w:rPr>
          <w:rFonts w:ascii="Arial" w:cs="Arial" w:eastAsia="Arial" w:hAnsi="Arial"/>
          <w:sz w:val="16"/>
          <w:szCs w:val="16"/>
          <w:color w:val="auto"/>
        </w:rPr>
        <w:t xml:space="preserve"> and</w:t>
      </w:r>
    </w:p>
    <w:p>
      <w:pPr>
        <w:jc w:val="both"/>
        <w:ind w:left="100" w:firstLine="5"/>
        <w:spacing w:after="0" w:line="277" w:lineRule="auto"/>
        <w:tabs>
          <w:tab w:leader="none" w:pos="36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173" w:lineRule="exact"/>
        <w:rPr>
          <w:rFonts w:ascii="Arial" w:cs="Arial" w:eastAsia="Arial" w:hAnsi="Arial"/>
          <w:sz w:val="17"/>
          <w:szCs w:val="17"/>
          <w:color w:val="auto"/>
        </w:rPr>
      </w:pPr>
    </w:p>
    <w:p>
      <w:pPr>
        <w:jc w:val="both"/>
        <w:ind w:left="100" w:firstLine="653"/>
        <w:spacing w:after="0" w:line="279" w:lineRule="auto"/>
        <w:tabs>
          <w:tab w:leader="none" w:pos="145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 xml:space="preserve">if, following any assignment and delegation, and as a result of circumstances existing at the date of that assignment and delegation, a Loan Party incorporated in the United Kingdom would be required to make payment to the assignee under </w:t>
      </w:r>
      <w:r>
        <w:rPr>
          <w:rFonts w:ascii="Arial" w:cs="Arial" w:eastAsia="Arial" w:hAnsi="Arial"/>
          <w:sz w:val="17"/>
          <w:szCs w:val="17"/>
          <w:u w:val="single" w:color="auto"/>
          <w:color w:val="auto"/>
        </w:rPr>
        <w:t>Section 2.18(a)</w:t>
      </w:r>
      <w:r>
        <w:rPr>
          <w:rFonts w:ascii="Arial" w:cs="Arial" w:eastAsia="Arial" w:hAnsi="Arial"/>
          <w:sz w:val="17"/>
          <w:szCs w:val="17"/>
          <w:color w:val="auto"/>
        </w:rPr>
        <w:t xml:space="preserve"> by reason of a U.K. Deduction, then the assignee shall only be entitled to receive payment under that Section to the same extent as the original Lender would have been if the assignment and delegation had not occurred.</w:t>
      </w:r>
    </w:p>
    <w:p>
      <w:pPr>
        <w:spacing w:after="0" w:line="171" w:lineRule="exact"/>
        <w:rPr>
          <w:sz w:val="20"/>
          <w:szCs w:val="20"/>
          <w:color w:val="auto"/>
        </w:rPr>
      </w:pPr>
    </w:p>
    <w:p>
      <w:pPr>
        <w:jc w:val="both"/>
        <w:ind w:left="-540" w:firstLine="645"/>
        <w:spacing w:after="0" w:line="270" w:lineRule="auto"/>
        <w:tabs>
          <w:tab w:leader="none" w:pos="84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pursuant to </w:t>
      </w:r>
      <w:r>
        <w:rPr>
          <w:rFonts w:ascii="Arial" w:cs="Arial" w:eastAsia="Arial" w:hAnsi="Arial"/>
          <w:sz w:val="17"/>
          <w:szCs w:val="17"/>
          <w:u w:val="single" w:color="auto"/>
          <w:color w:val="auto"/>
        </w:rPr>
        <w:t>paragraph (b)(v)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from and after the effective date specified in each Assignment and Assumption the assignee thereunder shall be a party hereto and, to the extent of the interest assigned and delegated by such Assignment and Assumption, have the rights and obligations of a Lender under this Agreement, and the assigning Lender thereunder shall, to the extent of the interest assigned and delegated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(and subject to the obligations and limitations of)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Any assignment, delegation or other transfer by a Lender of rights or obligations under this Agreement that does not comply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9.04(c)</w:t>
      </w:r>
      <w:r>
        <w:rPr>
          <w:rFonts w:ascii="Arial" w:cs="Arial" w:eastAsia="Arial" w:hAnsi="Arial"/>
          <w:sz w:val="17"/>
          <w:szCs w:val="17"/>
          <w:color w:val="auto"/>
        </w:rPr>
        <w:t>.</w:t>
      </w:r>
    </w:p>
    <w:p>
      <w:pPr>
        <w:spacing w:after="0" w:line="3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93" w:name="page194"/>
    <w:bookmarkEnd w:id="193"/>
    <w:p>
      <w:pPr>
        <w:jc w:val="both"/>
        <w:ind w:left="-540" w:firstLine="645"/>
        <w:spacing w:after="0" w:line="291" w:lineRule="auto"/>
        <w:tabs>
          <w:tab w:leader="none" w:pos="83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 non-fiduciary agent of the Borrowers, shall maintain at one of its offices in the United States a copy of each Assignment and Assumption delivered to it and a register for the recordation of the names and addresses of the Lenders, and the Commitments of, and principal amount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and, as to entries pertaining to it, any Lender, at any reasonable time and from time to time upon reasonable prior notice.</w:t>
      </w:r>
    </w:p>
    <w:p>
      <w:pPr>
        <w:spacing w:after="0" w:line="167" w:lineRule="exact"/>
        <w:rPr>
          <w:rFonts w:ascii="Arial" w:cs="Arial" w:eastAsia="Arial" w:hAnsi="Arial"/>
          <w:sz w:val="16"/>
          <w:szCs w:val="16"/>
          <w:color w:val="auto"/>
        </w:rPr>
      </w:pPr>
    </w:p>
    <w:p>
      <w:pPr>
        <w:jc w:val="both"/>
        <w:ind w:left="-540" w:firstLine="645"/>
        <w:spacing w:after="0" w:line="267" w:lineRule="auto"/>
        <w:tabs>
          <w:tab w:leader="none" w:pos="76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Upon receipt by the Administrative Agent of a duly completed Assignment and Assumption executed by an assigning Lender and an assignee, the assignee’s completed Administrative Questionnaire and any tax forms or information required by </w:t>
      </w:r>
      <w:r>
        <w:rPr>
          <w:rFonts w:ascii="Arial" w:cs="Arial" w:eastAsia="Arial" w:hAnsi="Arial"/>
          <w:sz w:val="17"/>
          <w:szCs w:val="17"/>
          <w:u w:val="single" w:color="auto"/>
          <w:color w:val="auto"/>
        </w:rPr>
        <w:t>Section 2.18(g)</w:t>
      </w:r>
      <w:r>
        <w:rPr>
          <w:rFonts w:ascii="Arial" w:cs="Arial" w:eastAsia="Arial" w:hAnsi="Arial"/>
          <w:sz w:val="17"/>
          <w:szCs w:val="17"/>
          <w:color w:val="auto"/>
        </w:rPr>
        <w:t xml:space="preserve"> (unless the assignee shall already be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any written consent to such assignment and delegation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or delegation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w:t>
      </w:r>
    </w:p>
    <w:p>
      <w:pPr>
        <w:spacing w:after="0" w:line="191" w:lineRule="exact"/>
        <w:rPr>
          <w:rFonts w:ascii="Arial" w:cs="Arial" w:eastAsia="Arial" w:hAnsi="Arial"/>
          <w:sz w:val="17"/>
          <w:szCs w:val="17"/>
          <w:color w:val="auto"/>
        </w:rPr>
      </w:pPr>
    </w:p>
    <w:p>
      <w:pPr>
        <w:jc w:val="both"/>
        <w:ind w:left="-540" w:firstLine="645"/>
        <w:spacing w:after="0" w:line="269" w:lineRule="auto"/>
        <w:tabs>
          <w:tab w:leader="none" w:pos="863"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Issuing Lenders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94" w:name="page195"/>
    <w:bookmarkEnd w:id="194"/>
    <w:p>
      <w:pPr>
        <w:jc w:val="both"/>
        <w:ind w:left="-8" w:firstLine="1305"/>
        <w:spacing w:after="0" w:line="286" w:lineRule="auto"/>
        <w:tabs>
          <w:tab w:leader="none" w:pos="2171"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Any Lender may, without the consent of (or notice to) the Company, the Administrative Agent, the Issuing Lenders or the Swingline Lender, sell participations to one or more banks or other entities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Loans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w:t>
      </w:r>
    </w:p>
    <w:p>
      <w:pPr>
        <w:spacing w:after="0" w:line="1" w:lineRule="exact"/>
        <w:rPr>
          <w:rFonts w:ascii="Arial" w:cs="Arial" w:eastAsia="Arial" w:hAnsi="Arial"/>
          <w:sz w:val="16"/>
          <w:szCs w:val="16"/>
          <w:color w:val="auto"/>
        </w:rPr>
      </w:pPr>
    </w:p>
    <w:p>
      <w:pPr>
        <w:jc w:val="both"/>
        <w:ind w:left="-8" w:firstLine="8"/>
        <w:spacing w:after="0" w:line="283" w:lineRule="auto"/>
        <w:tabs>
          <w:tab w:leader="none" w:pos="30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the Company,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or requires the approval of all the Lenders. The Borrowers agree that each Participant shall be entitled to the benefits of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2.18(g)</w:t>
      </w:r>
      <w:r>
        <w:rPr>
          <w:rFonts w:ascii="Arial" w:cs="Arial" w:eastAsia="Arial" w:hAnsi="Arial"/>
          <w:sz w:val="16"/>
          <w:szCs w:val="16"/>
          <w:color w:val="auto"/>
        </w:rPr>
        <w:t xml:space="preserve"> (it being understood and agreed that the documentation required under </w:t>
      </w:r>
      <w:r>
        <w:rPr>
          <w:rFonts w:ascii="Arial" w:cs="Arial" w:eastAsia="Arial" w:hAnsi="Arial"/>
          <w:sz w:val="16"/>
          <w:szCs w:val="16"/>
          <w:u w:val="single" w:color="auto"/>
          <w:color w:val="auto"/>
        </w:rPr>
        <w:t>Section 2.18(g)</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2.19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with respect to any participation, than its participating Lender would have been entitled to receive, except to the extent such entitlement to receive a greater payment results from a Change in Law or compliance by any Lender with any request or directive (whether or not having the force of law) from any central bank or other Governmental Authority made subsequent to the date hereof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6"/>
          <w:szCs w:val="16"/>
          <w:u w:val="single" w:color="auto"/>
          <w:color w:val="auto"/>
        </w:rPr>
        <w:t>Section 2.20(b)</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as though it were a Lender. Each Lender that sells a participation shall, acting solely for this purpose as a non-fiduciary agent of the applicable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7" w:lineRule="exact"/>
        <w:rPr>
          <w:rFonts w:ascii="Arial" w:cs="Arial" w:eastAsia="Arial" w:hAnsi="Arial"/>
          <w:sz w:val="16"/>
          <w:szCs w:val="16"/>
          <w:color w:val="auto"/>
        </w:rPr>
      </w:pPr>
    </w:p>
    <w:p>
      <w:pPr>
        <w:jc w:val="both"/>
        <w:ind w:left="-8" w:firstLine="1305"/>
        <w:spacing w:after="0" w:line="257" w:lineRule="auto"/>
        <w:tabs>
          <w:tab w:leader="none" w:pos="195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obligations to a Federal Reserve Bank, and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95" w:name="page196"/>
    <w:bookmarkEnd w:id="195"/>
    <w:p>
      <w:pPr>
        <w:ind w:left="760" w:hanging="655"/>
        <w:spacing w:after="0"/>
        <w:tabs>
          <w:tab w:leader="none" w:pos="76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Disqualified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293"/>
        <w:spacing w:after="0" w:line="270" w:lineRule="auto"/>
        <w:tabs>
          <w:tab w:leader="none" w:pos="977" w:val="left"/>
        </w:tabs>
        <w:numPr>
          <w:ilvl w:val="1"/>
          <w:numId w:val="226"/>
        </w:numPr>
        <w:rPr>
          <w:rFonts w:ascii="Arial" w:cs="Arial" w:eastAsia="Arial" w:hAnsi="Arial"/>
          <w:sz w:val="17"/>
          <w:szCs w:val="17"/>
          <w:color w:val="auto"/>
        </w:rPr>
      </w:pPr>
      <w:r>
        <w:rPr>
          <w:rFonts w:ascii="Arial" w:cs="Arial" w:eastAsia="Arial" w:hAnsi="Arial"/>
          <w:sz w:val="17"/>
          <w:szCs w:val="17"/>
          <w:color w:val="auto"/>
        </w:rPr>
        <w:t>No assignment or, to the extent the DQ List has been posted on the Platform for all Lenders, participation shall be made to any Person that was a Disqualified Lender as of the date (the “</w:t>
      </w:r>
      <w:r>
        <w:rPr>
          <w:rFonts w:ascii="Arial" w:cs="Arial" w:eastAsia="Arial" w:hAnsi="Arial"/>
          <w:sz w:val="17"/>
          <w:szCs w:val="17"/>
          <w:u w:val="single" w:color="auto"/>
          <w:color w:val="auto"/>
        </w:rPr>
        <w:t>Trade Date</w:t>
      </w:r>
      <w:r>
        <w:rPr>
          <w:rFonts w:ascii="Arial" w:cs="Arial" w:eastAsia="Arial" w:hAnsi="Arial"/>
          <w:sz w:val="17"/>
          <w:szCs w:val="17"/>
          <w:color w:val="auto"/>
        </w:rPr>
        <w:t xml:space="preserve">”) on which the applicable Lender entered into a binding agreement to sell and assign or grant a participation in all or a portion of its rights and obligations under this Agreement to such Person (unless the Company has consented to such assignment or participation as otherwise provided in this Section,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 expiration of the notice period ” referred to in the definition of “Disqualified Lender”),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Arial" w:cs="Arial" w:eastAsia="Arial" w:hAnsi="Arial"/>
          <w:sz w:val="17"/>
          <w:szCs w:val="17"/>
          <w:u w:val="single" w:color="auto"/>
          <w:color w:val="auto"/>
        </w:rPr>
        <w:t>clause (e)(i)</w:t>
      </w:r>
      <w:r>
        <w:rPr>
          <w:rFonts w:ascii="Arial" w:cs="Arial" w:eastAsia="Arial" w:hAnsi="Arial"/>
          <w:sz w:val="17"/>
          <w:szCs w:val="17"/>
          <w:color w:val="auto"/>
        </w:rPr>
        <w:t xml:space="preserve"> shall not be void, but the other provisions of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apply.</w:t>
      </w:r>
    </w:p>
    <w:p>
      <w:pPr>
        <w:spacing w:after="0" w:line="177" w:lineRule="exact"/>
        <w:rPr>
          <w:rFonts w:ascii="Arial" w:cs="Arial" w:eastAsia="Arial" w:hAnsi="Arial"/>
          <w:sz w:val="17"/>
          <w:szCs w:val="17"/>
          <w:color w:val="auto"/>
        </w:rPr>
      </w:pPr>
    </w:p>
    <w:p>
      <w:pPr>
        <w:jc w:val="both"/>
        <w:ind w:left="-540" w:firstLine="1293"/>
        <w:spacing w:after="0" w:line="270" w:lineRule="auto"/>
        <w:tabs>
          <w:tab w:leader="none" w:pos="1024"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is made to any Disqualified Lender without the Company’s prior written consent in violation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of its interest, rights and obligations under this Agreement to 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Company shall have paid to the Administrative Agent the assignment fee (if any) specified in </w:t>
      </w:r>
      <w:r>
        <w:rPr>
          <w:rFonts w:ascii="Arial" w:cs="Arial" w:eastAsia="Arial" w:hAnsi="Arial"/>
          <w:sz w:val="17"/>
          <w:szCs w:val="17"/>
          <w:u w:val="single" w:color="auto"/>
          <w:color w:val="auto"/>
        </w:rPr>
        <w:t>Section 9.04(b)</w:t>
      </w:r>
      <w:r>
        <w:rPr>
          <w:rFonts w:ascii="Arial" w:cs="Arial" w:eastAsia="Arial" w:hAnsi="Arial"/>
          <w:sz w:val="17"/>
          <w:szCs w:val="17"/>
          <w:color w:val="auto"/>
        </w:rPr>
        <w:t>, (ii) such assignment does not conflict with applicable laws and (iii) in the case of clause (B), the Company shall not use the proceeds from any Loans to prepay Term Loans held by Disqualified Lenders.</w:t>
      </w:r>
    </w:p>
    <w:p>
      <w:pPr>
        <w:spacing w:after="0" w:line="181" w:lineRule="exact"/>
        <w:rPr>
          <w:rFonts w:ascii="Arial" w:cs="Arial" w:eastAsia="Arial" w:hAnsi="Arial"/>
          <w:sz w:val="17"/>
          <w:szCs w:val="17"/>
          <w:color w:val="auto"/>
        </w:rPr>
      </w:pPr>
    </w:p>
    <w:p>
      <w:pPr>
        <w:jc w:val="both"/>
        <w:ind w:left="-540" w:firstLine="1293"/>
        <w:spacing w:after="0" w:line="268" w:lineRule="auto"/>
        <w:tabs>
          <w:tab w:leader="none" w:pos="1106"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Disqualified Lenders to whom an assignment or participation is made in violation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(C) for purposes of voting on any plan of reorganization or plan of liquidation pursuant to any Debtor Relief Laws (“</w:t>
      </w:r>
      <w:r>
        <w:rPr>
          <w:rFonts w:ascii="Arial" w:cs="Arial" w:eastAsia="Arial" w:hAnsi="Arial"/>
          <w:sz w:val="17"/>
          <w:szCs w:val="17"/>
          <w:u w:val="single" w:color="auto"/>
          <w:color w:val="auto"/>
        </w:rPr>
        <w:t>Plan of Reorganization</w:t>
      </w:r>
      <w:r>
        <w:rPr>
          <w:rFonts w:ascii="Arial" w:cs="Arial" w:eastAsia="Arial" w:hAnsi="Arial"/>
          <w:sz w:val="17"/>
          <w:szCs w:val="17"/>
          <w:color w:val="auto"/>
        </w:rPr>
        <w:t>”),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96" w:name="page197"/>
    <w:bookmarkEnd w:id="196"/>
    <w:p>
      <w:pPr>
        <w:jc w:val="both"/>
        <w:ind w:left="660" w:firstLine="1293"/>
        <w:spacing w:after="0" w:line="259" w:lineRule="auto"/>
        <w:tabs>
          <w:tab w:leader="none" w:pos="226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Administrative Agent shall have the right, and the Company hereby expressly authorizes the Administrative Agent, to (A) post the list of Disqualified Lenders provided by the Company and any updates thereto from time to time (collectively, the “</w:t>
      </w:r>
      <w:r>
        <w:rPr>
          <w:rFonts w:ascii="Arial" w:cs="Arial" w:eastAsia="Arial" w:hAnsi="Arial"/>
          <w:sz w:val="18"/>
          <w:szCs w:val="18"/>
          <w:u w:val="single" w:color="auto"/>
          <w:color w:val="auto"/>
        </w:rPr>
        <w:t>DQ List</w:t>
      </w:r>
      <w:r>
        <w:rPr>
          <w:rFonts w:ascii="Arial" w:cs="Arial" w:eastAsia="Arial" w:hAnsi="Arial"/>
          <w:sz w:val="18"/>
          <w:szCs w:val="18"/>
          <w:color w:val="auto"/>
        </w:rPr>
        <w:t>”) on a Platform, including that portion of such Platform that is designated for “public side” Lenders and/or (B) provide the DQ List to each Lender or potential Lender requesting the same.</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in this Agreement and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regardless of any investigation made by any such other party or on its behalf and notwithstanding that the Administrative Agent, any Arranger, any Lender or any Affiliate of any of the foregoing may have had notice or knowledge of any Default or incorrect representation or warranty at the time this Agreement or any other Loan Document is executed and delivered or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imaging shall be effective as delivery of a manually executed counterpart of this Agreement.</w:t>
      </w:r>
    </w:p>
    <w:p>
      <w:pPr>
        <w:spacing w:after="0" w:line="18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7" w:name="page198"/>
    <w:bookmarkEnd w:id="197"/>
    <w:p>
      <w:pPr>
        <w:jc w:val="both"/>
        <w:ind w:firstLine="1297"/>
        <w:spacing w:after="0" w:line="285"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of the Lenders and each of their respective Affiliates, are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its Affiliates to or for the credit or the account of any Loan Party against any of and all the Obligations then due of the Company or any such other Loan Party now or hereafter existing under this Agreement or the other Loan Documents held by such Lender, irrespective of whether or not such Lender shall have made any demand under this Agreement or any other Loan Document and although such obligations of the Loan Parties may be contingent or unmatured or are owed to a branch or office or Affiliate of such Lender different from the branch or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(i) all amounts so setoff shall be paid over immediately to the Administrative Agent for further application in accordance with the provisions of this Agreement and the other Loan Documents and, pending such payment, shall be segregated by such Defaulting Lender from its other funds and deemed held in trust for the benefit of the Administrative Agent, the Issuing Lenders, the Swingline Lender and the Lenders and (ii) the Defaulting Lender shall provide promptly to the Administrative Agent a statement describing in reasonable detail the Obligations owing to such Defaulting Lender as to which it exercised such right of setoff;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prohibited by applicable law as described in the definition of the term “Excluded Swap Obligation”, no amount received from, or set off with respect to, any Loan Party shall be applied to any Excluded Swap Obligations of such Loan Party. Each Lender agrees to notify the applicable Loan Parties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or any delay in giving such notice shall not affect the validity of any such setoff and application. The rights of each Lender and its Affiliates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are in addition to other rights and remedies (including other rights of setoff) that such Lender or its respective Affiliates may have.</w:t>
      </w:r>
    </w:p>
    <w:p>
      <w:pPr>
        <w:spacing w:after="0" w:line="17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 xml:space="preserve">. (a) 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interpretation of the definition of the term “Material Adverse Effect” (as defined in the GCA Acquisition Agreement as in effect on July 11, 2017) (and whether or not a “Material Adverse Effect” has occurred under the GCA Acquisition Agreement), (ii) the accuracy of any Specified GCA Acquisition Agreement Representations and whether as a result of any inaccuracy thereof the Company or any of its Affiliates has the right (without regard to any notice requirement) to terminate its obligations (or to refuse to consummate the acquisition) under the GCA Acquisition Agreement and (iii) whether the acquisition has been consummated in accordance with the terms of the GCA Acquisition Agreement, in each case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shall be governed by, and construed in accordance with, the laws of the State of Delaware (in each case, without regard to the principles of conflict of laws thereof, to the extent that the same are not mandatorily applicable by statute and would require or permit the application of the law of another jurisdiction).</w:t>
      </w:r>
    </w:p>
    <w:p>
      <w:pPr>
        <w:spacing w:after="0" w:line="169" w:lineRule="exact"/>
        <w:rPr>
          <w:sz w:val="20"/>
          <w:szCs w:val="20"/>
          <w:color w:val="auto"/>
        </w:rPr>
      </w:pPr>
    </w:p>
    <w:p>
      <w:pPr>
        <w:jc w:val="both"/>
        <w:ind w:firstLine="1305"/>
        <w:spacing w:after="0" w:line="288" w:lineRule="auto"/>
        <w:tabs>
          <w:tab w:leader="none" w:pos="199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of the parties hereto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for itself and its property, to the jurisdiction of such courts and agrees that all claims in respect of any action, litigation or proceeding may be heard and determined in such New York State court or, to the fullest extent permitted by applicable law, in such federal court. Each party hereto agrees that a final judgment in any such action, litigation or proceeding shall be conclusive and may be enforced in other jurisdictions by suit on the judgment or in any other manner provided by law. Nothing in this Agreement shall affect any right that any party hereto may otherwise have to bring any action, litigation or proceeding related to any Loan Document governed by any law other than the laws of the State of New York against any other party hereto or any of its properties in the courts of the jurisdiction of the law governing such Loan Document.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8" w:name="page199"/>
    <w:bookmarkEnd w:id="198"/>
    <w:p>
      <w:pPr>
        <w:jc w:val="both"/>
        <w:ind w:firstLine="1305"/>
        <w:spacing w:after="0" w:line="279" w:lineRule="auto"/>
        <w:tabs>
          <w:tab w:leader="none" w:pos="199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Each of the parties hereto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9.09</w:t>
      </w:r>
      <w:r>
        <w:rPr>
          <w:rFonts w:ascii="Arial" w:cs="Arial" w:eastAsia="Arial" w:hAnsi="Arial"/>
          <w:sz w:val="17"/>
          <w:szCs w:val="17"/>
          <w:color w:val="auto"/>
        </w:rPr>
        <w:t>. Each of the parties hereto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Each party to this Agreement irrevocably consents to service of process in the manner provided for notices in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Each Designated Borrower that is a Foreign Subsidiary irrevocably designates and appoints the Company, as its authorized agent, to accept and acknowledge on its behalf, service of any and all process which may be served in any suit, action or proceeding of the nature referred to in </w:t>
      </w:r>
      <w:r>
        <w:rPr>
          <w:rFonts w:ascii="Arial" w:cs="Arial" w:eastAsia="Arial" w:hAnsi="Arial"/>
          <w:sz w:val="16"/>
          <w:szCs w:val="16"/>
          <w:u w:val="single" w:color="auto"/>
          <w:color w:val="auto"/>
        </w:rPr>
        <w:t>Section 9.09(b)</w:t>
      </w:r>
      <w:r>
        <w:rPr>
          <w:rFonts w:ascii="Arial" w:cs="Arial" w:eastAsia="Arial" w:hAnsi="Arial"/>
          <w:sz w:val="16"/>
          <w:szCs w:val="16"/>
          <w:color w:val="auto"/>
        </w:rPr>
        <w:t xml:space="preserve"> in any federal or New York State court sitting in New York City. The Company hereby represents, warrants and confirms that the Company has agreed to accept such appointment (and any similar appointment by a Guarantor which is a Foreign Subsidiary). Said designation and appointment shall be irrevocable by each such Designated Borrower until all Loans, all reimbursement obligations, interest thereon and all other amounts payable by such Designated Borrower hereunder and under the other Loan Documents shall have been paid in full in accordance with the provisions hereof and thereof and such Designated Borrower shall have been terminated as a Borrower hereunder pursuant to </w:t>
      </w:r>
      <w:r>
        <w:rPr>
          <w:rFonts w:ascii="Arial" w:cs="Arial" w:eastAsia="Arial" w:hAnsi="Arial"/>
          <w:sz w:val="16"/>
          <w:szCs w:val="16"/>
          <w:u w:val="single" w:color="auto"/>
          <w:color w:val="auto"/>
        </w:rPr>
        <w:t>Section 2.26</w:t>
      </w:r>
      <w:r>
        <w:rPr>
          <w:rFonts w:ascii="Arial" w:cs="Arial" w:eastAsia="Arial" w:hAnsi="Arial"/>
          <w:sz w:val="16"/>
          <w:szCs w:val="16"/>
          <w:color w:val="auto"/>
        </w:rPr>
        <w:t xml:space="preserve">. Each Designated Borrower that is a Foreign Subsidiary hereby consents to process being served in any suit, action or proceeding of the nature referred to in </w:t>
      </w:r>
      <w:r>
        <w:rPr>
          <w:rFonts w:ascii="Arial" w:cs="Arial" w:eastAsia="Arial" w:hAnsi="Arial"/>
          <w:sz w:val="16"/>
          <w:szCs w:val="16"/>
          <w:u w:val="single" w:color="auto"/>
          <w:color w:val="auto"/>
        </w:rPr>
        <w:t>Section 9.09(b)</w:t>
      </w:r>
      <w:r>
        <w:rPr>
          <w:rFonts w:ascii="Arial" w:cs="Arial" w:eastAsia="Arial" w:hAnsi="Arial"/>
          <w:sz w:val="16"/>
          <w:szCs w:val="16"/>
          <w:color w:val="auto"/>
        </w:rPr>
        <w:t xml:space="preserve"> in any federal or New York State court sitting in New York City by service of process upon the Company as provided in this </w:t>
      </w:r>
      <w:r>
        <w:rPr>
          <w:rFonts w:ascii="Arial" w:cs="Arial" w:eastAsia="Arial" w:hAnsi="Arial"/>
          <w:sz w:val="16"/>
          <w:szCs w:val="16"/>
          <w:u w:val="single" w:color="auto"/>
          <w:color w:val="auto"/>
        </w:rPr>
        <w:t>Section 9.09(d)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and possible, notice of said service upon such agent shall be mailed by registered or certified air mail, postage prepaid, return receipt requested, to the Company and (if applicable to) such Designated Borrower at its address set forth in the Designated Borrower Request and Assumption Agreement to which it is a party or to any other address of which such Designated Borrower shall have given written notice to the Administrative Agent (with a copy thereof to the Company). Each Designated Borrower that is a Foreign Subsidiary irrevocably waives, to the fullest extent permitted by law, all claim of error by reason of any such service in such manner and agrees that such service shall be deemed in every respect effective service of process upon such Designated Borrower in any such suit, action or proceeding and shall, to the fullest extent permitted by law, be taken and held to be valid and personal service upon and personal delivery to such Designated Borrower. To the extent any Designated Borrower that is a Foreign Subsidiary has or hereafter may acquire any immunity from jurisdiction of any court or from any legal process (whether from service or notice, attachment prior to judgment, attachment in aid of execution of a judgment, execution or otherwise), each Designated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6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9" w:name="page200"/>
    <w:bookmarkEnd w:id="199"/>
    <w:p>
      <w:pPr>
        <w:jc w:val="both"/>
        <w:ind w:firstLine="1297"/>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7"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of the Administrative Agent, each Issuing Lender and each Lender agrees to maintain the confidentiality of all Information (as defined below), except that Information may be disclosed (a) to its Related Parties, including accountants, legal counsel and other agents and advisors on a need-to-know basis, it being understood and agreed that the Persons to whom such disclosure is made will be informed of the confidential nature of such Information and instructed to keep such Information confidential, (b) to the extent required or requested by any regulatory authority having jurisdiction over such Person or its Related Parties (including any self-regulatory authority, such as the National Association of Insurance Commissioners) (in which case such Credit Party agrees (except with respect to any audit or examination conducted by bank accountants or any regulatory authority exercising examination or regulatory authority), to the extent practicable and not prohibited by applicable law, rule or regulation, to inform the Company promptly thereof prior to disclosure), (c) to the extent required by applicable laws or regulations or by any subpoena or similar legal process (in which case such Credit Party agrees (except with respect to any audit or examination conducted by bank accountants or any regulatory authority exercising examination or regulatory authority), to the extent practicable and not prohibited by applicable law, rule or regulation, to inform the Company promptly thereof prior to disclosure),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confidentiality undertakings substantially similar to those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to (i)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or (ii) any actual or prospective counterparty (or its Related Parties) to any Hedging Agreement relating to the Company or any Subsidiary and its obligations hereunder or under any other Loan Document, (g) on a confidential basis to (i) any rating agency in connection with rating the Company or its Subsidiaries or the credit facilities provided for herein or (ii) the CUSIP Service Bureau or any similar agency in connection with the issuance and monitoring of CUSIP numbers with respect to the credit facilities provided for herein, (h) with the consent of the Company or (i) to the extent such Information (i) becomes publicly available other than as a result of a breach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(ii) becomes available to the Administrative Agent, any Issuing Lender, any Lender or any Affiliate of any of the foregoing on a nonconfidential basis from a source other than the Company or any of its Subsidiaries. For purposes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“Information” means all information received from the Company relating to the Company or any Subsidiary (including any Unrestricted Subsidiary) or their businesses, other than any such information that is available to the Administrative Agent, any Issuing Lender or any Lender on a nonconfidential basis prior to disclosure by the Company or its Subsidiary (including any Unrestricted Subsidiary) and other than information pertaining to this Agreement routinely provided by arrangers to data service providers, including league table providers, that serve the lending industry. Any Person required to maintain the confidentiality of Information as provided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disclosure is limited to information identifying the Borrower, the type, amount and maturity of the credit facility established hereby and the roles and titles of the parties named on the cover hereof.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0" w:name="page201"/>
    <w:bookmarkEnd w:id="200"/>
    <w:p>
      <w:pPr>
        <w:jc w:val="both"/>
        <w:ind w:firstLine="1297"/>
        <w:spacing w:after="0" w:line="293"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If the Administrative Agent or any Lender shall receive interest in an amount that exceeds the Maximum Rate, the excess interest shall be applied to the principal of the Loans or, if it exceeds such unpaid principal, refunded to the applicable Borrower.</w:t>
      </w:r>
    </w:p>
    <w:p>
      <w:pPr>
        <w:spacing w:after="0" w:line="16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Release of Liens and Guarantees</w:t>
      </w:r>
      <w:r>
        <w:rPr>
          <w:rFonts w:ascii="Arial" w:cs="Arial" w:eastAsia="Arial" w:hAnsi="Arial"/>
          <w:sz w:val="17"/>
          <w:szCs w:val="17"/>
          <w:color w:val="auto"/>
        </w:rPr>
        <w:t xml:space="preserve">. A Loan Party (other than the Company) shall automatically be released from its obligations under the Loan Documents, and all security interests created by the Security Documents in Collateral owned by such Loan Party shall be automatically released, (i) upon the consummation of any transaction permitted by this Agreement as a result of which such Loan Party ceases to be a Subsidiary (or becomes an Excluded Subsidiary (other than solely as a result of such Subsidiary ceasing to be a Significant Subsidiary) or an Unrestricted Subsidiary) and (ii) upon written notice from the Company to the Administrative Agent, upon or after such Loan Party becoming an Excluded Subsidiary solely as a result of such Subsidiary ceasing to be a Significant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 of any date upon which a Loan Party (other than the Company) becomes an Excluded Subsidiary and its guarantee of the Obligations is released, the Company shall be deemed to have made an Investment in a Person that is not a Loan Party in an amount equal to the fair market value of the assets (net of third-party liabilities and intercompany assets) of such Subsidiary as of such date (as determined reasonably and in good faith by a Financial Officer of the Company).</w:t>
      </w:r>
    </w:p>
    <w:p>
      <w:pPr>
        <w:spacing w:after="0" w:line="18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Upon any sale or other transfer by any Loan Party (other than to the Company or any other Loan Party) of any Collateral in a transaction permitted under this Agreement, or upon the effectiveness of any written consent to the release of the security interest created under any Security Document in any Collateral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the security interests in such Collateral created by the Security Documents shall be automatically released. In connection with any termination or release pursuant to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the Administrative Agent shall execute and deliver to any Loan Party, at such Loan Party’s expense, all documents that such Loan Party shall reasonably request to evidence such termination or release, and shall file (or authorize such Loan Party to file) any termination statements in respect of Uniform Commercial Code financing statements (or similar filings under applicable law). Any execution and delivery of documents pursuant to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shall be without recourse to or warranty by the Administrative Agent. Each of the Secured Parties irrevocably authorizes the Administrative Agent, at its option and in its discretion, to effect the releases set forth in this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the USA PATRIOT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1" w:name="page202"/>
    <w:bookmarkEnd w:id="201"/>
    <w:p>
      <w:pPr>
        <w:jc w:val="both"/>
        <w:ind w:firstLine="1297"/>
        <w:spacing w:after="0" w:line="285"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Company and each other Loan Party hereto acknowledges and agrees, and acknowledges its Affiliates’ understanding, that: (i) (A) the arranging and other services regarding this Agreement provided by the Administrative Agent, the Arrangers, and the Lenders are arm’s-length commercial transactions between the Company, each other Loan Party and their respective Affiliates, on the one hand, and the Administrative Agent, the Arrangers, and the Lenders, on the other hand, (B) each of the Company and the other Loan Parties has consulted its own legal, accounting, regulatory and tax advisors to the extent it has deemed appropriate, and (C) the Company and each other Loan Party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the Company, any other Loan Party or any of their respective Affiliates, or any other Person and (B) neither the Administrative Agent, the Arrangers nor any Lender has any obligation to the Company,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Company, the other Loan Parties and their respective Affiliates, and neither the Administrative Agent, the Arrangers, nor any Lender has any obligation to disclose any of such interests to the Company, any other Loan Party or any of their respective Affiliates. To the fullest extent permitted by law, each of the Company and each other Loan Party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7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(a) Each Lender acknowledges that all information, including requests for waivers and amendments, furnished by the Company or the Administrative Agent pursuant to or in connection with, or in the course of administering, this Agreement will be syndicate-level information, which may contain MNPI. Each Lender represents to the Company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spacing w:after="0" w:line="165" w:lineRule="exact"/>
        <w:rPr>
          <w:sz w:val="20"/>
          <w:szCs w:val="20"/>
          <w:color w:val="auto"/>
        </w:rPr>
      </w:pPr>
    </w:p>
    <w:p>
      <w:pPr>
        <w:jc w:val="both"/>
        <w:ind w:firstLine="1305"/>
        <w:spacing w:after="0" w:line="271" w:lineRule="auto"/>
        <w:tabs>
          <w:tab w:leader="none" w:pos="208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Each of the Company and each Lender acknowledges that, if information furnished by the Company or any of its Subsidiaries pursuant to or in connection with this Agreement is being distributed by the Administrative Agent through the Platform, (i) the Administrative Agent may post any information that the Company has indicated as containing MNPI solely on that portion of the Platform designated for Private Side Lender Representatives and (ii) if the Company has not indicated whether any information furnished by it pursuant to or in connection with this Agreement contains MNPI, the Administrative Agent reserves the right to post such information solely on that portion of the Platform as is designated for Private Side Lender Representatives. The Company agrees to clearly designate all information provided to the Administrative Agent by or on behalf of the Company that is suitable to be made available to Public Side Lender Representatives, and the Administrative Agent shall be entitled to rely on any such designation by the Company without liability or responsibility for the independent verification thereof.</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Judgment Currency</w:t>
      </w:r>
      <w:r>
        <w:rPr>
          <w:rFonts w:ascii="Arial" w:cs="Arial" w:eastAsia="Arial" w:hAnsi="Arial"/>
          <w:sz w:val="18"/>
          <w:szCs w:val="18"/>
          <w:color w:val="auto"/>
        </w:rPr>
        <w:t>. (a) If, for the purpose of obtaining judgment in any court, it is necessary to convert a sum owing hereunder in Dollars into another currency, each party hereto agrees, to the fullest extent that it may effectively do so, that the rate of exchange used shall be that at which in accordance with normal banking procedures in the relevant jurisdiction Dollars could be purchased with such other currency on the Business Day immediately preceding the day on which final judgment is given.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2" w:name="page203"/>
    <w:bookmarkEnd w:id="202"/>
    <w:p>
      <w:pPr>
        <w:jc w:val="both"/>
        <w:ind w:firstLine="1305"/>
        <w:spacing w:after="0" w:line="272" w:lineRule="auto"/>
        <w:tabs>
          <w:tab w:leader="none" w:pos="205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obligations of each party hereto in respect of any sum due to any other party hereto or any holder of the obligations owing hereunder (the “</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other than Dollars, be discharged only to the extent that, on the Business Day following receipt by the Applicable Creditor of any sum adjudged to be so due in the Judgment Currency, the Applicable Creditor may in accordance with normal banking procedures in the relevant jurisdiction purchase Dollars with the Judgment Currency; if the amount of Dollars so purchased is less than the sum originally due to the Applicable Creditor in Dollars, such party agrees, as a separate obligation and notwithstanding any such judgment, to indemnify the Applicable Creditor against such deficiency. The obligations of the parties contained in this </w:t>
      </w:r>
      <w:r>
        <w:rPr>
          <w:rFonts w:ascii="Arial" w:cs="Arial" w:eastAsia="Arial" w:hAnsi="Arial"/>
          <w:sz w:val="17"/>
          <w:szCs w:val="17"/>
          <w:u w:val="single" w:color="auto"/>
          <w:color w:val="auto"/>
        </w:rPr>
        <w:t>Section 9.18</w:t>
      </w:r>
      <w:r>
        <w:rPr>
          <w:rFonts w:ascii="Arial" w:cs="Arial" w:eastAsia="Arial" w:hAnsi="Arial"/>
          <w:sz w:val="17"/>
          <w:szCs w:val="17"/>
          <w:color w:val="auto"/>
        </w:rPr>
        <w:t xml:space="preserve"> shall survive the termination of this Agreement and the payment of all other amounts owing hereunder.</w:t>
      </w:r>
    </w:p>
    <w:p>
      <w:pPr>
        <w:spacing w:after="0" w:line="17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Borrowing Requests, Swingline Borrowing Requests, Notices of Loan Prepayments,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9.20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Solely to the extent any Lender or any Issuing Lender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any Issuing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3" w:lineRule="exact"/>
        <w:rPr>
          <w:sz w:val="20"/>
          <w:szCs w:val="20"/>
          <w:color w:val="auto"/>
        </w:rPr>
      </w:pPr>
    </w:p>
    <w:p>
      <w:pPr>
        <w:ind w:firstLine="1305"/>
        <w:spacing w:after="0" w:line="277" w:lineRule="auto"/>
        <w:tabs>
          <w:tab w:leader="none" w:pos="219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or any Issuing Lender that is an EEA Financial Institution;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sz w:val="20"/>
          <w:szCs w:val="20"/>
          <w:color w:val="auto"/>
        </w:rPr>
      </w:pPr>
    </w:p>
    <w:p>
      <w:pPr>
        <w:ind w:left="1920" w:hanging="615"/>
        <w:spacing w:after="0"/>
        <w:tabs>
          <w:tab w:leader="none" w:pos="19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645"/>
        <w:spacing w:after="0" w:line="312" w:lineRule="auto"/>
        <w:tabs>
          <w:tab w:leader="none" w:pos="198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Arial" w:cs="Arial" w:eastAsia="Arial" w:hAnsi="Arial"/>
          <w:sz w:val="16"/>
          <w:szCs w:val="16"/>
          <w:color w:val="auto"/>
        </w:rPr>
      </w:pPr>
    </w:p>
    <w:p>
      <w:pPr>
        <w:ind w:left="660" w:right="20" w:firstLine="645"/>
        <w:spacing w:after="0" w:line="277" w:lineRule="auto"/>
        <w:tabs>
          <w:tab w:leader="none" w:pos="200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Lender Representation</w:t>
      </w:r>
      <w:r>
        <w:rPr>
          <w:rFonts w:ascii="Arial" w:cs="Arial" w:eastAsia="Arial" w:hAnsi="Arial"/>
          <w:sz w:val="18"/>
          <w:szCs w:val="18"/>
          <w:color w:val="auto"/>
        </w:rPr>
        <w:t>. Each Lender represents and warrants to the Administrative Agent and the Arrangers and their respective Affiliates, and not, for the avoidance of doubt, for the benefit of any Loan Party, that such Lender is not and will not be (1) an employee benefit plan subject to Title I of ERISA, (2) a plan or account subject to Section 4975 of the Code; (3) an entity deemed to hold “plan assets” of any such plans or accounts for purposes of ERISA or the Code; or (4) a “governmental plan” within the meaning of ERISA.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3" w:name="page204"/>
    <w:bookmarkEnd w:id="203"/>
    <w:p>
      <w:pPr>
        <w:jc w:val="both"/>
        <w:ind w:firstLine="1297"/>
        <w:spacing w:after="0" w:line="255" w:lineRule="auto"/>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MIRE Events</w:t>
      </w:r>
      <w:r>
        <w:rPr>
          <w:rFonts w:ascii="Arial" w:cs="Arial" w:eastAsia="Arial" w:hAnsi="Arial"/>
          <w:sz w:val="18"/>
          <w:szCs w:val="18"/>
          <w:color w:val="auto"/>
        </w:rPr>
        <w:t>. Each of the parties hereto acknowledges and agrees that, if there are any Mortgaged Properties, any increase, extension or renewal of any of the Commitments or Loans (excluding (i) any continuation or conversion of Borrowings, (ii) the making of any Revolving Loans or (iii) the issuance, renewal or extension of Letters of Credit) shall be subject to (and conditioned upon): (i) the prior delivery of all flood zone determination certifications, acknowledgements and evidence of flood insurance and other flood-related documentation with respect such Mortgaged Properties reasonable sufficient to evidence compliance with Flood Insurance Regulations and as otherwise required by the Administrative Agent and (2) the Administrative Agent shall have notified the Company in writing that the Administrative Agent has completed flood insurance due diligence and flood insurance compliance with respect to the Mortgaged Properties.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4" w:name="page205"/>
    <w:bookmarkEnd w:id="204"/>
    <w:p>
      <w:pPr>
        <w:ind w:right="20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 Anthony Scaglione</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D. Anthony Scaglione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5" w:name="page206"/>
    <w:bookmarkEnd w:id="205"/>
    <w:p>
      <w:pPr>
        <w:ind w:left="4520"/>
        <w:spacing w:after="0"/>
        <w:rPr>
          <w:sz w:val="20"/>
          <w:szCs w:val="20"/>
          <w:color w:val="auto"/>
        </w:rPr>
      </w:pPr>
      <w:r>
        <w:rPr>
          <w:rFonts w:ascii="Arial" w:cs="Arial" w:eastAsia="Arial" w:hAnsi="Arial"/>
          <w:sz w:val="18"/>
          <w:szCs w:val="18"/>
          <w:color w:val="auto"/>
        </w:rPr>
        <w:t>OMNI SERV LIMITED, as a Designated Borrower</w:t>
      </w:r>
    </w:p>
    <w:p>
      <w:pPr>
        <w:spacing w:after="0" w:line="225" w:lineRule="exact"/>
        <w:rPr>
          <w:sz w:val="20"/>
          <w:szCs w:val="20"/>
          <w:color w:val="auto"/>
        </w:rPr>
      </w:pPr>
    </w:p>
    <w:p>
      <w:pPr>
        <w:jc w:val="center"/>
        <w:ind w:left="2940"/>
        <w:spacing w:after="0"/>
        <w:tabs>
          <w:tab w:leader="none" w:pos="180" w:val="left"/>
        </w:tabs>
        <w:rPr>
          <w:sz w:val="20"/>
          <w:szCs w:val="20"/>
          <w:color w:val="auto"/>
        </w:rPr>
      </w:pPr>
      <w:r>
        <w:rPr>
          <w:rFonts w:ascii="Arial" w:cs="Arial" w:eastAsia="Arial" w:hAnsi="Arial"/>
          <w:sz w:val="18"/>
          <w:szCs w:val="18"/>
          <w:color w:val="auto"/>
        </w:rPr>
        <w:t>By:</w:t>
        <w:tab/>
        <w:t>/s/ E. Patterson</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E. Patterson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Chairman</w:t>
            </w:r>
          </w:p>
        </w:tc>
      </w:tr>
    </w:tbl>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06" w:name="page207"/>
    <w:bookmarkEnd w:id="206"/>
    <w:p>
      <w:pPr>
        <w:ind w:left="4520"/>
        <w:spacing w:after="0"/>
        <w:rPr>
          <w:sz w:val="20"/>
          <w:szCs w:val="20"/>
          <w:color w:val="auto"/>
        </w:rPr>
      </w:pPr>
      <w:r>
        <w:rPr>
          <w:rFonts w:ascii="Arial" w:cs="Arial" w:eastAsia="Arial" w:hAnsi="Arial"/>
          <w:sz w:val="18"/>
          <w:szCs w:val="18"/>
          <w:color w:val="auto"/>
        </w:rPr>
        <w:t>BANK OF AMERICA, N.A., as the Administrative Agent</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Christine Trotter</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Christine Trotter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07" w:name="page208"/>
    <w:bookmarkEnd w:id="207"/>
    <w:p>
      <w:pPr>
        <w:ind w:left="4520"/>
        <w:spacing w:after="0"/>
        <w:rPr>
          <w:sz w:val="20"/>
          <w:szCs w:val="20"/>
          <w:color w:val="auto"/>
        </w:rPr>
      </w:pPr>
      <w:r>
        <w:rPr>
          <w:rFonts w:ascii="Arial" w:cs="Arial" w:eastAsia="Arial" w:hAnsi="Arial"/>
          <w:sz w:val="18"/>
          <w:szCs w:val="18"/>
          <w:color w:val="auto"/>
        </w:rPr>
        <w:t>BANK OF AMERICA, N.A., as a Lender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Kenneth E Jones</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Kenneth E Jones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SVP</w:t>
            </w:r>
          </w:p>
        </w:tc>
      </w:tr>
    </w:tbl>
    <w:p>
      <w:pPr>
        <w:ind w:left="4980"/>
        <w:spacing w:after="0"/>
        <w:rPr>
          <w:sz w:val="20"/>
          <w:szCs w:val="20"/>
          <w:color w:val="auto"/>
        </w:rPr>
      </w:pPr>
      <w:r>
        <w:rPr>
          <w:rFonts w:ascii="Arial" w:cs="Arial" w:eastAsia="Arial" w:hAnsi="Arial"/>
          <w:sz w:val="18"/>
          <w:szCs w:val="18"/>
          <w:color w:val="auto"/>
        </w:rPr>
        <w:t>DTTP Number: 13/B/7418/DTTP</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5" w:right="239" w:bottom="1440" w:gutter="0" w:footer="0" w:header="0"/>
        </w:sectPr>
      </w:pPr>
    </w:p>
    <w:bookmarkStart w:id="208" w:name="page209"/>
    <w:bookmarkEnd w:id="208"/>
    <w:p>
      <w:pPr>
        <w:ind w:left="4520"/>
        <w:spacing w:after="0"/>
        <w:rPr>
          <w:sz w:val="20"/>
          <w:szCs w:val="20"/>
          <w:color w:val="auto"/>
        </w:rPr>
      </w:pPr>
      <w:r>
        <w:rPr>
          <w:rFonts w:ascii="Arial" w:cs="Arial" w:eastAsia="Arial" w:hAnsi="Arial"/>
          <w:sz w:val="18"/>
          <w:szCs w:val="18"/>
          <w:color w:val="auto"/>
        </w:rPr>
        <w:t>JPMORGAN CHASE BANK, N.A., as Syndication Agent and a Lender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Devin Roceisano</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Devin Roceisano</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Vice President</w:t>
            </w:r>
          </w:p>
        </w:tc>
      </w:tr>
    </w:tbl>
    <w:p>
      <w:pPr>
        <w:ind w:left="4980"/>
        <w:spacing w:after="0"/>
        <w:rPr>
          <w:sz w:val="20"/>
          <w:szCs w:val="20"/>
          <w:color w:val="auto"/>
        </w:rPr>
      </w:pPr>
      <w:r>
        <w:rPr>
          <w:rFonts w:ascii="Arial" w:cs="Arial" w:eastAsia="Arial" w:hAnsi="Arial"/>
          <w:sz w:val="18"/>
          <w:szCs w:val="18"/>
          <w:color w:val="auto"/>
        </w:rPr>
        <w:t>DTTP Number: 13/M/0268710/DTTP</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09" w:name="page210"/>
    <w:bookmarkEnd w:id="209"/>
    <w:p>
      <w:pPr>
        <w:ind w:left="4520"/>
        <w:spacing w:after="0"/>
        <w:rPr>
          <w:sz w:val="20"/>
          <w:szCs w:val="20"/>
          <w:color w:val="auto"/>
        </w:rPr>
      </w:pPr>
      <w:r>
        <w:rPr>
          <w:rFonts w:ascii="Arial" w:cs="Arial" w:eastAsia="Arial" w:hAnsi="Arial"/>
          <w:sz w:val="18"/>
          <w:szCs w:val="18"/>
          <w:color w:val="auto"/>
        </w:rPr>
        <w:t>U.S. BANK NATINAL ASSOCIATION, as a Co-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Documentation Agent and as 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Paul F. Johnson</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Paul F. Johnson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Vice President</w:t>
            </w:r>
          </w:p>
        </w:tc>
      </w:tr>
    </w:tbl>
    <w:p>
      <w:pPr>
        <w:ind w:left="4980"/>
        <w:spacing w:after="0"/>
        <w:rPr>
          <w:sz w:val="20"/>
          <w:szCs w:val="20"/>
          <w:color w:val="auto"/>
        </w:rPr>
      </w:pPr>
      <w:r>
        <w:rPr>
          <w:rFonts w:ascii="Arial" w:cs="Arial" w:eastAsia="Arial" w:hAnsi="Arial"/>
          <w:sz w:val="18"/>
          <w:szCs w:val="18"/>
          <w:color w:val="auto"/>
        </w:rPr>
        <w:t>DTTP Number: (13/U/62184/DTTP)</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Jurisdiction: United States</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0" w:name="page211"/>
    <w:bookmarkEnd w:id="210"/>
    <w:p>
      <w:pPr>
        <w:ind w:left="4520"/>
        <w:spacing w:after="0"/>
        <w:rPr>
          <w:sz w:val="20"/>
          <w:szCs w:val="20"/>
          <w:color w:val="auto"/>
        </w:rPr>
      </w:pPr>
      <w:r>
        <w:rPr>
          <w:rFonts w:ascii="Arial" w:cs="Arial" w:eastAsia="Arial" w:hAnsi="Arial"/>
          <w:sz w:val="18"/>
          <w:szCs w:val="18"/>
          <w:color w:val="auto"/>
        </w:rPr>
        <w:t>THE BANK OF TOKYO-MITSUBISHI UFJ, LTD., 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Co-Documentation Agent and as a 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Mustafa Khan</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Mustafa Khan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ind w:left="4980"/>
        <w:spacing w:after="0"/>
        <w:rPr>
          <w:sz w:val="20"/>
          <w:szCs w:val="20"/>
          <w:color w:val="auto"/>
        </w:rPr>
      </w:pPr>
      <w:r>
        <w:rPr>
          <w:rFonts w:ascii="Arial" w:cs="Arial" w:eastAsia="Arial" w:hAnsi="Arial"/>
          <w:sz w:val="18"/>
          <w:szCs w:val="18"/>
          <w:color w:val="auto"/>
        </w:rPr>
        <w:t>DTTP Number: 43/B/322072/DTTP - Japan</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1" w:name="page212"/>
    <w:bookmarkEnd w:id="211"/>
    <w:p>
      <w:pPr>
        <w:ind w:left="4520"/>
        <w:spacing w:after="0"/>
        <w:rPr>
          <w:sz w:val="20"/>
          <w:szCs w:val="20"/>
          <w:color w:val="auto"/>
        </w:rPr>
      </w:pPr>
      <w:r>
        <w:rPr>
          <w:rFonts w:ascii="Arial" w:cs="Arial" w:eastAsia="Arial" w:hAnsi="Arial"/>
          <w:sz w:val="18"/>
          <w:szCs w:val="18"/>
          <w:color w:val="auto"/>
        </w:rPr>
        <w:t>WELLS FARGO BANK, N.A., as a Co-Documentation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Agent and as a 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Emma Clifford</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Emma Clifford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Director &amp; Portfolio Manager</w:t>
            </w:r>
          </w:p>
        </w:tc>
      </w:tr>
    </w:tbl>
    <w:p>
      <w:pPr>
        <w:ind w:left="4980"/>
        <w:spacing w:after="0"/>
        <w:rPr>
          <w:sz w:val="20"/>
          <w:szCs w:val="20"/>
          <w:color w:val="auto"/>
        </w:rPr>
      </w:pPr>
      <w:r>
        <w:rPr>
          <w:rFonts w:ascii="Arial" w:cs="Arial" w:eastAsia="Arial" w:hAnsi="Arial"/>
          <w:sz w:val="18"/>
          <w:szCs w:val="18"/>
          <w:color w:val="auto"/>
        </w:rPr>
        <w:t>DTTP Number: 13/W/61173/DTTP</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12" w:name="page213"/>
    <w:bookmarkEnd w:id="212"/>
    <w:p>
      <w:pPr>
        <w:ind w:left="4520"/>
        <w:spacing w:after="0"/>
        <w:rPr>
          <w:sz w:val="20"/>
          <w:szCs w:val="20"/>
          <w:color w:val="auto"/>
        </w:rPr>
      </w:pPr>
      <w:r>
        <w:rPr>
          <w:rFonts w:ascii="Arial" w:cs="Arial" w:eastAsia="Arial" w:hAnsi="Arial"/>
          <w:sz w:val="18"/>
          <w:szCs w:val="18"/>
          <w:color w:val="auto"/>
        </w:rPr>
        <w:t>PNC BANK, NATIONAL ASSOCIATION, as a Co-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Documentation Agent and as a 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Blaise Schultheis</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Blaise Schultheis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Assistant Vice President</w:t>
            </w:r>
          </w:p>
        </w:tc>
      </w:tr>
    </w:tbl>
    <w:p>
      <w:pPr>
        <w:ind w:left="4980"/>
        <w:spacing w:after="0"/>
        <w:rPr>
          <w:sz w:val="20"/>
          <w:szCs w:val="20"/>
          <w:color w:val="auto"/>
        </w:rPr>
      </w:pPr>
      <w:r>
        <w:rPr>
          <w:rFonts w:ascii="Arial" w:cs="Arial" w:eastAsia="Arial" w:hAnsi="Arial"/>
          <w:sz w:val="18"/>
          <w:szCs w:val="18"/>
          <w:color w:val="auto"/>
        </w:rPr>
        <w:t>DTTP Number: 13/P/63904/DTTP</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3" w:name="page214"/>
    <w:bookmarkEnd w:id="213"/>
    <w:p>
      <w:pPr>
        <w:ind w:left="4520"/>
        <w:spacing w:after="0"/>
        <w:rPr>
          <w:sz w:val="20"/>
          <w:szCs w:val="20"/>
          <w:color w:val="auto"/>
        </w:rPr>
      </w:pPr>
      <w:r>
        <w:rPr>
          <w:rFonts w:ascii="Arial" w:cs="Arial" w:eastAsia="Arial" w:hAnsi="Arial"/>
          <w:sz w:val="18"/>
          <w:szCs w:val="18"/>
          <w:color w:val="auto"/>
        </w:rPr>
        <w:t>CITIZENS BANK, N.A., as a Co-Documentation Agent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as a 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Michael Chung</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Michael Chung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Senior Vice President</w:t>
            </w:r>
          </w:p>
        </w:tc>
      </w:tr>
    </w:tbl>
    <w:p>
      <w:pPr>
        <w:ind w:left="4980"/>
        <w:spacing w:after="0"/>
        <w:rPr>
          <w:sz w:val="20"/>
          <w:szCs w:val="20"/>
          <w:color w:val="auto"/>
        </w:rPr>
      </w:pPr>
      <w:r>
        <w:rPr>
          <w:rFonts w:ascii="Arial" w:cs="Arial" w:eastAsia="Arial" w:hAnsi="Arial"/>
          <w:sz w:val="18"/>
          <w:szCs w:val="18"/>
          <w:color w:val="auto"/>
        </w:rPr>
        <w:t>DTTP Number: 13/C/356159/DTTP</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4" w:name="page215"/>
    <w:bookmarkEnd w:id="214"/>
    <w:p>
      <w:pPr>
        <w:ind w:left="4520"/>
        <w:spacing w:after="0"/>
        <w:rPr>
          <w:sz w:val="20"/>
          <w:szCs w:val="20"/>
          <w:color w:val="auto"/>
        </w:rPr>
      </w:pPr>
      <w:r>
        <w:rPr>
          <w:rFonts w:ascii="Arial" w:cs="Arial" w:eastAsia="Arial" w:hAnsi="Arial"/>
          <w:sz w:val="18"/>
          <w:szCs w:val="18"/>
          <w:color w:val="auto"/>
        </w:rPr>
        <w:t>HSBC BANK USA, N.A., as a Co-Documentation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Agent and as a 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Robert J. Levins #21435</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Robert J. Levins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DTTP Number: 13/H/314375/DTTP</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(Jurisdiction is U.S.)</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5" w:name="page216"/>
    <w:bookmarkEnd w:id="215"/>
    <w:p>
      <w:pPr>
        <w:ind w:left="4520"/>
        <w:spacing w:after="0"/>
        <w:rPr>
          <w:sz w:val="20"/>
          <w:szCs w:val="20"/>
          <w:color w:val="auto"/>
        </w:rPr>
      </w:pPr>
      <w:r>
        <w:rPr>
          <w:rFonts w:ascii="Arial" w:cs="Arial" w:eastAsia="Arial" w:hAnsi="Arial"/>
          <w:sz w:val="18"/>
          <w:szCs w:val="18"/>
          <w:color w:val="auto"/>
        </w:rPr>
        <w:t>CAPITAL ONE, NATIONAL ASSOCIATION, as a Co-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Documentation Agent and as a Lender</w:t>
      </w:r>
    </w:p>
    <w:p>
      <w:pPr>
        <w:spacing w:after="0" w:line="211" w:lineRule="exact"/>
        <w:rPr>
          <w:sz w:val="20"/>
          <w:szCs w:val="20"/>
          <w:color w:val="auto"/>
        </w:rPr>
      </w:pPr>
    </w:p>
    <w:p>
      <w:pPr>
        <w:jc w:val="center"/>
        <w:ind w:left="2980"/>
        <w:spacing w:after="0"/>
        <w:tabs>
          <w:tab w:leader="none" w:pos="180" w:val="left"/>
        </w:tabs>
        <w:rPr>
          <w:sz w:val="20"/>
          <w:szCs w:val="20"/>
          <w:color w:val="auto"/>
        </w:rPr>
      </w:pPr>
      <w:r>
        <w:rPr>
          <w:rFonts w:ascii="Arial" w:cs="Arial" w:eastAsia="Arial" w:hAnsi="Arial"/>
          <w:sz w:val="18"/>
          <w:szCs w:val="18"/>
          <w:color w:val="auto"/>
        </w:rPr>
        <w:t>By:</w:t>
        <w:tab/>
        <w:t>/s/ Paul Darrigo</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Paul Darrigo</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Senior Vice President</w:t>
            </w:r>
          </w:p>
        </w:tc>
      </w:tr>
    </w:tbl>
    <w:p>
      <w:pPr>
        <w:ind w:left="4980"/>
        <w:spacing w:after="0"/>
        <w:rPr>
          <w:sz w:val="20"/>
          <w:szCs w:val="20"/>
          <w:color w:val="auto"/>
        </w:rPr>
      </w:pPr>
      <w:r>
        <w:rPr>
          <w:rFonts w:ascii="Arial" w:cs="Arial" w:eastAsia="Arial" w:hAnsi="Arial"/>
          <w:sz w:val="18"/>
          <w:szCs w:val="18"/>
          <w:color w:val="auto"/>
        </w:rPr>
        <w:t>DTTP Number: 13/C/365299/DTTP</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6" w:name="page217"/>
    <w:bookmarkEnd w:id="216"/>
    <w:p>
      <w:pPr>
        <w:ind w:left="4520"/>
        <w:spacing w:after="0"/>
        <w:rPr>
          <w:sz w:val="20"/>
          <w:szCs w:val="20"/>
          <w:color w:val="auto"/>
        </w:rPr>
      </w:pPr>
      <w:r>
        <w:rPr>
          <w:rFonts w:ascii="Arial" w:cs="Arial" w:eastAsia="Arial" w:hAnsi="Arial"/>
          <w:sz w:val="18"/>
          <w:szCs w:val="18"/>
          <w:color w:val="auto"/>
        </w:rPr>
        <w:t>KEYBANK NATIONAL ASSOCIATION, as a Co-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Documentation Agent and as a Lender</w:t>
      </w:r>
    </w:p>
    <w:p>
      <w:pPr>
        <w:spacing w:after="0" w:line="211" w:lineRule="exact"/>
        <w:rPr>
          <w:sz w:val="20"/>
          <w:szCs w:val="20"/>
          <w:color w:val="auto"/>
        </w:rPr>
      </w:pPr>
    </w:p>
    <w:p>
      <w:pPr>
        <w:jc w:val="center"/>
        <w:ind w:left="2960"/>
        <w:spacing w:after="0"/>
        <w:tabs>
          <w:tab w:leader="none" w:pos="180" w:val="left"/>
        </w:tabs>
        <w:rPr>
          <w:sz w:val="20"/>
          <w:szCs w:val="20"/>
          <w:color w:val="auto"/>
        </w:rPr>
      </w:pPr>
      <w:r>
        <w:rPr>
          <w:rFonts w:ascii="Arial" w:cs="Arial" w:eastAsia="Arial" w:hAnsi="Arial"/>
          <w:sz w:val="18"/>
          <w:szCs w:val="18"/>
          <w:color w:val="auto"/>
        </w:rPr>
        <w:t>By:</w:t>
        <w:tab/>
        <w:t>/s/ Geoff Smith</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Geoff Smith</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Senior Vice President</w:t>
            </w:r>
          </w:p>
        </w:tc>
      </w:tr>
    </w:tbl>
    <w:p>
      <w:pPr>
        <w:ind w:left="4980"/>
        <w:spacing w:after="0"/>
        <w:rPr>
          <w:sz w:val="20"/>
          <w:szCs w:val="20"/>
          <w:color w:val="auto"/>
        </w:rPr>
      </w:pPr>
      <w:r>
        <w:rPr>
          <w:rFonts w:ascii="Arial" w:cs="Arial" w:eastAsia="Arial" w:hAnsi="Arial"/>
          <w:sz w:val="18"/>
          <w:szCs w:val="18"/>
          <w:color w:val="auto"/>
        </w:rPr>
        <w:t>DTTP Number: 13/K/216374/DTTP</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7" w:name="page218"/>
    <w:bookmarkEnd w:id="217"/>
    <w:p>
      <w:pPr>
        <w:ind w:left="4520"/>
        <w:spacing w:after="0"/>
        <w:rPr>
          <w:sz w:val="20"/>
          <w:szCs w:val="20"/>
          <w:color w:val="auto"/>
        </w:rPr>
      </w:pPr>
      <w:r>
        <w:rPr>
          <w:rFonts w:ascii="Arial" w:cs="Arial" w:eastAsia="Arial" w:hAnsi="Arial"/>
          <w:sz w:val="18"/>
          <w:szCs w:val="18"/>
          <w:color w:val="auto"/>
        </w:rPr>
        <w:t>SUNTRUST BANK, as a Co-Documentation Agent and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Jason Crowley</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Jason Crowley</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Vice President</w:t>
            </w:r>
          </w:p>
        </w:tc>
      </w:tr>
    </w:tbl>
    <w:p>
      <w:pPr>
        <w:ind w:left="4980"/>
        <w:spacing w:after="0"/>
        <w:rPr>
          <w:sz w:val="20"/>
          <w:szCs w:val="20"/>
          <w:color w:val="auto"/>
        </w:rPr>
      </w:pPr>
      <w:r>
        <w:rPr>
          <w:rFonts w:ascii="Arial" w:cs="Arial" w:eastAsia="Arial" w:hAnsi="Arial"/>
          <w:sz w:val="18"/>
          <w:szCs w:val="18"/>
          <w:color w:val="auto"/>
        </w:rPr>
        <w:t>DTTP Number: 13/S/67712/DTTP</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8" w:name="page219"/>
    <w:bookmarkEnd w:id="218"/>
    <w:p>
      <w:pPr>
        <w:ind w:left="4520"/>
        <w:spacing w:after="0"/>
        <w:rPr>
          <w:sz w:val="20"/>
          <w:szCs w:val="20"/>
          <w:color w:val="auto"/>
        </w:rPr>
      </w:pPr>
      <w:r>
        <w:rPr>
          <w:rFonts w:ascii="Arial" w:cs="Arial" w:eastAsia="Arial" w:hAnsi="Arial"/>
          <w:sz w:val="18"/>
          <w:szCs w:val="18"/>
          <w:color w:val="auto"/>
        </w:rPr>
        <w:t>FIFTH THIRD BANK, as a Lender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Christopher Griffin</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Christopher Griffin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Vice President - Portfolio Manager</w:t>
            </w:r>
          </w:p>
        </w:tc>
      </w:tr>
    </w:tbl>
    <w:p>
      <w:pPr>
        <w:ind w:left="4980"/>
        <w:spacing w:after="0"/>
        <w:rPr>
          <w:sz w:val="20"/>
          <w:szCs w:val="20"/>
          <w:color w:val="auto"/>
        </w:rPr>
      </w:pPr>
      <w:r>
        <w:rPr>
          <w:rFonts w:ascii="Arial" w:cs="Arial" w:eastAsia="Arial" w:hAnsi="Arial"/>
          <w:sz w:val="18"/>
          <w:szCs w:val="18"/>
          <w:color w:val="auto"/>
        </w:rPr>
        <w:t>DTTP Number: 13/F/24267/DTTP</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19" w:name="page220"/>
    <w:bookmarkEnd w:id="219"/>
    <w:p>
      <w:pPr>
        <w:ind w:left="4520"/>
        <w:spacing w:after="0"/>
        <w:rPr>
          <w:sz w:val="20"/>
          <w:szCs w:val="20"/>
          <w:color w:val="auto"/>
        </w:rPr>
      </w:pPr>
      <w:r>
        <w:rPr>
          <w:rFonts w:ascii="Arial" w:cs="Arial" w:eastAsia="Arial" w:hAnsi="Arial"/>
          <w:sz w:val="18"/>
          <w:szCs w:val="18"/>
          <w:color w:val="auto"/>
        </w:rPr>
        <w:t>BANK OF THE WEST, as a Lender</w:t>
      </w:r>
    </w:p>
    <w:p>
      <w:pPr>
        <w:spacing w:after="0" w:line="225" w:lineRule="exact"/>
        <w:rPr>
          <w:sz w:val="20"/>
          <w:szCs w:val="20"/>
          <w:color w:val="auto"/>
        </w:rPr>
      </w:pPr>
    </w:p>
    <w:p>
      <w:pPr>
        <w:jc w:val="center"/>
        <w:ind w:left="2760"/>
        <w:spacing w:after="0"/>
        <w:tabs>
          <w:tab w:leader="none" w:pos="180" w:val="left"/>
        </w:tabs>
        <w:rPr>
          <w:sz w:val="20"/>
          <w:szCs w:val="20"/>
          <w:color w:val="auto"/>
        </w:rPr>
      </w:pPr>
      <w:r>
        <w:rPr>
          <w:rFonts w:ascii="Arial" w:cs="Arial" w:eastAsia="Arial" w:hAnsi="Arial"/>
          <w:sz w:val="18"/>
          <w:szCs w:val="18"/>
          <w:color w:val="auto"/>
        </w:rPr>
        <w:t>By:</w:t>
        <w:tab/>
        <w:t>/s/ Rob Kido</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Rob Kido</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Vice President</w:t>
            </w:r>
          </w:p>
        </w:tc>
      </w:tr>
    </w:tbl>
    <w:p>
      <w:pPr>
        <w:ind w:left="4980"/>
        <w:spacing w:after="0"/>
        <w:rPr>
          <w:sz w:val="20"/>
          <w:szCs w:val="20"/>
          <w:color w:val="auto"/>
        </w:rPr>
      </w:pPr>
      <w:r>
        <w:rPr>
          <w:rFonts w:ascii="Arial" w:cs="Arial" w:eastAsia="Arial" w:hAnsi="Arial"/>
          <w:sz w:val="18"/>
          <w:szCs w:val="18"/>
          <w:color w:val="auto"/>
        </w:rPr>
        <w:t>DTTP Number: 13/B/359711/DTTP</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20" w:name="page221"/>
    <w:bookmarkEnd w:id="220"/>
    <w:p>
      <w:pPr>
        <w:ind w:left="4520"/>
        <w:spacing w:after="0"/>
        <w:rPr>
          <w:sz w:val="20"/>
          <w:szCs w:val="20"/>
          <w:color w:val="auto"/>
        </w:rPr>
      </w:pPr>
      <w:r>
        <w:rPr>
          <w:rFonts w:ascii="Arial" w:cs="Arial" w:eastAsia="Arial" w:hAnsi="Arial"/>
          <w:sz w:val="18"/>
          <w:szCs w:val="18"/>
          <w:color w:val="auto"/>
        </w:rPr>
        <w:t>GOLDMAN SACHS LENDING PARTNERS LLC, as 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Rebecca Kratz</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Rebecca Kratz</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Authorized Signatory</w:t>
            </w:r>
          </w:p>
        </w:tc>
      </w:tr>
    </w:tbl>
    <w:p>
      <w:pPr>
        <w:ind w:left="4980"/>
        <w:spacing w:after="0"/>
        <w:rPr>
          <w:sz w:val="20"/>
          <w:szCs w:val="20"/>
          <w:color w:val="auto"/>
        </w:rPr>
      </w:pPr>
      <w:r>
        <w:rPr>
          <w:rFonts w:ascii="Arial" w:cs="Arial" w:eastAsia="Arial" w:hAnsi="Arial"/>
          <w:sz w:val="18"/>
          <w:szCs w:val="18"/>
          <w:color w:val="auto"/>
        </w:rPr>
        <w:t>DTTP Number: 13/G/356209/DTTP</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21" w:name="page222"/>
    <w:bookmarkEnd w:id="221"/>
    <w:p>
      <w:pPr>
        <w:ind w:left="4520"/>
        <w:spacing w:after="0"/>
        <w:rPr>
          <w:sz w:val="20"/>
          <w:szCs w:val="20"/>
          <w:color w:val="auto"/>
        </w:rPr>
      </w:pPr>
      <w:r>
        <w:rPr>
          <w:rFonts w:ascii="Arial" w:cs="Arial" w:eastAsia="Arial" w:hAnsi="Arial"/>
          <w:sz w:val="18"/>
          <w:szCs w:val="18"/>
          <w:color w:val="auto"/>
        </w:rPr>
        <w:t>BANKUNITED, N.A., as a Lender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Gerard M. McPartland</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Gerard M. McPartland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Senior Vice President</w:t>
            </w:r>
          </w:p>
        </w:tc>
      </w:tr>
    </w:tbl>
    <w:p>
      <w:pPr>
        <w:ind w:left="4980"/>
        <w:spacing w:after="0"/>
        <w:rPr>
          <w:sz w:val="20"/>
          <w:szCs w:val="20"/>
          <w:color w:val="auto"/>
        </w:rPr>
      </w:pPr>
      <w:r>
        <w:rPr>
          <w:rFonts w:ascii="Arial" w:cs="Arial" w:eastAsia="Arial" w:hAnsi="Arial"/>
          <w:sz w:val="18"/>
          <w:szCs w:val="18"/>
          <w:color w:val="auto"/>
        </w:rPr>
        <w:t>DTTP Number: 13/B/364998/DTTP</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22" w:name="page223"/>
    <w:bookmarkEnd w:id="222"/>
    <w:p>
      <w:pPr>
        <w:ind w:left="4520"/>
        <w:spacing w:after="0"/>
        <w:rPr>
          <w:sz w:val="20"/>
          <w:szCs w:val="20"/>
          <w:color w:val="auto"/>
        </w:rPr>
      </w:pPr>
      <w:r>
        <w:rPr>
          <w:rFonts w:ascii="Arial" w:cs="Arial" w:eastAsia="Arial" w:hAnsi="Arial"/>
          <w:sz w:val="18"/>
          <w:szCs w:val="18"/>
          <w:color w:val="auto"/>
        </w:rPr>
        <w:t>THE NORTHERN TRUST COMPANY, as a Lender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Sophia E. Love</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Sophia E. Love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0"/>
              <w:spacing w:after="0"/>
              <w:rPr>
                <w:sz w:val="20"/>
                <w:szCs w:val="20"/>
                <w:color w:val="auto"/>
              </w:rPr>
            </w:pPr>
            <w:r>
              <w:rPr>
                <w:rFonts w:ascii="Arial" w:cs="Arial" w:eastAsia="Arial" w:hAnsi="Arial"/>
                <w:sz w:val="18"/>
                <w:szCs w:val="18"/>
                <w:color w:val="auto"/>
              </w:rPr>
              <w:t>Senior Vice President</w:t>
            </w:r>
          </w:p>
        </w:tc>
      </w:tr>
    </w:tbl>
    <w:p>
      <w:pPr>
        <w:ind w:left="4980"/>
        <w:spacing w:after="0"/>
        <w:rPr>
          <w:sz w:val="20"/>
          <w:szCs w:val="20"/>
          <w:color w:val="auto"/>
        </w:rPr>
      </w:pPr>
      <w:r>
        <w:rPr>
          <w:rFonts w:ascii="Arial" w:cs="Arial" w:eastAsia="Arial" w:hAnsi="Arial"/>
          <w:sz w:val="18"/>
          <w:szCs w:val="18"/>
          <w:color w:val="auto"/>
        </w:rPr>
        <w:t>DTTP Number: 13/N/60122/DTTP</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Schedule 1.01(a)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Treaty</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Passport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scheme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reference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Tranche</w:t>
            </w:r>
          </w:p>
        </w:tc>
        <w:tc>
          <w:tcPr>
            <w:tcW w:w="8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Multicurrency</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Multicurrency</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number and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U.K. Non-</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Dollar Tranche</w:t>
            </w:r>
          </w:p>
        </w:tc>
        <w:tc>
          <w:tcPr>
            <w:tcW w:w="11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jurisdiction</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Revolving</w:t>
            </w:r>
          </w:p>
        </w:tc>
        <w:tc>
          <w:tcPr>
            <w:tcW w:w="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Tranche</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Term Loan</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Tranche</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Percentage of</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tax</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Bank</w:t>
            </w:r>
          </w:p>
        </w:tc>
        <w:tc>
          <w:tcPr>
            <w:tcW w:w="0" w:type="dxa"/>
            <w:vAlign w:val="bottom"/>
          </w:tcPr>
          <w:p>
            <w:pPr>
              <w:spacing w:after="0"/>
              <w:rPr>
                <w:sz w:val="1"/>
                <w:szCs w:val="1"/>
                <w:color w:val="auto"/>
              </w:rPr>
            </w:pPr>
          </w:p>
        </w:tc>
      </w:tr>
      <w:tr>
        <w:trPr>
          <w:trHeight w:val="149"/>
        </w:trPr>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Lender</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Credit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Revolving Credit</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Allocation</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Applicable</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Applicable</w:t>
            </w:r>
          </w:p>
        </w:tc>
        <w:tc>
          <w:tcPr>
            <w:tcW w:w="114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residence (if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Lender</w:t>
            </w:r>
          </w:p>
        </w:tc>
        <w:tc>
          <w:tcPr>
            <w:tcW w:w="0" w:type="dxa"/>
            <w:vAlign w:val="bottom"/>
          </w:tcPr>
          <w:p>
            <w:pPr>
              <w:spacing w:after="0"/>
              <w:rPr>
                <w:sz w:val="1"/>
                <w:szCs w:val="1"/>
                <w:color w:val="auto"/>
              </w:rPr>
            </w:pPr>
          </w:p>
        </w:tc>
      </w:tr>
      <w:tr>
        <w:trPr>
          <w:trHeight w:val="171"/>
        </w:trPr>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Allocation</w:t>
            </w: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Allocation</w:t>
            </w:r>
          </w:p>
        </w:tc>
        <w:tc>
          <w:tcPr>
            <w:tcW w:w="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Allocation</w:t>
            </w:r>
          </w:p>
        </w:tc>
        <w:tc>
          <w:tcPr>
            <w:tcW w:w="1220" w:type="dxa"/>
            <w:vAlign w:val="bottom"/>
            <w:gridSpan w:val="3"/>
            <w:vMerge w:val="continue"/>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Total Facilities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applicable)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(Y/N)</w:t>
            </w:r>
          </w:p>
        </w:tc>
        <w:tc>
          <w:tcPr>
            <w:tcW w:w="0" w:type="dxa"/>
            <w:vAlign w:val="bottom"/>
          </w:tcPr>
          <w:p>
            <w:pPr>
              <w:spacing w:after="0"/>
              <w:rPr>
                <w:sz w:val="1"/>
                <w:szCs w:val="1"/>
                <w:color w:val="auto"/>
              </w:rPr>
            </w:pPr>
          </w:p>
        </w:tc>
      </w:tr>
      <w:tr>
        <w:trPr>
          <w:trHeight w:val="123"/>
        </w:trPr>
        <w:tc>
          <w:tcPr>
            <w:tcW w:w="12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JPMorgan Chase</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ind w:left="8"/>
              <w:spacing w:after="0" w:line="123" w:lineRule="exact"/>
              <w:rPr>
                <w:sz w:val="20"/>
                <w:szCs w:val="20"/>
                <w:color w:val="auto"/>
              </w:rPr>
            </w:pPr>
            <w:r>
              <w:rPr>
                <w:rFonts w:ascii="Arial" w:cs="Arial" w:eastAsia="Arial" w:hAnsi="Arial"/>
                <w:sz w:val="14"/>
                <w:szCs w:val="14"/>
                <w:color w:val="auto"/>
                <w:w w:val="95"/>
              </w:rPr>
              <w:t>13/M/268710/</w:t>
            </w: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Bank, N.A.</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91,927,314.74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27,190,332.33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105,882,352.93</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2"/>
              </w:rPr>
              <w:t>225,000,000.00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13.132473534%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13.595166165%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13.235294118%</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Bank of America,</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7"/>
              </w:rPr>
              <w:t>13/B/7418/D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TTP</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91,927,314.74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27,190,332.33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105,882,352.93</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225,000,000.00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13.132473534%</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13.595166165%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13.235294118%</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Bank National</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13/U/62184/</w:t>
            </w: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Association</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59,242,047.27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17,522,658.61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68,235,294.12</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2"/>
              </w:rPr>
              <w:t>145,000,000.00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8.46314961%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8.761329305%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8.529411765%</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The Bank of Tokyo-</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43/B/322072/</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4"/>
                <w:szCs w:val="14"/>
                <w:color w:val="auto"/>
              </w:rPr>
              <w:t>Mitsubishi UFJ, Ltd.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59,242,047.27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17,522,658.61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68,235,294.12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145,000,000.00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8.46314961%</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8.761329305%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8.529411765%</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83"/>
              </w:rPr>
              <w:t>Japan</w:t>
            </w:r>
          </w:p>
        </w:tc>
        <w:tc>
          <w:tcPr>
            <w:tcW w:w="860" w:type="dxa"/>
            <w:vAlign w:val="bottom"/>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Wells Fargo Bank,</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13/W/61173/</w:t>
            </w: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59,242,047.27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17,522,658.61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68,235,294.12</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2"/>
              </w:rPr>
              <w:t>145,000,000.00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8.46314961%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8.761329305%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8.529411765%</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PNC Bank, National</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3"/>
              </w:rPr>
              <w:t>13/P/63904/D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4"/>
                <w:szCs w:val="14"/>
                <w:color w:val="auto"/>
              </w:rPr>
              <w:t>Association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TTP</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59,242,047.27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17,522,658.61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68,235,294.12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145,000,000.00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8.46314961%</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8.761329305%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8.529411765%</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Citizens Bank, N.A.</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13/C/356159/</w:t>
            </w: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38,405,189.26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11,359,516.62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44,235,294.12</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94,000,000.00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5.486455609%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5.67975831%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5.529411765%</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HSBC Bank USA,</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13/H/314375/</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38,405,189.26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11,359,516.62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44,235,294.12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94,000,000.00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5.486455609%</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5.67975831%</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5.529411765%</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Capital One,</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13/C/365299/</w:t>
            </w: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National</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8"/>
              </w:rPr>
              <w:t>DTTP</w:t>
            </w: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Association</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3"/>
              </w:rPr>
              <w:t>38,405,189.26</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11,359,516.62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44,235,294.12</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94,000,000.00</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5.486455609%</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5.67975831%</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5.529411765%</w:t>
            </w:r>
          </w:p>
        </w:tc>
        <w:tc>
          <w:tcPr>
            <w:tcW w:w="10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KeyBank National</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13/K/216374/</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4"/>
                <w:szCs w:val="14"/>
                <w:color w:val="auto"/>
              </w:rPr>
              <w:t>Association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38,405,189.26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11,359,516.62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44,235,294.12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94,000,000.00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5.486455609%</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5.67975831%</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5.529411765%</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SunTrust Bank</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13/S/67712/D</w:t>
            </w: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0"/>
              </w:rPr>
              <w:t>TTP</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38,405,189.26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11,359,516.62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44,235,294.12</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94,000,000.00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5.486455609%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5.67975831%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5.529411765%</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Fifth Third Bank</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4"/>
              </w:rPr>
              <w:t>13/F/24267/D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TTP</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18,385,462.95</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5,438,066.46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21,176,470.59</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45,000,000.00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2.626494707%</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2.71903323%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2.647058824%</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Bank of the West</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13/B/359711/</w:t>
            </w: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18,385,462.95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5,438,066.46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21,176,470.59</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45,000,000.00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2.626494707%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2.71903323%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2.647058824%</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Goldman Sachs</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4"/>
              </w:rPr>
              <w:t>13/G/356209/</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line="149" w:lineRule="exact"/>
              <w:rPr>
                <w:sz w:val="20"/>
                <w:szCs w:val="20"/>
                <w:color w:val="auto"/>
              </w:rPr>
            </w:pPr>
            <w:r>
              <w:rPr>
                <w:rFonts w:ascii="Arial" w:cs="Arial" w:eastAsia="Arial" w:hAnsi="Arial"/>
                <w:sz w:val="14"/>
                <w:szCs w:val="14"/>
                <w:color w:val="auto"/>
              </w:rPr>
              <w:t>Lending Partners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DTTP</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4"/>
                <w:szCs w:val="14"/>
                <w:color w:val="auto"/>
              </w:rPr>
              <w:t>LLC</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3"/>
              </w:rPr>
              <w:t>18,385,462.95</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5,438,066.46</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21,176,470.59</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45,000,000.00</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2.626494707%</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2.71903323%</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2.647058824%</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vMerge w:val="restart"/>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BankUnited, N.A.</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13/B/364998/</w:t>
            </w: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23,823,529.41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21,176,470.59</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45,000,000.00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3.403361344%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2.647058824%</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0"/>
        </w:trPr>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rPr>
              <w:t>The Northern Trust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4"/>
              </w:rPr>
              <w:t>13/N/60122/</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DTTP</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8,171,316.88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2,416,918.42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9,411,764.70</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20,000,000.00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1.167330983%</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1.20845921%</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1.176470588%</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0"/>
              </w:rPr>
              <w:t>United States</w:t>
            </w:r>
          </w:p>
        </w:tc>
        <w:tc>
          <w:tcPr>
            <w:tcW w:w="860" w:type="dxa"/>
            <w:vAlign w:val="bottom"/>
          </w:tcPr>
          <w:p>
            <w:pPr>
              <w:ind w:left="440"/>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700,000,000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1,700,000,000</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75"/>
        </w:trPr>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18"/>
          <w:szCs w:val="18"/>
          <w:b w:val="1"/>
          <w:bCs w:val="1"/>
          <w:color w:val="auto"/>
        </w:rPr>
        <w:t>Schedule 2.06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Existing Letters of Credit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Istm ID</w:t>
            </w: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Iss Dt</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Exp Dt</w:t>
            </w: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Ext Per</w:t>
            </w:r>
          </w:p>
        </w:tc>
        <w:tc>
          <w:tcPr>
            <w:tcW w:w="1260" w:type="dxa"/>
            <w:vAlign w:val="bottom"/>
          </w:tcPr>
          <w:p>
            <w:pPr>
              <w:jc w:val="right"/>
              <w:ind w:right="368"/>
              <w:spacing w:after="0"/>
              <w:rPr>
                <w:sz w:val="20"/>
                <w:szCs w:val="20"/>
                <w:color w:val="auto"/>
              </w:rPr>
            </w:pPr>
            <w:r>
              <w:rPr>
                <w:rFonts w:ascii="Arial" w:cs="Arial" w:eastAsia="Arial" w:hAnsi="Arial"/>
                <w:sz w:val="14"/>
                <w:szCs w:val="14"/>
                <w:b w:val="1"/>
                <w:bCs w:val="1"/>
                <w:color w:val="auto"/>
              </w:rPr>
              <w:t>Not Days</w:t>
            </w: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App Nm</w:t>
            </w: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Ben Nm</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Curr</w:t>
            </w: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LC Amt</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USD Equivalent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ABM</w:t>
            </w:r>
          </w:p>
        </w:tc>
        <w:tc>
          <w:tcPr>
            <w:tcW w:w="1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INDUSTRIES,</w:t>
            </w:r>
          </w:p>
        </w:tc>
        <w:tc>
          <w:tcPr>
            <w:tcW w:w="11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CONTINENTAL</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3007169</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10/31/1997</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10/31/2017</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CASUALTY</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5,790,000.00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ABM</w:t>
            </w:r>
          </w:p>
        </w:tc>
        <w:tc>
          <w:tcPr>
            <w:tcW w:w="1100" w:type="dxa"/>
            <w:vAlign w:val="bottom"/>
          </w:tcPr>
          <w:p>
            <w:pPr>
              <w:ind w:left="40"/>
              <w:spacing w:after="0" w:line="130" w:lineRule="exact"/>
              <w:rPr>
                <w:sz w:val="20"/>
                <w:szCs w:val="20"/>
                <w:color w:val="auto"/>
              </w:rPr>
            </w:pPr>
            <w:r>
              <w:rPr>
                <w:rFonts w:ascii="Arial" w:cs="Arial" w:eastAsia="Arial" w:hAnsi="Arial"/>
                <w:sz w:val="14"/>
                <w:szCs w:val="14"/>
                <w:color w:val="auto"/>
              </w:rPr>
              <w:t>ACE</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INDUSTRIES</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AMERICAN</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3060652</w:t>
            </w:r>
          </w:p>
        </w:tc>
        <w:tc>
          <w:tcPr>
            <w:tcW w:w="1020" w:type="dxa"/>
            <w:vAlign w:val="bottom"/>
          </w:tcPr>
          <w:p>
            <w:pPr>
              <w:ind w:left="180"/>
              <w:spacing w:after="0"/>
              <w:rPr>
                <w:sz w:val="20"/>
                <w:szCs w:val="20"/>
                <w:color w:val="auto"/>
              </w:rPr>
            </w:pPr>
            <w:r>
              <w:rPr>
                <w:rFonts w:ascii="Arial" w:cs="Arial" w:eastAsia="Arial" w:hAnsi="Arial"/>
                <w:sz w:val="14"/>
                <w:szCs w:val="14"/>
                <w:color w:val="auto"/>
              </w:rPr>
              <w:t>12/24/2003</w:t>
            </w:r>
          </w:p>
        </w:tc>
        <w:tc>
          <w:tcPr>
            <w:tcW w:w="1080" w:type="dxa"/>
            <w:vAlign w:val="bottom"/>
          </w:tcPr>
          <w:p>
            <w:pPr>
              <w:ind w:left="180"/>
              <w:spacing w:after="0"/>
              <w:rPr>
                <w:sz w:val="20"/>
                <w:szCs w:val="20"/>
                <w:color w:val="auto"/>
              </w:rPr>
            </w:pPr>
            <w:r>
              <w:rPr>
                <w:rFonts w:ascii="Arial" w:cs="Arial" w:eastAsia="Arial" w:hAnsi="Arial"/>
                <w:sz w:val="14"/>
                <w:szCs w:val="14"/>
                <w:color w:val="auto"/>
              </w:rPr>
              <w:t>12/24/2017</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tcPr>
          <w:p>
            <w:pPr>
              <w:ind w:left="20"/>
              <w:spacing w:after="0"/>
              <w:rPr>
                <w:sz w:val="20"/>
                <w:szCs w:val="20"/>
                <w:color w:val="auto"/>
              </w:rPr>
            </w:pPr>
            <w:r>
              <w:rPr>
                <w:rFonts w:ascii="Arial" w:cs="Arial" w:eastAsia="Arial" w:hAnsi="Arial"/>
                <w:sz w:val="14"/>
                <w:szCs w:val="14"/>
                <w:color w:val="auto"/>
              </w:rPr>
              <w:t>INCOR</w:t>
            </w:r>
          </w:p>
        </w:tc>
        <w:tc>
          <w:tcPr>
            <w:tcW w:w="1100" w:type="dxa"/>
            <w:vAlign w:val="bottom"/>
          </w:tcPr>
          <w:p>
            <w:pPr>
              <w:ind w:left="40"/>
              <w:spacing w:after="0"/>
              <w:rPr>
                <w:sz w:val="20"/>
                <w:szCs w:val="20"/>
                <w:color w:val="auto"/>
              </w:rPr>
            </w:pPr>
            <w:r>
              <w:rPr>
                <w:rFonts w:ascii="Arial" w:cs="Arial" w:eastAsia="Arial" w:hAnsi="Arial"/>
                <w:sz w:val="14"/>
                <w:szCs w:val="14"/>
                <w:color w:val="auto"/>
              </w:rPr>
              <w:t>INSURAN</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21,500,000.00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21,500,000.00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10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ABM</w:t>
            </w:r>
          </w:p>
        </w:tc>
        <w:tc>
          <w:tcPr>
            <w:tcW w:w="1100" w:type="dxa"/>
            <w:vAlign w:val="bottom"/>
            <w:shd w:val="clear" w:color="auto" w:fill="CCEEFF"/>
          </w:tcPr>
          <w:p>
            <w:pPr>
              <w:ind w:left="40"/>
              <w:spacing w:after="0" w:line="126" w:lineRule="exact"/>
              <w:rPr>
                <w:sz w:val="20"/>
                <w:szCs w:val="20"/>
                <w:color w:val="auto"/>
              </w:rPr>
            </w:pPr>
            <w:r>
              <w:rPr>
                <w:rFonts w:ascii="Arial" w:cs="Arial" w:eastAsia="Arial" w:hAnsi="Arial"/>
                <w:sz w:val="14"/>
                <w:szCs w:val="14"/>
                <w:b w:val="1"/>
                <w:bCs w:val="1"/>
                <w:color w:val="auto"/>
              </w:rPr>
              <w:t>ACE</w:t>
            </w:r>
          </w:p>
        </w:tc>
        <w:tc>
          <w:tcPr>
            <w:tcW w:w="7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3072155</w:t>
            </w:r>
          </w:p>
        </w:tc>
        <w:tc>
          <w:tcPr>
            <w:tcW w:w="102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12/15/2004</w:t>
            </w:r>
          </w:p>
        </w:tc>
        <w:tc>
          <w:tcPr>
            <w:tcW w:w="108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12/15/2017</w:t>
            </w:r>
          </w:p>
        </w:tc>
        <w:tc>
          <w:tcPr>
            <w:tcW w:w="86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ANN</w:t>
            </w:r>
          </w:p>
        </w:tc>
        <w:tc>
          <w:tcPr>
            <w:tcW w:w="1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w:t>
            </w:r>
          </w:p>
        </w:tc>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INDUSTRIES</w:t>
            </w:r>
          </w:p>
        </w:tc>
        <w:tc>
          <w:tcPr>
            <w:tcW w:w="11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AMERICAN</w:t>
            </w:r>
          </w:p>
        </w:tc>
        <w:tc>
          <w:tcPr>
            <w:tcW w:w="70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USD</w:t>
            </w: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85,671,046.00</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85,671,046.00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INSURAN</w:t>
            </w:r>
          </w:p>
        </w:tc>
        <w:tc>
          <w:tcPr>
            <w:tcW w:w="7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AMPCO</w:t>
            </w: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SYSTEM</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SACRAMENTO</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3079442</w:t>
            </w:r>
          </w:p>
        </w:tc>
        <w:tc>
          <w:tcPr>
            <w:tcW w:w="1020" w:type="dxa"/>
            <w:vAlign w:val="bottom"/>
          </w:tcPr>
          <w:p>
            <w:pPr>
              <w:ind w:left="180"/>
              <w:spacing w:after="0"/>
              <w:rPr>
                <w:sz w:val="20"/>
                <w:szCs w:val="20"/>
                <w:color w:val="auto"/>
              </w:rPr>
            </w:pPr>
            <w:r>
              <w:rPr>
                <w:rFonts w:ascii="Arial" w:cs="Arial" w:eastAsia="Arial" w:hAnsi="Arial"/>
                <w:sz w:val="14"/>
                <w:szCs w:val="14"/>
                <w:color w:val="auto"/>
              </w:rPr>
              <w:t>1/27/2006</w:t>
            </w:r>
          </w:p>
        </w:tc>
        <w:tc>
          <w:tcPr>
            <w:tcW w:w="1080" w:type="dxa"/>
            <w:vAlign w:val="bottom"/>
          </w:tcPr>
          <w:p>
            <w:pPr>
              <w:ind w:left="180"/>
              <w:spacing w:after="0"/>
              <w:rPr>
                <w:sz w:val="20"/>
                <w:szCs w:val="20"/>
                <w:color w:val="auto"/>
              </w:rPr>
            </w:pPr>
            <w:r>
              <w:rPr>
                <w:rFonts w:ascii="Arial" w:cs="Arial" w:eastAsia="Arial" w:hAnsi="Arial"/>
                <w:sz w:val="14"/>
                <w:szCs w:val="14"/>
                <w:color w:val="auto"/>
              </w:rPr>
              <w:t>1/4/2018</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100" w:type="dxa"/>
            <w:vAlign w:val="bottom"/>
          </w:tcPr>
          <w:p>
            <w:pPr>
              <w:ind w:left="20"/>
              <w:spacing w:after="0"/>
              <w:rPr>
                <w:sz w:val="20"/>
                <w:szCs w:val="20"/>
                <w:color w:val="auto"/>
              </w:rPr>
            </w:pPr>
            <w:r>
              <w:rPr>
                <w:rFonts w:ascii="Arial" w:cs="Arial" w:eastAsia="Arial" w:hAnsi="Arial"/>
                <w:sz w:val="14"/>
                <w:szCs w:val="14"/>
                <w:color w:val="auto"/>
              </w:rPr>
              <w:t>PARKING</w:t>
            </w:r>
          </w:p>
        </w:tc>
        <w:tc>
          <w:tcPr>
            <w:tcW w:w="1100" w:type="dxa"/>
            <w:vAlign w:val="bottom"/>
          </w:tcPr>
          <w:p>
            <w:pPr>
              <w:ind w:left="40"/>
              <w:spacing w:after="0"/>
              <w:rPr>
                <w:sz w:val="20"/>
                <w:szCs w:val="20"/>
                <w:color w:val="auto"/>
              </w:rPr>
            </w:pPr>
            <w:r>
              <w:rPr>
                <w:rFonts w:ascii="Arial" w:cs="Arial" w:eastAsia="Arial" w:hAnsi="Arial"/>
                <w:sz w:val="14"/>
                <w:szCs w:val="14"/>
                <w:color w:val="auto"/>
              </w:rPr>
              <w:t>COUNTY AI</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AMPCO</w:t>
            </w:r>
          </w:p>
        </w:tc>
        <w:tc>
          <w:tcPr>
            <w:tcW w:w="1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SYSTEM</w:t>
            </w:r>
          </w:p>
        </w:tc>
        <w:tc>
          <w:tcPr>
            <w:tcW w:w="11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SACRAMENTO</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3079443</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1/27/2006</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PARKING</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COUNTY AI</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ABM</w:t>
            </w:r>
          </w:p>
        </w:tc>
        <w:tc>
          <w:tcPr>
            <w:tcW w:w="1100" w:type="dxa"/>
            <w:vAlign w:val="bottom"/>
          </w:tcPr>
          <w:p>
            <w:pPr>
              <w:ind w:left="40"/>
              <w:spacing w:after="0" w:line="130" w:lineRule="exact"/>
              <w:rPr>
                <w:sz w:val="20"/>
                <w:szCs w:val="20"/>
                <w:color w:val="auto"/>
              </w:rPr>
            </w:pPr>
            <w:r>
              <w:rPr>
                <w:rFonts w:ascii="Arial" w:cs="Arial" w:eastAsia="Arial" w:hAnsi="Arial"/>
                <w:sz w:val="14"/>
                <w:szCs w:val="14"/>
                <w:color w:val="auto"/>
              </w:rPr>
              <w:t>THE</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INDUSTRIES,</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TRAVELERS</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3113470</w:t>
            </w:r>
          </w:p>
        </w:tc>
        <w:tc>
          <w:tcPr>
            <w:tcW w:w="1020" w:type="dxa"/>
            <w:vAlign w:val="bottom"/>
          </w:tcPr>
          <w:p>
            <w:pPr>
              <w:ind w:left="180"/>
              <w:spacing w:after="0"/>
              <w:rPr>
                <w:sz w:val="20"/>
                <w:szCs w:val="20"/>
                <w:color w:val="auto"/>
              </w:rPr>
            </w:pPr>
            <w:r>
              <w:rPr>
                <w:rFonts w:ascii="Arial" w:cs="Arial" w:eastAsia="Arial" w:hAnsi="Arial"/>
                <w:sz w:val="14"/>
                <w:szCs w:val="14"/>
                <w:color w:val="auto"/>
              </w:rPr>
              <w:t>6/28/2010</w:t>
            </w:r>
          </w:p>
        </w:tc>
        <w:tc>
          <w:tcPr>
            <w:tcW w:w="1080" w:type="dxa"/>
            <w:vAlign w:val="bottom"/>
          </w:tcPr>
          <w:p>
            <w:pPr>
              <w:ind w:left="180"/>
              <w:spacing w:after="0"/>
              <w:rPr>
                <w:sz w:val="20"/>
                <w:szCs w:val="20"/>
                <w:color w:val="auto"/>
              </w:rPr>
            </w:pPr>
            <w:r>
              <w:rPr>
                <w:rFonts w:ascii="Arial" w:cs="Arial" w:eastAsia="Arial" w:hAnsi="Arial"/>
                <w:sz w:val="14"/>
                <w:szCs w:val="14"/>
                <w:color w:val="auto"/>
              </w:rPr>
              <w:t>6/30/2018</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100" w:type="dxa"/>
            <w:vAlign w:val="bottom"/>
          </w:tcPr>
          <w:p>
            <w:pPr>
              <w:ind w:left="20"/>
              <w:spacing w:after="0"/>
              <w:rPr>
                <w:sz w:val="20"/>
                <w:szCs w:val="20"/>
                <w:color w:val="auto"/>
              </w:rPr>
            </w:pPr>
            <w:r>
              <w:rPr>
                <w:rFonts w:ascii="Arial" w:cs="Arial" w:eastAsia="Arial" w:hAnsi="Arial"/>
                <w:sz w:val="14"/>
                <w:szCs w:val="14"/>
                <w:color w:val="auto"/>
              </w:rPr>
              <w:t>INC.</w:t>
            </w:r>
          </w:p>
        </w:tc>
        <w:tc>
          <w:tcPr>
            <w:tcW w:w="1100" w:type="dxa"/>
            <w:vAlign w:val="bottom"/>
          </w:tcPr>
          <w:p>
            <w:pPr>
              <w:ind w:left="40"/>
              <w:spacing w:after="0"/>
              <w:rPr>
                <w:sz w:val="20"/>
                <w:szCs w:val="20"/>
                <w:color w:val="auto"/>
              </w:rPr>
            </w:pPr>
            <w:r>
              <w:rPr>
                <w:rFonts w:ascii="Arial" w:cs="Arial" w:eastAsia="Arial" w:hAnsi="Arial"/>
                <w:sz w:val="14"/>
                <w:szCs w:val="14"/>
                <w:color w:val="auto"/>
              </w:rPr>
              <w:t>INDEMN</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32,000.00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ABM</w:t>
            </w:r>
          </w:p>
        </w:tc>
        <w:tc>
          <w:tcPr>
            <w:tcW w:w="1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JANITORIAL</w:t>
            </w:r>
          </w:p>
        </w:tc>
        <w:tc>
          <w:tcPr>
            <w:tcW w:w="11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HARTFORD</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3113475</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6/29/2010</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6/30/2018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FIRE INSURA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0"/>
              <w:spacing w:after="0" w:line="130" w:lineRule="exact"/>
              <w:rPr>
                <w:sz w:val="20"/>
                <w:szCs w:val="20"/>
                <w:color w:val="auto"/>
              </w:rPr>
            </w:pPr>
            <w:r>
              <w:rPr>
                <w:rFonts w:ascii="Arial" w:cs="Arial" w:eastAsia="Arial" w:hAnsi="Arial"/>
                <w:sz w:val="14"/>
                <w:szCs w:val="14"/>
                <w:color w:val="auto"/>
              </w:rPr>
              <w:t>ACE</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THE LINC</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AMERICAN</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3115886</w:t>
            </w:r>
          </w:p>
        </w:tc>
        <w:tc>
          <w:tcPr>
            <w:tcW w:w="1020" w:type="dxa"/>
            <w:vAlign w:val="bottom"/>
          </w:tcPr>
          <w:p>
            <w:pPr>
              <w:ind w:left="180"/>
              <w:spacing w:after="0"/>
              <w:rPr>
                <w:sz w:val="20"/>
                <w:szCs w:val="20"/>
                <w:color w:val="auto"/>
              </w:rPr>
            </w:pPr>
            <w:r>
              <w:rPr>
                <w:rFonts w:ascii="Arial" w:cs="Arial" w:eastAsia="Arial" w:hAnsi="Arial"/>
                <w:sz w:val="14"/>
                <w:szCs w:val="14"/>
                <w:color w:val="auto"/>
              </w:rPr>
              <w:t>1/27/2011</w:t>
            </w:r>
          </w:p>
        </w:tc>
        <w:tc>
          <w:tcPr>
            <w:tcW w:w="1080" w:type="dxa"/>
            <w:vAlign w:val="bottom"/>
          </w:tcPr>
          <w:p>
            <w:pPr>
              <w:ind w:left="180"/>
              <w:spacing w:after="0"/>
              <w:rPr>
                <w:sz w:val="20"/>
                <w:szCs w:val="20"/>
                <w:color w:val="auto"/>
              </w:rPr>
            </w:pPr>
            <w:r>
              <w:rPr>
                <w:rFonts w:ascii="Arial" w:cs="Arial" w:eastAsia="Arial" w:hAnsi="Arial"/>
                <w:sz w:val="14"/>
                <w:szCs w:val="14"/>
                <w:color w:val="auto"/>
              </w:rPr>
              <w:t>12/8/2017</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tcPr>
          <w:p>
            <w:pPr>
              <w:ind w:left="20"/>
              <w:spacing w:after="0"/>
              <w:rPr>
                <w:sz w:val="20"/>
                <w:szCs w:val="20"/>
                <w:color w:val="auto"/>
              </w:rPr>
            </w:pPr>
            <w:r>
              <w:rPr>
                <w:rFonts w:ascii="Arial" w:cs="Arial" w:eastAsia="Arial" w:hAnsi="Arial"/>
                <w:sz w:val="14"/>
                <w:szCs w:val="14"/>
                <w:color w:val="auto"/>
              </w:rPr>
              <w:t>GROUP, LLC</w:t>
            </w:r>
          </w:p>
        </w:tc>
        <w:tc>
          <w:tcPr>
            <w:tcW w:w="1100" w:type="dxa"/>
            <w:vAlign w:val="bottom"/>
          </w:tcPr>
          <w:p>
            <w:pPr>
              <w:ind w:left="40"/>
              <w:spacing w:after="0"/>
              <w:rPr>
                <w:sz w:val="20"/>
                <w:szCs w:val="20"/>
                <w:color w:val="auto"/>
              </w:rPr>
            </w:pPr>
            <w:r>
              <w:rPr>
                <w:rFonts w:ascii="Arial" w:cs="Arial" w:eastAsia="Arial" w:hAnsi="Arial"/>
                <w:sz w:val="14"/>
                <w:szCs w:val="14"/>
                <w:color w:val="auto"/>
              </w:rPr>
              <w:t>INSURAN</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111,000.00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111,000.00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THE LINC</w:t>
            </w: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SOCIETE</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3115888</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1/27/2011</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8/1/2018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GROUP, LLC</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GENERALE</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147,890.00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147,890.00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ABM</w:t>
            </w: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JANITORIAL</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CITY OF LOS</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3116600</w:t>
            </w:r>
          </w:p>
        </w:tc>
        <w:tc>
          <w:tcPr>
            <w:tcW w:w="1020" w:type="dxa"/>
            <w:vAlign w:val="bottom"/>
          </w:tcPr>
          <w:p>
            <w:pPr>
              <w:ind w:left="180"/>
              <w:spacing w:after="0"/>
              <w:rPr>
                <w:sz w:val="20"/>
                <w:szCs w:val="20"/>
                <w:color w:val="auto"/>
              </w:rPr>
            </w:pPr>
            <w:r>
              <w:rPr>
                <w:rFonts w:ascii="Arial" w:cs="Arial" w:eastAsia="Arial" w:hAnsi="Arial"/>
                <w:sz w:val="14"/>
                <w:szCs w:val="14"/>
                <w:color w:val="auto"/>
              </w:rPr>
              <w:t>4/5/2011</w:t>
            </w:r>
          </w:p>
        </w:tc>
        <w:tc>
          <w:tcPr>
            <w:tcW w:w="1080" w:type="dxa"/>
            <w:vAlign w:val="bottom"/>
          </w:tcPr>
          <w:p>
            <w:pPr>
              <w:ind w:left="180"/>
              <w:spacing w:after="0"/>
              <w:rPr>
                <w:sz w:val="20"/>
                <w:szCs w:val="20"/>
                <w:color w:val="auto"/>
              </w:rPr>
            </w:pPr>
            <w:r>
              <w:rPr>
                <w:rFonts w:ascii="Arial" w:cs="Arial" w:eastAsia="Arial" w:hAnsi="Arial"/>
                <w:sz w:val="14"/>
                <w:szCs w:val="14"/>
                <w:color w:val="auto"/>
              </w:rPr>
              <w:t>4/5/2018</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tcPr>
          <w:p>
            <w:pPr>
              <w:ind w:left="20"/>
              <w:spacing w:after="0"/>
              <w:rPr>
                <w:sz w:val="20"/>
                <w:szCs w:val="20"/>
                <w:color w:val="auto"/>
              </w:rPr>
            </w:pPr>
            <w:r>
              <w:rPr>
                <w:rFonts w:ascii="Arial" w:cs="Arial" w:eastAsia="Arial" w:hAnsi="Arial"/>
                <w:sz w:val="14"/>
                <w:szCs w:val="14"/>
                <w:color w:val="auto"/>
              </w:rPr>
              <w:t>SERVI</w:t>
            </w:r>
          </w:p>
        </w:tc>
        <w:tc>
          <w:tcPr>
            <w:tcW w:w="1100" w:type="dxa"/>
            <w:vAlign w:val="bottom"/>
          </w:tcPr>
          <w:p>
            <w:pPr>
              <w:ind w:left="40"/>
              <w:spacing w:after="0"/>
              <w:rPr>
                <w:sz w:val="20"/>
                <w:szCs w:val="20"/>
                <w:color w:val="auto"/>
              </w:rPr>
            </w:pPr>
            <w:r>
              <w:rPr>
                <w:rFonts w:ascii="Arial" w:cs="Arial" w:eastAsia="Arial" w:hAnsi="Arial"/>
                <w:sz w:val="14"/>
                <w:szCs w:val="14"/>
                <w:color w:val="auto"/>
              </w:rPr>
              <w:t>ANGELES</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14,149.00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14,149.00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AMPCO</w:t>
            </w:r>
          </w:p>
        </w:tc>
        <w:tc>
          <w:tcPr>
            <w:tcW w:w="1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SYSTEM</w:t>
            </w:r>
          </w:p>
        </w:tc>
        <w:tc>
          <w:tcPr>
            <w:tcW w:w="11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CLARK</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3117545</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7/26/2011</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7/12/2018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PARKING</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COUNTY</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ABM</w:t>
            </w: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JANITORIAL</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BANK OF</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3126051</w:t>
            </w:r>
          </w:p>
        </w:tc>
        <w:tc>
          <w:tcPr>
            <w:tcW w:w="1020" w:type="dxa"/>
            <w:vAlign w:val="bottom"/>
          </w:tcPr>
          <w:p>
            <w:pPr>
              <w:ind w:left="180"/>
              <w:spacing w:after="0"/>
              <w:rPr>
                <w:sz w:val="20"/>
                <w:szCs w:val="20"/>
                <w:color w:val="auto"/>
              </w:rPr>
            </w:pPr>
            <w:r>
              <w:rPr>
                <w:rFonts w:ascii="Arial" w:cs="Arial" w:eastAsia="Arial" w:hAnsi="Arial"/>
                <w:sz w:val="14"/>
                <w:szCs w:val="14"/>
                <w:color w:val="auto"/>
              </w:rPr>
              <w:t>10/11/2012</w:t>
            </w:r>
          </w:p>
        </w:tc>
        <w:tc>
          <w:tcPr>
            <w:tcW w:w="1080" w:type="dxa"/>
            <w:vAlign w:val="bottom"/>
          </w:tcPr>
          <w:p>
            <w:pPr>
              <w:ind w:left="180"/>
              <w:spacing w:after="0"/>
              <w:rPr>
                <w:sz w:val="20"/>
                <w:szCs w:val="20"/>
                <w:color w:val="auto"/>
              </w:rPr>
            </w:pPr>
            <w:r>
              <w:rPr>
                <w:rFonts w:ascii="Arial" w:cs="Arial" w:eastAsia="Arial" w:hAnsi="Arial"/>
                <w:sz w:val="14"/>
                <w:szCs w:val="14"/>
                <w:color w:val="auto"/>
              </w:rPr>
              <w:t>10/11/2017</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100" w:type="dxa"/>
            <w:vAlign w:val="bottom"/>
          </w:tcPr>
          <w:p>
            <w:pPr>
              <w:ind w:left="20"/>
              <w:spacing w:after="0"/>
              <w:rPr>
                <w:sz w:val="20"/>
                <w:szCs w:val="20"/>
                <w:color w:val="auto"/>
              </w:rPr>
            </w:pPr>
            <w:r>
              <w:rPr>
                <w:rFonts w:ascii="Arial" w:cs="Arial" w:eastAsia="Arial" w:hAnsi="Arial"/>
                <w:sz w:val="14"/>
                <w:szCs w:val="14"/>
                <w:color w:val="auto"/>
              </w:rPr>
              <w:t>SERVI</w:t>
            </w:r>
          </w:p>
        </w:tc>
        <w:tc>
          <w:tcPr>
            <w:tcW w:w="1100" w:type="dxa"/>
            <w:vAlign w:val="bottom"/>
          </w:tcPr>
          <w:p>
            <w:pPr>
              <w:ind w:left="40"/>
              <w:spacing w:after="0"/>
              <w:rPr>
                <w:sz w:val="20"/>
                <w:szCs w:val="20"/>
                <w:color w:val="auto"/>
              </w:rPr>
            </w:pPr>
            <w:r>
              <w:rPr>
                <w:rFonts w:ascii="Arial" w:cs="Arial" w:eastAsia="Arial" w:hAnsi="Arial"/>
                <w:sz w:val="14"/>
                <w:szCs w:val="14"/>
                <w:color w:val="auto"/>
              </w:rPr>
              <w:t>AMERICA</w:t>
            </w:r>
          </w:p>
        </w:tc>
        <w:tc>
          <w:tcPr>
            <w:tcW w:w="700" w:type="dxa"/>
            <w:vAlign w:val="bottom"/>
          </w:tcPr>
          <w:p>
            <w:pPr>
              <w:ind w:left="60"/>
              <w:spacing w:after="0"/>
              <w:rPr>
                <w:sz w:val="20"/>
                <w:szCs w:val="20"/>
                <w:color w:val="auto"/>
              </w:rPr>
            </w:pPr>
            <w:r>
              <w:rPr>
                <w:rFonts w:ascii="Arial" w:cs="Arial" w:eastAsia="Arial" w:hAnsi="Arial"/>
                <w:sz w:val="14"/>
                <w:szCs w:val="14"/>
                <w:color w:val="auto"/>
              </w:rPr>
              <w:t>EUR</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75,000.00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88,417.50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ARCH</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AIR SERV</w:t>
            </w:r>
          </w:p>
        </w:tc>
        <w:tc>
          <w:tcPr>
            <w:tcW w:w="11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INSURANCE</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3126398</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11/19/2012</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11/7/2017</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CORPORATION</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COMPA</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2,814,693.00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2,814,693.00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0"/>
              <w:spacing w:after="0" w:line="130" w:lineRule="exact"/>
              <w:rPr>
                <w:sz w:val="20"/>
                <w:szCs w:val="20"/>
                <w:color w:val="auto"/>
              </w:rPr>
            </w:pPr>
            <w:r>
              <w:rPr>
                <w:rFonts w:ascii="Arial" w:cs="Arial" w:eastAsia="Arial" w:hAnsi="Arial"/>
                <w:sz w:val="14"/>
                <w:szCs w:val="14"/>
                <w:color w:val="auto"/>
              </w:rPr>
              <w:t>ACE</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AIR SERV</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AMERICAN</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3126409</w:t>
            </w:r>
          </w:p>
        </w:tc>
        <w:tc>
          <w:tcPr>
            <w:tcW w:w="1020" w:type="dxa"/>
            <w:vAlign w:val="bottom"/>
          </w:tcPr>
          <w:p>
            <w:pPr>
              <w:ind w:left="180"/>
              <w:spacing w:after="0"/>
              <w:rPr>
                <w:sz w:val="20"/>
                <w:szCs w:val="20"/>
                <w:color w:val="auto"/>
              </w:rPr>
            </w:pPr>
            <w:r>
              <w:rPr>
                <w:rFonts w:ascii="Arial" w:cs="Arial" w:eastAsia="Arial" w:hAnsi="Arial"/>
                <w:sz w:val="14"/>
                <w:szCs w:val="14"/>
                <w:color w:val="auto"/>
              </w:rPr>
              <w:t>11/19/2012</w:t>
            </w:r>
          </w:p>
        </w:tc>
        <w:tc>
          <w:tcPr>
            <w:tcW w:w="1080" w:type="dxa"/>
            <w:vAlign w:val="bottom"/>
          </w:tcPr>
          <w:p>
            <w:pPr>
              <w:ind w:left="180"/>
              <w:spacing w:after="0"/>
              <w:rPr>
                <w:sz w:val="20"/>
                <w:szCs w:val="20"/>
                <w:color w:val="auto"/>
              </w:rPr>
            </w:pPr>
            <w:r>
              <w:rPr>
                <w:rFonts w:ascii="Arial" w:cs="Arial" w:eastAsia="Arial" w:hAnsi="Arial"/>
                <w:sz w:val="14"/>
                <w:szCs w:val="14"/>
                <w:color w:val="auto"/>
              </w:rPr>
              <w:t>11/9/2017</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tcPr>
          <w:p>
            <w:pPr>
              <w:ind w:left="20"/>
              <w:spacing w:after="0"/>
              <w:rPr>
                <w:sz w:val="20"/>
                <w:szCs w:val="20"/>
                <w:color w:val="auto"/>
              </w:rPr>
            </w:pPr>
            <w:r>
              <w:rPr>
                <w:rFonts w:ascii="Arial" w:cs="Arial" w:eastAsia="Arial" w:hAnsi="Arial"/>
                <w:sz w:val="14"/>
                <w:szCs w:val="14"/>
                <w:color w:val="auto"/>
              </w:rPr>
              <w:t>CORPORATION</w:t>
            </w:r>
          </w:p>
        </w:tc>
        <w:tc>
          <w:tcPr>
            <w:tcW w:w="1100" w:type="dxa"/>
            <w:vAlign w:val="bottom"/>
          </w:tcPr>
          <w:p>
            <w:pPr>
              <w:ind w:left="40"/>
              <w:spacing w:after="0"/>
              <w:rPr>
                <w:sz w:val="20"/>
                <w:szCs w:val="20"/>
                <w:color w:val="auto"/>
              </w:rPr>
            </w:pPr>
            <w:r>
              <w:rPr>
                <w:rFonts w:ascii="Arial" w:cs="Arial" w:eastAsia="Arial" w:hAnsi="Arial"/>
                <w:sz w:val="14"/>
                <w:szCs w:val="14"/>
                <w:color w:val="auto"/>
              </w:rPr>
              <w:t>INSURAN</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AIR SERV</w:t>
            </w: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THE PORT</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3126449</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11/19/2012</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11/14/2017</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CORPORATION</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AUTHORITY O</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ABM</w:t>
            </w: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JANITORIAL</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EEJRE 321 W.</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3126926</w:t>
            </w:r>
          </w:p>
        </w:tc>
        <w:tc>
          <w:tcPr>
            <w:tcW w:w="1020" w:type="dxa"/>
            <w:vAlign w:val="bottom"/>
          </w:tcPr>
          <w:p>
            <w:pPr>
              <w:ind w:left="180"/>
              <w:spacing w:after="0"/>
              <w:rPr>
                <w:sz w:val="20"/>
                <w:szCs w:val="20"/>
                <w:color w:val="auto"/>
              </w:rPr>
            </w:pPr>
            <w:r>
              <w:rPr>
                <w:rFonts w:ascii="Arial" w:cs="Arial" w:eastAsia="Arial" w:hAnsi="Arial"/>
                <w:sz w:val="14"/>
                <w:szCs w:val="14"/>
                <w:color w:val="auto"/>
              </w:rPr>
              <w:t>1/11/2013</w:t>
            </w:r>
          </w:p>
        </w:tc>
        <w:tc>
          <w:tcPr>
            <w:tcW w:w="1080" w:type="dxa"/>
            <w:vAlign w:val="bottom"/>
          </w:tcPr>
          <w:p>
            <w:pPr>
              <w:ind w:left="180"/>
              <w:spacing w:after="0"/>
              <w:rPr>
                <w:sz w:val="20"/>
                <w:szCs w:val="20"/>
                <w:color w:val="auto"/>
              </w:rPr>
            </w:pPr>
            <w:r>
              <w:rPr>
                <w:rFonts w:ascii="Arial" w:cs="Arial" w:eastAsia="Arial" w:hAnsi="Arial"/>
                <w:sz w:val="14"/>
                <w:szCs w:val="14"/>
                <w:color w:val="auto"/>
              </w:rPr>
              <w:t>1/11/2018</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100" w:type="dxa"/>
            <w:vAlign w:val="bottom"/>
          </w:tcPr>
          <w:p>
            <w:pPr>
              <w:ind w:left="20"/>
              <w:spacing w:after="0"/>
              <w:rPr>
                <w:sz w:val="20"/>
                <w:szCs w:val="20"/>
                <w:color w:val="auto"/>
              </w:rPr>
            </w:pPr>
            <w:r>
              <w:rPr>
                <w:rFonts w:ascii="Arial" w:cs="Arial" w:eastAsia="Arial" w:hAnsi="Arial"/>
                <w:sz w:val="14"/>
                <w:szCs w:val="14"/>
                <w:color w:val="auto"/>
              </w:rPr>
              <w:t>SERVI</w:t>
            </w:r>
          </w:p>
        </w:tc>
        <w:tc>
          <w:tcPr>
            <w:tcW w:w="1100" w:type="dxa"/>
            <w:vAlign w:val="bottom"/>
          </w:tcPr>
          <w:p>
            <w:pPr>
              <w:ind w:left="40"/>
              <w:spacing w:after="0"/>
              <w:rPr>
                <w:sz w:val="20"/>
                <w:szCs w:val="20"/>
                <w:color w:val="auto"/>
              </w:rPr>
            </w:pPr>
            <w:r>
              <w:rPr>
                <w:rFonts w:ascii="Arial" w:cs="Arial" w:eastAsia="Arial" w:hAnsi="Arial"/>
                <w:sz w:val="14"/>
                <w:szCs w:val="14"/>
                <w:color w:val="auto"/>
              </w:rPr>
              <w:t>44 OWNE</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307,642.02</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307,642.02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ABM PARKING</w:t>
            </w: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CITY OF LOS</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3130171</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2/7/2014</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2/1/2018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ANGELES,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ABM</w:t>
            </w: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INDUSTRIES</w:t>
            </w:r>
          </w:p>
        </w:tc>
        <w:tc>
          <w:tcPr>
            <w:tcW w:w="1100" w:type="dxa"/>
            <w:vAlign w:val="bottom"/>
          </w:tcPr>
          <w:p>
            <w:pPr>
              <w:ind w:left="40"/>
              <w:spacing w:after="0" w:line="149" w:lineRule="exact"/>
              <w:rPr>
                <w:sz w:val="20"/>
                <w:szCs w:val="20"/>
                <w:color w:val="auto"/>
              </w:rPr>
            </w:pPr>
            <w:r>
              <w:rPr>
                <w:rFonts w:ascii="Arial" w:cs="Arial" w:eastAsia="Arial" w:hAnsi="Arial"/>
                <w:sz w:val="14"/>
                <w:szCs w:val="14"/>
                <w:color w:val="auto"/>
              </w:rPr>
              <w:t>NATIONAL</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3130265</w:t>
            </w:r>
          </w:p>
        </w:tc>
        <w:tc>
          <w:tcPr>
            <w:tcW w:w="1020" w:type="dxa"/>
            <w:vAlign w:val="bottom"/>
          </w:tcPr>
          <w:p>
            <w:pPr>
              <w:ind w:left="180"/>
              <w:spacing w:after="0"/>
              <w:rPr>
                <w:sz w:val="20"/>
                <w:szCs w:val="20"/>
                <w:color w:val="auto"/>
              </w:rPr>
            </w:pPr>
            <w:r>
              <w:rPr>
                <w:rFonts w:ascii="Arial" w:cs="Arial" w:eastAsia="Arial" w:hAnsi="Arial"/>
                <w:sz w:val="14"/>
                <w:szCs w:val="14"/>
                <w:color w:val="auto"/>
              </w:rPr>
              <w:t>2/20/2014</w:t>
            </w:r>
          </w:p>
        </w:tc>
        <w:tc>
          <w:tcPr>
            <w:tcW w:w="1080" w:type="dxa"/>
            <w:vAlign w:val="bottom"/>
          </w:tcPr>
          <w:p>
            <w:pPr>
              <w:ind w:left="180"/>
              <w:spacing w:after="0"/>
              <w:rPr>
                <w:sz w:val="20"/>
                <w:szCs w:val="20"/>
                <w:color w:val="auto"/>
              </w:rPr>
            </w:pPr>
            <w:r>
              <w:rPr>
                <w:rFonts w:ascii="Arial" w:cs="Arial" w:eastAsia="Arial" w:hAnsi="Arial"/>
                <w:sz w:val="14"/>
                <w:szCs w:val="14"/>
                <w:color w:val="auto"/>
              </w:rPr>
              <w:t>2/20/2018</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100" w:type="dxa"/>
            <w:vAlign w:val="bottom"/>
          </w:tcPr>
          <w:p>
            <w:pPr>
              <w:ind w:left="20"/>
              <w:spacing w:after="0"/>
              <w:rPr>
                <w:sz w:val="20"/>
                <w:szCs w:val="20"/>
                <w:color w:val="auto"/>
              </w:rPr>
            </w:pPr>
            <w:r>
              <w:rPr>
                <w:rFonts w:ascii="Arial" w:cs="Arial" w:eastAsia="Arial" w:hAnsi="Arial"/>
                <w:sz w:val="14"/>
                <w:szCs w:val="14"/>
                <w:color w:val="auto"/>
              </w:rPr>
              <w:t>INCO</w:t>
            </w:r>
          </w:p>
        </w:tc>
        <w:tc>
          <w:tcPr>
            <w:tcW w:w="1100" w:type="dxa"/>
            <w:vAlign w:val="bottom"/>
          </w:tcPr>
          <w:p>
            <w:pPr>
              <w:ind w:left="40"/>
              <w:spacing w:after="0"/>
              <w:rPr>
                <w:sz w:val="20"/>
                <w:szCs w:val="20"/>
                <w:color w:val="auto"/>
              </w:rPr>
            </w:pPr>
            <w:r>
              <w:rPr>
                <w:rFonts w:ascii="Arial" w:cs="Arial" w:eastAsia="Arial" w:hAnsi="Arial"/>
                <w:sz w:val="14"/>
                <w:szCs w:val="14"/>
                <w:color w:val="auto"/>
              </w:rPr>
              <w:t>UNION FIRE</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2,626,648.00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2,626,648.00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ABM PARKING</w:t>
            </w: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CITY OF LOS</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3131144</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7/14/2014</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7/1/2018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ANGELES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AIR SERV</w:t>
            </w:r>
          </w:p>
        </w:tc>
        <w:tc>
          <w:tcPr>
            <w:tcW w:w="1100" w:type="dxa"/>
            <w:vAlign w:val="bottom"/>
          </w:tcPr>
          <w:p>
            <w:pPr>
              <w:ind w:left="40"/>
              <w:spacing w:after="0" w:line="130" w:lineRule="exact"/>
              <w:rPr>
                <w:sz w:val="20"/>
                <w:szCs w:val="20"/>
                <w:color w:val="auto"/>
              </w:rPr>
            </w:pPr>
            <w:r>
              <w:rPr>
                <w:rFonts w:ascii="Arial" w:cs="Arial" w:eastAsia="Arial" w:hAnsi="Arial"/>
                <w:sz w:val="14"/>
                <w:szCs w:val="14"/>
                <w:color w:val="auto"/>
              </w:rPr>
              <w:t>CITY OF LOS</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3131413</w:t>
            </w:r>
          </w:p>
        </w:tc>
        <w:tc>
          <w:tcPr>
            <w:tcW w:w="1020" w:type="dxa"/>
            <w:vAlign w:val="bottom"/>
          </w:tcPr>
          <w:p>
            <w:pPr>
              <w:ind w:left="180"/>
              <w:spacing w:after="0"/>
              <w:rPr>
                <w:sz w:val="20"/>
                <w:szCs w:val="20"/>
                <w:color w:val="auto"/>
              </w:rPr>
            </w:pPr>
            <w:r>
              <w:rPr>
                <w:rFonts w:ascii="Arial" w:cs="Arial" w:eastAsia="Arial" w:hAnsi="Arial"/>
                <w:sz w:val="14"/>
                <w:szCs w:val="14"/>
                <w:color w:val="auto"/>
              </w:rPr>
              <w:t>10/9/2014</w:t>
            </w:r>
          </w:p>
        </w:tc>
        <w:tc>
          <w:tcPr>
            <w:tcW w:w="1080" w:type="dxa"/>
            <w:vAlign w:val="bottom"/>
          </w:tcPr>
          <w:p>
            <w:pPr>
              <w:ind w:left="180"/>
              <w:spacing w:after="0"/>
              <w:rPr>
                <w:sz w:val="20"/>
                <w:szCs w:val="20"/>
                <w:color w:val="auto"/>
              </w:rPr>
            </w:pPr>
            <w:r>
              <w:rPr>
                <w:rFonts w:ascii="Arial" w:cs="Arial" w:eastAsia="Arial" w:hAnsi="Arial"/>
                <w:sz w:val="14"/>
                <w:szCs w:val="14"/>
                <w:color w:val="auto"/>
              </w:rPr>
              <w:t>10/9/2017</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tcPr>
          <w:p>
            <w:pPr>
              <w:ind w:left="20"/>
              <w:spacing w:after="0"/>
              <w:rPr>
                <w:sz w:val="20"/>
                <w:szCs w:val="20"/>
                <w:color w:val="auto"/>
              </w:rPr>
            </w:pPr>
            <w:r>
              <w:rPr>
                <w:rFonts w:ascii="Arial" w:cs="Arial" w:eastAsia="Arial" w:hAnsi="Arial"/>
                <w:sz w:val="14"/>
                <w:szCs w:val="14"/>
                <w:color w:val="auto"/>
              </w:rPr>
              <w:t>CORPORATION</w:t>
            </w:r>
          </w:p>
        </w:tc>
        <w:tc>
          <w:tcPr>
            <w:tcW w:w="1100" w:type="dxa"/>
            <w:vAlign w:val="bottom"/>
          </w:tcPr>
          <w:p>
            <w:pPr>
              <w:ind w:left="40"/>
              <w:spacing w:after="0"/>
              <w:rPr>
                <w:sz w:val="20"/>
                <w:szCs w:val="20"/>
                <w:color w:val="auto"/>
              </w:rPr>
            </w:pPr>
            <w:r>
              <w:rPr>
                <w:rFonts w:ascii="Arial" w:cs="Arial" w:eastAsia="Arial" w:hAnsi="Arial"/>
                <w:sz w:val="14"/>
                <w:szCs w:val="14"/>
                <w:color w:val="auto"/>
              </w:rPr>
              <w:t>ANGELES</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20,250.00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20,250.00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AIR SERV</w:t>
            </w: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CITY OF LOS</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3131872</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5/21/2015</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5/6/2018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CORPORATION</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ANGELES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10,959.56</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10,959.56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ABM ONSITE</w:t>
            </w:r>
          </w:p>
        </w:tc>
        <w:tc>
          <w:tcPr>
            <w:tcW w:w="1100" w:type="dxa"/>
            <w:vAlign w:val="bottom"/>
          </w:tcPr>
          <w:p>
            <w:pPr>
              <w:ind w:left="40"/>
              <w:spacing w:after="0" w:line="130" w:lineRule="exact"/>
              <w:rPr>
                <w:sz w:val="20"/>
                <w:szCs w:val="20"/>
                <w:color w:val="auto"/>
              </w:rPr>
            </w:pPr>
            <w:r>
              <w:rPr>
                <w:rFonts w:ascii="Arial" w:cs="Arial" w:eastAsia="Arial" w:hAnsi="Arial"/>
                <w:sz w:val="14"/>
                <w:szCs w:val="14"/>
                <w:color w:val="auto"/>
              </w:rPr>
              <w:t>CITY OF LOS</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3137538</w:t>
            </w:r>
          </w:p>
        </w:tc>
        <w:tc>
          <w:tcPr>
            <w:tcW w:w="1020" w:type="dxa"/>
            <w:vAlign w:val="bottom"/>
          </w:tcPr>
          <w:p>
            <w:pPr>
              <w:ind w:left="180"/>
              <w:spacing w:after="0"/>
              <w:rPr>
                <w:sz w:val="20"/>
                <w:szCs w:val="20"/>
                <w:color w:val="auto"/>
              </w:rPr>
            </w:pPr>
            <w:r>
              <w:rPr>
                <w:rFonts w:ascii="Arial" w:cs="Arial" w:eastAsia="Arial" w:hAnsi="Arial"/>
                <w:sz w:val="14"/>
                <w:szCs w:val="14"/>
                <w:color w:val="auto"/>
              </w:rPr>
              <w:t>5/3/2016</w:t>
            </w:r>
          </w:p>
        </w:tc>
        <w:tc>
          <w:tcPr>
            <w:tcW w:w="1080" w:type="dxa"/>
            <w:vAlign w:val="bottom"/>
          </w:tcPr>
          <w:p>
            <w:pPr>
              <w:ind w:left="180"/>
              <w:spacing w:after="0"/>
              <w:rPr>
                <w:sz w:val="20"/>
                <w:szCs w:val="20"/>
                <w:color w:val="auto"/>
              </w:rPr>
            </w:pPr>
            <w:r>
              <w:rPr>
                <w:rFonts w:ascii="Arial" w:cs="Arial" w:eastAsia="Arial" w:hAnsi="Arial"/>
                <w:sz w:val="14"/>
                <w:szCs w:val="14"/>
                <w:color w:val="auto"/>
              </w:rPr>
              <w:t>2/22/2018</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tcPr>
          <w:p>
            <w:pPr>
              <w:ind w:left="20"/>
              <w:spacing w:after="0"/>
              <w:rPr>
                <w:sz w:val="20"/>
                <w:szCs w:val="20"/>
                <w:color w:val="auto"/>
              </w:rPr>
            </w:pPr>
            <w:r>
              <w:rPr>
                <w:rFonts w:ascii="Arial" w:cs="Arial" w:eastAsia="Arial" w:hAnsi="Arial"/>
                <w:sz w:val="14"/>
                <w:szCs w:val="14"/>
                <w:color w:val="auto"/>
              </w:rPr>
              <w:t>SERVICES</w:t>
            </w:r>
          </w:p>
        </w:tc>
        <w:tc>
          <w:tcPr>
            <w:tcW w:w="1100" w:type="dxa"/>
            <w:vAlign w:val="bottom"/>
          </w:tcPr>
          <w:p>
            <w:pPr>
              <w:ind w:left="40"/>
              <w:spacing w:after="0"/>
              <w:rPr>
                <w:sz w:val="20"/>
                <w:szCs w:val="20"/>
                <w:color w:val="auto"/>
              </w:rPr>
            </w:pPr>
            <w:r>
              <w:rPr>
                <w:rFonts w:ascii="Arial" w:cs="Arial" w:eastAsia="Arial" w:hAnsi="Arial"/>
                <w:sz w:val="14"/>
                <w:szCs w:val="14"/>
                <w:color w:val="auto"/>
              </w:rPr>
              <w:t>ANGELES</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4,500,000.00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4,500,000.00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ABM ONSITE</w:t>
            </w:r>
          </w:p>
        </w:tc>
        <w:tc>
          <w:tcPr>
            <w:tcW w:w="11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CITY OF LOS</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3137613</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6/28/2016</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4/28/2018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ANGELES</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500,000.00</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ind w:left="20"/>
              <w:spacing w:after="0" w:line="130" w:lineRule="exact"/>
              <w:rPr>
                <w:sz w:val="20"/>
                <w:szCs w:val="20"/>
                <w:color w:val="auto"/>
              </w:rPr>
            </w:pPr>
            <w:r>
              <w:rPr>
                <w:rFonts w:ascii="Arial" w:cs="Arial" w:eastAsia="Arial" w:hAnsi="Arial"/>
                <w:sz w:val="14"/>
                <w:szCs w:val="14"/>
                <w:color w:val="auto"/>
              </w:rPr>
              <w:t>SOUTHERN</w:t>
            </w:r>
          </w:p>
        </w:tc>
        <w:tc>
          <w:tcPr>
            <w:tcW w:w="1100" w:type="dxa"/>
            <w:vAlign w:val="bottom"/>
          </w:tcPr>
          <w:p>
            <w:pPr>
              <w:ind w:left="40"/>
              <w:spacing w:after="0" w:line="130" w:lineRule="exact"/>
              <w:rPr>
                <w:sz w:val="20"/>
                <w:szCs w:val="20"/>
                <w:color w:val="auto"/>
              </w:rPr>
            </w:pPr>
            <w:r>
              <w:rPr>
                <w:rFonts w:ascii="Arial" w:cs="Arial" w:eastAsia="Arial" w:hAnsi="Arial"/>
                <w:sz w:val="14"/>
                <w:szCs w:val="14"/>
                <w:color w:val="auto"/>
              </w:rPr>
              <w:t>EMPLOYERS</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7420350</w:t>
            </w:r>
          </w:p>
        </w:tc>
        <w:tc>
          <w:tcPr>
            <w:tcW w:w="1020" w:type="dxa"/>
            <w:vAlign w:val="bottom"/>
          </w:tcPr>
          <w:p>
            <w:pPr>
              <w:ind w:left="180"/>
              <w:spacing w:after="0"/>
              <w:rPr>
                <w:sz w:val="20"/>
                <w:szCs w:val="20"/>
                <w:color w:val="auto"/>
              </w:rPr>
            </w:pPr>
            <w:r>
              <w:rPr>
                <w:rFonts w:ascii="Arial" w:cs="Arial" w:eastAsia="Arial" w:hAnsi="Arial"/>
                <w:sz w:val="14"/>
                <w:szCs w:val="14"/>
                <w:color w:val="auto"/>
              </w:rPr>
              <w:t>4/30/2006</w:t>
            </w:r>
          </w:p>
        </w:tc>
        <w:tc>
          <w:tcPr>
            <w:tcW w:w="1080" w:type="dxa"/>
            <w:vAlign w:val="bottom"/>
          </w:tcPr>
          <w:p>
            <w:pPr>
              <w:ind w:left="180"/>
              <w:spacing w:after="0"/>
              <w:rPr>
                <w:sz w:val="20"/>
                <w:szCs w:val="20"/>
                <w:color w:val="auto"/>
              </w:rPr>
            </w:pPr>
            <w:r>
              <w:rPr>
                <w:rFonts w:ascii="Arial" w:cs="Arial" w:eastAsia="Arial" w:hAnsi="Arial"/>
                <w:sz w:val="14"/>
                <w:szCs w:val="14"/>
                <w:color w:val="auto"/>
              </w:rPr>
              <w:t>1/11/2018</w:t>
            </w:r>
          </w:p>
        </w:tc>
        <w:tc>
          <w:tcPr>
            <w:tcW w:w="860" w:type="dxa"/>
            <w:vAlign w:val="bottom"/>
          </w:tcPr>
          <w:p>
            <w:pPr>
              <w:ind w:left="14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100" w:type="dxa"/>
            <w:vAlign w:val="bottom"/>
          </w:tcPr>
          <w:p>
            <w:pPr>
              <w:ind w:left="20"/>
              <w:spacing w:after="0"/>
              <w:rPr>
                <w:sz w:val="20"/>
                <w:szCs w:val="20"/>
                <w:color w:val="auto"/>
              </w:rPr>
            </w:pPr>
            <w:r>
              <w:rPr>
                <w:rFonts w:ascii="Arial" w:cs="Arial" w:eastAsia="Arial" w:hAnsi="Arial"/>
                <w:sz w:val="14"/>
                <w:szCs w:val="14"/>
                <w:color w:val="auto"/>
              </w:rPr>
              <w:t>MANAGEMENT</w:t>
            </w:r>
          </w:p>
        </w:tc>
        <w:tc>
          <w:tcPr>
            <w:tcW w:w="1100" w:type="dxa"/>
            <w:vAlign w:val="bottom"/>
          </w:tcPr>
          <w:p>
            <w:pPr>
              <w:ind w:left="40"/>
              <w:spacing w:after="0"/>
              <w:rPr>
                <w:sz w:val="20"/>
                <w:szCs w:val="20"/>
                <w:color w:val="auto"/>
              </w:rPr>
            </w:pPr>
            <w:r>
              <w:rPr>
                <w:rFonts w:ascii="Arial" w:cs="Arial" w:eastAsia="Arial" w:hAnsi="Arial"/>
                <w:sz w:val="14"/>
                <w:szCs w:val="14"/>
                <w:color w:val="auto"/>
              </w:rPr>
              <w:t>INSURANCE</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63,250.00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127,659,945.08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9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BackStop</w:t>
            </w: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10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GCA Services</w:t>
            </w:r>
          </w:p>
        </w:tc>
        <w:tc>
          <w:tcPr>
            <w:tcW w:w="1100" w:type="dxa"/>
            <w:vAlign w:val="bottom"/>
            <w:shd w:val="clear" w:color="auto" w:fill="CCEEFF"/>
          </w:tcPr>
          <w:p>
            <w:pPr>
              <w:ind w:left="40"/>
              <w:spacing w:after="0" w:line="126" w:lineRule="exact"/>
              <w:rPr>
                <w:sz w:val="20"/>
                <w:szCs w:val="20"/>
                <w:color w:val="auto"/>
              </w:rPr>
            </w:pPr>
            <w:r>
              <w:rPr>
                <w:rFonts w:ascii="Arial" w:cs="Arial" w:eastAsia="Arial" w:hAnsi="Arial"/>
                <w:sz w:val="14"/>
                <w:szCs w:val="14"/>
                <w:color w:val="auto"/>
              </w:rPr>
              <w:t>Barclays Bank</w:t>
            </w:r>
          </w:p>
        </w:tc>
        <w:tc>
          <w:tcPr>
            <w:tcW w:w="7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LC/New</w:t>
            </w: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3138410</w:t>
            </w: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8/29/2017</w:t>
            </w:r>
          </w:p>
        </w:tc>
        <w:tc>
          <w:tcPr>
            <w:tcW w:w="1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3/31/2018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Group Inc.</w:t>
            </w:r>
          </w:p>
        </w:tc>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PLC NY Branch</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36,899,531.64</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36,899,531.64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360" w:type="dxa"/>
            <w:vAlign w:val="bottom"/>
            <w:shd w:val="clear" w:color="auto" w:fill="CCEEFF"/>
          </w:tcPr>
          <w:p>
            <w:pPr>
              <w:ind w:left="440"/>
              <w:spacing w:after="0" w:line="126" w:lineRule="exact"/>
              <w:rPr>
                <w:sz w:val="20"/>
                <w:szCs w:val="20"/>
                <w:color w:val="auto"/>
              </w:rPr>
            </w:pPr>
            <w:r>
              <w:rPr>
                <w:rFonts w:ascii="Arial" w:cs="Arial" w:eastAsia="Arial" w:hAnsi="Arial"/>
                <w:sz w:val="14"/>
                <w:szCs w:val="14"/>
                <w:b w:val="1"/>
                <w:bCs w:val="1"/>
                <w:color w:val="auto"/>
              </w:rPr>
              <w:t>New Total</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6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for LC’s</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164,559,476.72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tcPr>
          <w:p>
            <w:pPr>
              <w:spacing w:after="0" w:line="126" w:lineRule="exact"/>
              <w:rPr>
                <w:sz w:val="20"/>
                <w:szCs w:val="20"/>
                <w:color w:val="auto"/>
              </w:rPr>
            </w:pPr>
            <w:r>
              <w:rPr>
                <w:rFonts w:ascii="Arial" w:cs="Arial" w:eastAsia="Arial" w:hAnsi="Arial"/>
                <w:sz w:val="14"/>
                <w:szCs w:val="14"/>
                <w:b w:val="1"/>
                <w:bCs w:val="1"/>
                <w:color w:val="auto"/>
              </w:rPr>
              <w:t>After Closing</w:t>
            </w: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we will issue the</w:t>
            </w: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following:</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4"/>
                <w:szCs w:val="14"/>
                <w:color w:val="auto"/>
              </w:rPr>
              <w:t>The Travelers</w:t>
            </w: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ind w:left="80"/>
              <w:spacing w:after="0" w:line="149" w:lineRule="exact"/>
              <w:rPr>
                <w:sz w:val="20"/>
                <w:szCs w:val="20"/>
                <w:color w:val="auto"/>
              </w:rPr>
            </w:pPr>
            <w:r>
              <w:rPr>
                <w:rFonts w:ascii="Arial" w:cs="Arial" w:eastAsia="Arial" w:hAnsi="Arial"/>
                <w:sz w:val="14"/>
                <w:szCs w:val="14"/>
                <w:color w:val="auto"/>
              </w:rPr>
              <w:t>GCA Services</w:t>
            </w:r>
          </w:p>
        </w:tc>
        <w:tc>
          <w:tcPr>
            <w:tcW w:w="1100" w:type="dxa"/>
            <w:vAlign w:val="bottom"/>
          </w:tcPr>
          <w:p>
            <w:pPr>
              <w:ind w:left="80"/>
              <w:spacing w:after="0" w:line="149" w:lineRule="exact"/>
              <w:rPr>
                <w:sz w:val="20"/>
                <w:szCs w:val="20"/>
                <w:color w:val="auto"/>
              </w:rPr>
            </w:pPr>
            <w:r>
              <w:rPr>
                <w:rFonts w:ascii="Arial" w:cs="Arial" w:eastAsia="Arial" w:hAnsi="Arial"/>
                <w:sz w:val="14"/>
                <w:szCs w:val="14"/>
                <w:color w:val="auto"/>
              </w:rPr>
              <w:t>Indemnity</w:t>
            </w: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3138414</w:t>
            </w:r>
          </w:p>
        </w:tc>
        <w:tc>
          <w:tcPr>
            <w:tcW w:w="1020" w:type="dxa"/>
            <w:vAlign w:val="bottom"/>
          </w:tcPr>
          <w:p>
            <w:pPr>
              <w:ind w:left="320"/>
              <w:spacing w:after="0"/>
              <w:rPr>
                <w:sz w:val="20"/>
                <w:szCs w:val="20"/>
                <w:color w:val="auto"/>
              </w:rPr>
            </w:pPr>
            <w:r>
              <w:rPr>
                <w:rFonts w:ascii="Arial" w:cs="Arial" w:eastAsia="Arial" w:hAnsi="Arial"/>
                <w:sz w:val="14"/>
                <w:szCs w:val="14"/>
                <w:color w:val="auto"/>
              </w:rPr>
              <w:t>9/1/2017</w:t>
            </w:r>
          </w:p>
        </w:tc>
        <w:tc>
          <w:tcPr>
            <w:tcW w:w="1080" w:type="dxa"/>
            <w:vAlign w:val="bottom"/>
          </w:tcPr>
          <w:p>
            <w:pPr>
              <w:ind w:left="300"/>
              <w:spacing w:after="0"/>
              <w:rPr>
                <w:sz w:val="20"/>
                <w:szCs w:val="20"/>
                <w:color w:val="auto"/>
              </w:rPr>
            </w:pPr>
            <w:r>
              <w:rPr>
                <w:rFonts w:ascii="Arial" w:cs="Arial" w:eastAsia="Arial" w:hAnsi="Arial"/>
                <w:sz w:val="14"/>
                <w:szCs w:val="14"/>
                <w:color w:val="auto"/>
              </w:rPr>
              <w:t>9/1/2018</w:t>
            </w:r>
          </w:p>
        </w:tc>
        <w:tc>
          <w:tcPr>
            <w:tcW w:w="860" w:type="dxa"/>
            <w:vAlign w:val="bottom"/>
          </w:tcPr>
          <w:p>
            <w:pPr>
              <w:ind w:left="280"/>
              <w:spacing w:after="0"/>
              <w:rPr>
                <w:sz w:val="20"/>
                <w:szCs w:val="20"/>
                <w:color w:val="auto"/>
              </w:rPr>
            </w:pPr>
            <w:r>
              <w:rPr>
                <w:rFonts w:ascii="Arial" w:cs="Arial" w:eastAsia="Arial" w:hAnsi="Arial"/>
                <w:sz w:val="14"/>
                <w:szCs w:val="14"/>
                <w:color w:val="auto"/>
              </w:rPr>
              <w:t>ANN</w:t>
            </w:r>
          </w:p>
        </w:tc>
        <w:tc>
          <w:tcPr>
            <w:tcW w:w="1260" w:type="dxa"/>
            <w:vAlign w:val="bottom"/>
          </w:tcPr>
          <w:p>
            <w:pPr>
              <w:jc w:val="right"/>
              <w:spacing w:after="0"/>
              <w:rPr>
                <w:sz w:val="20"/>
                <w:szCs w:val="20"/>
                <w:color w:val="auto"/>
              </w:rPr>
            </w:pPr>
            <w:r>
              <w:rPr>
                <w:rFonts w:ascii="Arial" w:cs="Arial" w:eastAsia="Arial" w:hAnsi="Arial"/>
                <w:sz w:val="14"/>
                <w:szCs w:val="14"/>
                <w:color w:val="auto"/>
              </w:rPr>
              <w:t>90</w:t>
            </w:r>
          </w:p>
        </w:tc>
        <w:tc>
          <w:tcPr>
            <w:tcW w:w="1100" w:type="dxa"/>
            <w:vAlign w:val="bottom"/>
          </w:tcPr>
          <w:p>
            <w:pPr>
              <w:ind w:left="80"/>
              <w:spacing w:after="0"/>
              <w:rPr>
                <w:sz w:val="20"/>
                <w:szCs w:val="20"/>
                <w:color w:val="auto"/>
              </w:rPr>
            </w:pPr>
            <w:r>
              <w:rPr>
                <w:rFonts w:ascii="Arial" w:cs="Arial" w:eastAsia="Arial" w:hAnsi="Arial"/>
                <w:sz w:val="14"/>
                <w:szCs w:val="14"/>
                <w:color w:val="auto"/>
              </w:rPr>
              <w:t>Group Inc.</w:t>
            </w:r>
          </w:p>
        </w:tc>
        <w:tc>
          <w:tcPr>
            <w:tcW w:w="1100" w:type="dxa"/>
            <w:vAlign w:val="bottom"/>
          </w:tcPr>
          <w:p>
            <w:pPr>
              <w:ind w:left="80"/>
              <w:spacing w:after="0"/>
              <w:rPr>
                <w:sz w:val="20"/>
                <w:szCs w:val="20"/>
                <w:color w:val="auto"/>
              </w:rPr>
            </w:pPr>
            <w:r>
              <w:rPr>
                <w:rFonts w:ascii="Arial" w:cs="Arial" w:eastAsia="Arial" w:hAnsi="Arial"/>
                <w:sz w:val="14"/>
                <w:szCs w:val="14"/>
                <w:color w:val="auto"/>
              </w:rPr>
              <w:t>Company</w:t>
            </w:r>
          </w:p>
        </w:tc>
        <w:tc>
          <w:tcPr>
            <w:tcW w:w="700" w:type="dxa"/>
            <w:vAlign w:val="bottom"/>
          </w:tcPr>
          <w:p>
            <w:pPr>
              <w:ind w:left="60"/>
              <w:spacing w:after="0"/>
              <w:rPr>
                <w:sz w:val="20"/>
                <w:szCs w:val="20"/>
                <w:color w:val="auto"/>
              </w:rPr>
            </w:pPr>
            <w:r>
              <w:rPr>
                <w:rFonts w:ascii="Arial" w:cs="Arial" w:eastAsia="Arial" w:hAnsi="Arial"/>
                <w:sz w:val="14"/>
                <w:szCs w:val="14"/>
                <w:color w:val="auto"/>
              </w:rPr>
              <w:t>USD</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4,725,000.00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4,725,000.00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ABM</w:t>
            </w:r>
          </w:p>
        </w:tc>
        <w:tc>
          <w:tcPr>
            <w:tcW w:w="1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ACE</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Amend/Increase  3072155</w:t>
            </w: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INDUSTRIES</w:t>
            </w:r>
          </w:p>
        </w:tc>
        <w:tc>
          <w:tcPr>
            <w:tcW w:w="1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AMERICAN</w:t>
            </w:r>
          </w:p>
        </w:tc>
        <w:tc>
          <w:tcPr>
            <w:tcW w:w="7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shd w:val="clear" w:color="auto" w:fill="CCEEFF"/>
          </w:tcPr>
          <w:p>
            <w:pPr>
              <w:spacing w:after="0"/>
              <w:rPr>
                <w:sz w:val="14"/>
                <w:szCs w:val="14"/>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9/1/2017</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12/15/2017</w:t>
            </w:r>
          </w:p>
        </w:tc>
        <w:tc>
          <w:tcPr>
            <w:tcW w:w="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ANN</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w:t>
            </w:r>
          </w:p>
        </w:tc>
        <w:tc>
          <w:tcPr>
            <w:tcW w:w="1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INSURAN</w:t>
            </w:r>
          </w:p>
        </w:tc>
        <w:tc>
          <w:tcPr>
            <w:tcW w:w="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USD</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14,000,734.00</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99,671,780.00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Schedule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Jurisdiction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Loan</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Excluded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Party</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60"/>
              <w:spacing w:after="0"/>
              <w:rPr>
                <w:sz w:val="20"/>
                <w:szCs w:val="20"/>
                <w:color w:val="auto"/>
              </w:rPr>
            </w:pPr>
            <w:r>
              <w:rPr>
                <w:rFonts w:ascii="Arial" w:cs="Arial" w:eastAsia="Arial" w:hAnsi="Arial"/>
                <w:sz w:val="18"/>
                <w:szCs w:val="18"/>
                <w:b w:val="1"/>
                <w:bCs w:val="1"/>
                <w:color w:val="auto"/>
              </w:rPr>
              <w:t>Certificate</w:t>
            </w:r>
          </w:p>
        </w:tc>
      </w:tr>
      <w:tr>
        <w:trPr>
          <w:trHeight w:val="234"/>
        </w:trPr>
        <w:tc>
          <w:tcPr>
            <w:tcW w:w="20" w:type="dxa"/>
            <w:vAlign w:val="bottom"/>
          </w:tcPr>
          <w:p>
            <w:pPr>
              <w:spacing w:after="0"/>
              <w:rPr>
                <w:sz w:val="20"/>
                <w:szCs w:val="20"/>
                <w:color w:val="auto"/>
              </w:rPr>
            </w:pPr>
          </w:p>
        </w:tc>
        <w:tc>
          <w:tcPr>
            <w:tcW w:w="1820" w:type="dxa"/>
            <w:vAlign w:val="bottom"/>
          </w:tcPr>
          <w:p>
            <w:pPr>
              <w:ind w:left="320"/>
              <w:spacing w:after="0"/>
              <w:rPr>
                <w:sz w:val="20"/>
                <w:szCs w:val="20"/>
                <w:color w:val="auto"/>
              </w:rPr>
            </w:pPr>
            <w:r>
              <w:rPr>
                <w:rFonts w:ascii="Arial" w:cs="Arial" w:eastAsia="Arial" w:hAnsi="Arial"/>
                <w:sz w:val="18"/>
                <w:szCs w:val="18"/>
                <w:b w:val="1"/>
                <w:bCs w:val="1"/>
                <w:color w:val="auto"/>
              </w:rPr>
              <w:t>Name of Entity</w:t>
            </w:r>
          </w:p>
        </w:tc>
        <w:tc>
          <w:tcPr>
            <w:tcW w:w="12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Organization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b w:val="1"/>
                <w:bCs w:val="1"/>
                <w:color w:val="auto"/>
              </w:rPr>
              <w:t>Owner of Entity</w:t>
            </w:r>
          </w:p>
        </w:tc>
        <w:tc>
          <w:tcPr>
            <w:tcW w:w="1940" w:type="dxa"/>
            <w:vAlign w:val="bottom"/>
          </w:tcPr>
          <w:p>
            <w:pPr>
              <w:ind w:left="500"/>
              <w:spacing w:after="0"/>
              <w:rPr>
                <w:sz w:val="20"/>
                <w:szCs w:val="20"/>
                <w:color w:val="auto"/>
              </w:rPr>
            </w:pPr>
            <w:r>
              <w:rPr>
                <w:rFonts w:ascii="Arial" w:cs="Arial" w:eastAsia="Arial" w:hAnsi="Arial"/>
                <w:sz w:val="18"/>
                <w:szCs w:val="18"/>
                <w:b w:val="1"/>
                <w:bCs w:val="1"/>
                <w:color w:val="auto"/>
              </w:rPr>
              <w:t>Information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ABM Aviation, Inc.</w:t>
            </w:r>
          </w:p>
        </w:tc>
        <w:tc>
          <w:tcPr>
            <w:tcW w:w="12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Yes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ABM Industries</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 #2</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GA</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7"/>
              </w:rPr>
              <w:t>ABM Building &amp; Energy</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Solutions, 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7"/>
              </w:rPr>
              <w:t>ABM Building Services,</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&amp; Energy</w:t>
            </w:r>
          </w:p>
        </w:tc>
        <w:tc>
          <w:tcPr>
            <w:tcW w:w="1940" w:type="dxa"/>
            <w:vAlign w:val="bottom"/>
          </w:tcPr>
          <w:p>
            <w:pPr>
              <w:spacing w:after="0"/>
              <w:rPr>
                <w:sz w:val="20"/>
                <w:szCs w:val="20"/>
                <w:color w:val="auto"/>
              </w:rPr>
            </w:pPr>
            <w:r>
              <w:rPr>
                <w:rFonts w:ascii="Arial" w:cs="Arial" w:eastAsia="Arial" w:hAnsi="Arial"/>
                <w:sz w:val="18"/>
                <w:szCs w:val="18"/>
                <w:color w:val="auto"/>
              </w:rPr>
              <w:t>Cert. #4</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LLC</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Building</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&amp; Energy</w:t>
            </w:r>
          </w:p>
        </w:tc>
        <w:tc>
          <w:tcPr>
            <w:tcW w:w="1940" w:type="dxa"/>
            <w:vAlign w:val="bottom"/>
          </w:tcPr>
          <w:p>
            <w:pPr>
              <w:spacing w:after="0"/>
              <w:rPr>
                <w:sz w:val="20"/>
                <w:szCs w:val="20"/>
                <w:color w:val="auto"/>
              </w:rPr>
            </w:pPr>
            <w:r>
              <w:rPr>
                <w:rFonts w:ascii="Arial" w:cs="Arial" w:eastAsia="Arial" w:hAnsi="Arial"/>
                <w:sz w:val="18"/>
                <w:szCs w:val="18"/>
                <w:color w:val="auto"/>
              </w:rPr>
              <w:t>Cert. #4</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Solutions, 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LLC</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Electrical &amp;</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Electrical &amp; Lighting</w:t>
            </w:r>
          </w:p>
        </w:tc>
        <w:tc>
          <w:tcPr>
            <w:tcW w:w="1940" w:type="dxa"/>
            <w:vAlign w:val="bottom"/>
          </w:tcPr>
          <w:p>
            <w:pPr>
              <w:spacing w:after="0"/>
              <w:rPr>
                <w:sz w:val="20"/>
                <w:szCs w:val="20"/>
                <w:color w:val="auto"/>
              </w:rPr>
            </w:pPr>
            <w:r>
              <w:rPr>
                <w:rFonts w:ascii="Arial" w:cs="Arial" w:eastAsia="Arial" w:hAnsi="Arial"/>
                <w:sz w:val="18"/>
                <w:szCs w:val="18"/>
                <w:color w:val="auto"/>
              </w:rPr>
              <w:t>Cert. #3</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Lighting Services, 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Inc.</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Electrical &amp;</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&amp; Energy</w:t>
            </w:r>
          </w:p>
        </w:tc>
        <w:tc>
          <w:tcPr>
            <w:tcW w:w="1940" w:type="dxa"/>
            <w:vAlign w:val="bottom"/>
          </w:tcPr>
          <w:p>
            <w:pPr>
              <w:spacing w:after="0"/>
              <w:rPr>
                <w:sz w:val="20"/>
                <w:szCs w:val="20"/>
                <w:color w:val="auto"/>
              </w:rPr>
            </w:pPr>
            <w:r>
              <w:rPr>
                <w:rFonts w:ascii="Arial" w:cs="Arial" w:eastAsia="Arial" w:hAnsi="Arial"/>
                <w:sz w:val="18"/>
                <w:szCs w:val="18"/>
                <w:color w:val="auto"/>
              </w:rPr>
              <w:t>Cert. #5</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Lighting Solutions,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LLC</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Electrical</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&amp; Energy</w:t>
            </w:r>
          </w:p>
        </w:tc>
        <w:tc>
          <w:tcPr>
            <w:tcW w:w="1940" w:type="dxa"/>
            <w:vAlign w:val="bottom"/>
          </w:tcPr>
          <w:p>
            <w:pPr>
              <w:spacing w:after="0"/>
              <w:rPr>
                <w:sz w:val="20"/>
                <w:szCs w:val="20"/>
                <w:color w:val="auto"/>
              </w:rPr>
            </w:pPr>
            <w:r>
              <w:rPr>
                <w:rFonts w:ascii="Arial" w:cs="Arial" w:eastAsia="Arial" w:hAnsi="Arial"/>
                <w:sz w:val="18"/>
                <w:szCs w:val="18"/>
                <w:color w:val="auto"/>
              </w:rPr>
              <w:t>Cert. #5</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Network,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LLC</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Electrical Power</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&amp; Energy</w:t>
            </w:r>
          </w:p>
        </w:tc>
        <w:tc>
          <w:tcPr>
            <w:tcW w:w="1940" w:type="dxa"/>
            <w:vAlign w:val="bottom"/>
          </w:tcPr>
          <w:p>
            <w:pPr>
              <w:spacing w:after="0"/>
              <w:rPr>
                <w:sz w:val="20"/>
                <w:szCs w:val="20"/>
                <w:color w:val="auto"/>
              </w:rPr>
            </w:pPr>
            <w:r>
              <w:rPr>
                <w:rFonts w:ascii="Arial" w:cs="Arial" w:eastAsia="Arial" w:hAnsi="Arial"/>
                <w:sz w:val="18"/>
                <w:szCs w:val="18"/>
                <w:color w:val="auto"/>
              </w:rPr>
              <w:t>Cert. #4</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Services, 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LLC</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Electrical Power</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&amp; Energy</w:t>
            </w:r>
          </w:p>
        </w:tc>
        <w:tc>
          <w:tcPr>
            <w:tcW w:w="1940" w:type="dxa"/>
            <w:vAlign w:val="bottom"/>
          </w:tcPr>
          <w:p>
            <w:pPr>
              <w:spacing w:after="0"/>
              <w:rPr>
                <w:sz w:val="20"/>
                <w:szCs w:val="20"/>
                <w:color w:val="auto"/>
              </w:rPr>
            </w:pPr>
            <w:r>
              <w:rPr>
                <w:rFonts w:ascii="Arial" w:cs="Arial" w:eastAsia="Arial" w:hAnsi="Arial"/>
                <w:sz w:val="18"/>
                <w:szCs w:val="18"/>
                <w:color w:val="auto"/>
              </w:rPr>
              <w:t>Cert. #4</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Solutions, 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LLC</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Facility Support</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&amp; Energy</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Services, 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Solutions, LLC</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ABM Franchising</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#4</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Group, LLC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7"/>
              </w:rPr>
              <w:t>ABM General Services,</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648"/>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27" w:name="page228"/>
    <w:bookmarkEnd w:id="227"/>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Name of Entity</w:t>
      </w:r>
    </w:p>
    <w:p>
      <w:pPr>
        <w:spacing w:after="0" w:line="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ABM Healthcare Support Services, Inc. ABM Industrial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11664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ABM Industry Groups, LLC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ABM – Midcity Parking,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ABM Security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1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ABM Texas General Services, Inc.</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ABM UK Investments 1 LP</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ABM US International Holdco 1, LLC</w:t>
      </w:r>
    </w:p>
    <w:p>
      <w:pPr>
        <w:spacing w:after="0" w:line="14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Associated Facility Management, LLC</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Associated Facility Ventures, LLC</w:t>
      </w:r>
    </w:p>
    <w:p>
      <w:pPr>
        <w:spacing w:after="0" w:line="124"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Aviation Services Alliance, LLC Erie Acquisition Holdings, Inc.</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Erie Merger Holdings,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Jurisdiction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Loan</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Excluded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Party</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60"/>
              <w:spacing w:after="0"/>
              <w:rPr>
                <w:sz w:val="20"/>
                <w:szCs w:val="20"/>
                <w:color w:val="auto"/>
              </w:rPr>
            </w:pPr>
            <w:r>
              <w:rPr>
                <w:rFonts w:ascii="Arial" w:cs="Arial" w:eastAsia="Arial" w:hAnsi="Arial"/>
                <w:sz w:val="18"/>
                <w:szCs w:val="18"/>
                <w:b w:val="1"/>
                <w:bCs w:val="1"/>
                <w:color w:val="auto"/>
              </w:rPr>
              <w:t>Certificate</w:t>
            </w: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Owner of Entity</w:t>
            </w:r>
          </w:p>
        </w:tc>
        <w:tc>
          <w:tcPr>
            <w:tcW w:w="100" w:type="dxa"/>
            <w:vAlign w:val="bottom"/>
          </w:tcPr>
          <w:p>
            <w:pPr>
              <w:spacing w:after="0"/>
              <w:rPr>
                <w:sz w:val="20"/>
                <w:szCs w:val="20"/>
                <w:color w:val="auto"/>
              </w:rPr>
            </w:pPr>
          </w:p>
        </w:tc>
        <w:tc>
          <w:tcPr>
            <w:tcW w:w="19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195"/>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MI</w:t>
            </w:r>
          </w:p>
        </w:tc>
        <w:tc>
          <w:tcPr>
            <w:tcW w:w="1600" w:type="dxa"/>
            <w:vAlign w:val="bottom"/>
          </w:tcPr>
          <w:p>
            <w:pPr>
              <w:spacing w:after="0" w:line="195" w:lineRule="exact"/>
              <w:rPr>
                <w:sz w:val="20"/>
                <w:szCs w:val="20"/>
                <w:color w:val="auto"/>
              </w:rPr>
            </w:pPr>
            <w:r>
              <w:rPr>
                <w:rFonts w:ascii="Arial" w:cs="Arial" w:eastAsia="Arial" w:hAnsi="Arial"/>
                <w:sz w:val="18"/>
                <w:szCs w:val="18"/>
                <w:color w:val="auto"/>
              </w:rPr>
              <w:t>Yes</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color w:val="auto"/>
              </w:rPr>
              <w:t>No</w:t>
            </w:r>
          </w:p>
        </w:tc>
        <w:tc>
          <w:tcPr>
            <w:tcW w:w="10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ABM Industries</w:t>
            </w:r>
          </w:p>
        </w:tc>
        <w:tc>
          <w:tcPr>
            <w:tcW w:w="10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Cert. #2</w:t>
            </w:r>
          </w:p>
        </w:tc>
        <w:tc>
          <w:tcPr>
            <w:tcW w:w="0" w:type="dxa"/>
            <w:vAlign w:val="bottom"/>
          </w:tcPr>
          <w:p>
            <w:pPr>
              <w:spacing w:after="0"/>
              <w:rPr>
                <w:sz w:val="1"/>
                <w:szCs w:val="1"/>
                <w:color w:val="auto"/>
              </w:rPr>
            </w:pPr>
          </w:p>
        </w:tc>
      </w:tr>
      <w:tr>
        <w:trPr>
          <w:trHeight w:val="122"/>
        </w:trPr>
        <w:tc>
          <w:tcPr>
            <w:tcW w:w="196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60" w:type="dxa"/>
            <w:vAlign w:val="bottom"/>
            <w:gridSpan w:val="3"/>
            <w:vMerge w:val="restart"/>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vMerge w:val="restart"/>
          </w:tcPr>
          <w:p>
            <w:pPr>
              <w:spacing w:after="0"/>
              <w:rPr>
                <w:sz w:val="20"/>
                <w:szCs w:val="20"/>
                <w:color w:val="auto"/>
              </w:rPr>
            </w:pPr>
            <w:r>
              <w:rPr>
                <w:rFonts w:ascii="Arial" w:cs="Arial" w:eastAsia="Arial" w:hAnsi="Arial"/>
                <w:sz w:val="18"/>
                <w:szCs w:val="18"/>
                <w:color w:val="auto"/>
              </w:rPr>
              <w:t>50,000 common shares</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30"/>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55% - ABM Aviation,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96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#6</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CA</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rPr>
              <w:t>150 shares of common</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99% - ABM Aviation,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UK</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w w:val="99"/>
              </w:rPr>
              <w:t>1% - ABM US International</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Holdco 1, LLC</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Aviation, Inc.</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NV</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NV</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30"/>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51% - ABM Aviation,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96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Intermediate Holding</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Corp.</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Erie Acquisition Holdings,</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196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60" w:type="dxa"/>
            <w:vAlign w:val="bottom"/>
            <w:gridSpan w:val="3"/>
            <w:vMerge w:val="restart"/>
          </w:tcPr>
          <w:p>
            <w:pPr>
              <w:ind w:left="100"/>
              <w:spacing w:after="0"/>
              <w:rPr>
                <w:sz w:val="20"/>
                <w:szCs w:val="20"/>
                <w:color w:val="auto"/>
              </w:rPr>
            </w:pPr>
            <w:r>
              <w:rPr>
                <w:rFonts w:ascii="Arial" w:cs="Arial" w:eastAsia="Arial" w:hAnsi="Arial"/>
                <w:sz w:val="18"/>
                <w:szCs w:val="18"/>
                <w:color w:val="auto"/>
              </w:rPr>
              <w:t>Inc.</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411480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820" w:space="140"/>
            <w:col w:w="9460"/>
          </w:cols>
          <w:pgMar w:left="240" w:top="905" w:right="239" w:bottom="1440" w:gutter="0" w:footer="0" w:header="0"/>
        </w:sectPr>
      </w:pPr>
    </w:p>
    <w:bookmarkStart w:id="228" w:name="page229"/>
    <w:bookmarkEnd w:id="228"/>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Name of Entity</w:t>
      </w:r>
    </w:p>
    <w:p>
      <w:pPr>
        <w:spacing w:after="0" w:line="2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FCI Servicos de Mexico S.A.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1664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Five Star U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Metropolitan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Airport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Parking,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FSP PPM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Cleaning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Specialties,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GCA Commercial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Services of Midwest,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GCA Education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Central States,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GCA Education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Midwest,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GCA Education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New England, LLC</w:t>
      </w:r>
    </w:p>
    <w:p>
      <w:pPr>
        <w:spacing w:after="0" w:line="21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GCA Education Services,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GCA Energy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GCA Facility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Maintenance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Intermediate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Holding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Management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br w:type="column"/>
      </w:r>
    </w:p>
    <w:p>
      <w:pPr>
        <w:jc w:val="center"/>
        <w:ind w:left="-419"/>
        <w:spacing w:after="0"/>
        <w:rPr>
          <w:sz w:val="20"/>
          <w:szCs w:val="20"/>
          <w:color w:val="auto"/>
        </w:rPr>
      </w:pPr>
      <w:r>
        <w:rPr>
          <w:rFonts w:ascii="Arial" w:cs="Arial" w:eastAsia="Arial" w:hAnsi="Arial"/>
          <w:sz w:val="17"/>
          <w:szCs w:val="17"/>
          <w:b w:val="1"/>
          <w:bCs w:val="1"/>
          <w:color w:val="auto"/>
        </w:rPr>
        <w:t>Jurisdiction</w:t>
      </w:r>
    </w:p>
    <w:p>
      <w:pPr>
        <w:spacing w:after="0" w:line="39" w:lineRule="exact"/>
        <w:rPr>
          <w:sz w:val="20"/>
          <w:szCs w:val="20"/>
          <w:color w:val="auto"/>
        </w:rPr>
      </w:pPr>
    </w:p>
    <w:p>
      <w:pPr>
        <w:jc w:val="center"/>
        <w:ind w:left="-4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left="-419"/>
        <w:spacing w:after="0"/>
        <w:rPr>
          <w:sz w:val="20"/>
          <w:szCs w:val="20"/>
          <w:color w:val="auto"/>
        </w:rPr>
      </w:pPr>
      <w:r>
        <w:rPr>
          <w:rFonts w:ascii="Arial" w:cs="Arial" w:eastAsia="Arial" w:hAnsi="Arial"/>
          <w:sz w:val="16"/>
          <w:szCs w:val="16"/>
          <w:b w:val="1"/>
          <w:bCs w:val="1"/>
          <w:color w:val="auto"/>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1664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Loan</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Excluded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Party</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60"/>
              <w:spacing w:after="0"/>
              <w:rPr>
                <w:sz w:val="20"/>
                <w:szCs w:val="20"/>
                <w:color w:val="auto"/>
              </w:rPr>
            </w:pPr>
            <w:r>
              <w:rPr>
                <w:rFonts w:ascii="Arial" w:cs="Arial" w:eastAsia="Arial" w:hAnsi="Arial"/>
                <w:sz w:val="18"/>
                <w:szCs w:val="18"/>
                <w:b w:val="1"/>
                <w:bCs w:val="1"/>
                <w:color w:val="auto"/>
              </w:rPr>
              <w:t>Certificate</w:t>
            </w:r>
          </w:p>
        </w:tc>
        <w:tc>
          <w:tcPr>
            <w:tcW w:w="0" w:type="dxa"/>
            <w:vAlign w:val="bottom"/>
          </w:tcPr>
          <w:p>
            <w:pPr>
              <w:spacing w:after="0"/>
              <w:rPr>
                <w:sz w:val="1"/>
                <w:szCs w:val="1"/>
                <w:color w:val="auto"/>
              </w:rPr>
            </w:pPr>
          </w:p>
        </w:tc>
      </w:tr>
      <w:tr>
        <w:trPr>
          <w:trHeight w:val="234"/>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b w:val="1"/>
                <w:bCs w:val="1"/>
                <w:color w:val="auto"/>
              </w:rPr>
              <w:t>Owner of Entity</w:t>
            </w:r>
          </w:p>
        </w:tc>
        <w:tc>
          <w:tcPr>
            <w:tcW w:w="1940" w:type="dxa"/>
            <w:vAlign w:val="bottom"/>
          </w:tcPr>
          <w:p>
            <w:pPr>
              <w:ind w:left="500"/>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Yes</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99% - OneSource Holdings,</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1% - OneSource Facility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Services, Inc.</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60% - ABM Aviation,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64"/>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51% - ABM Aviation,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Associated Facility</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w w:val="99"/>
              </w:rPr>
              <w:t>Management LLC (general</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partner) – 1%</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Associated Facility</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Ventures, LLC (limited</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partners) – 99%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34"/>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#12: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66 shares of common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300,000 units of</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membership interests</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#18: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6"/>
              </w:rPr>
              <w:t>3,740 shares of common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 shares of common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vMerge w:val="restart"/>
          </w:tcPr>
          <w:p>
            <w:pPr>
              <w:ind w:left="100"/>
              <w:spacing w:after="0"/>
              <w:rPr>
                <w:sz w:val="20"/>
                <w:szCs w:val="20"/>
                <w:color w:val="auto"/>
              </w:rPr>
            </w:pPr>
            <w:r>
              <w:rPr>
                <w:rFonts w:ascii="Arial" w:cs="Arial" w:eastAsia="Arial" w:hAnsi="Arial"/>
                <w:sz w:val="18"/>
                <w:szCs w:val="18"/>
                <w:color w:val="auto"/>
              </w:rPr>
              <w:t>Grade Sub Two, LLC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685800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3">
            <w:col w:w="1820" w:space="140"/>
            <w:col w:w="1440" w:space="520"/>
            <w:col w:w="7500"/>
          </w:cols>
          <w:pgMar w:left="240" w:top="905" w:right="2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Jurisdiction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Loan</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Excluded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Party</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60"/>
              <w:spacing w:after="0"/>
              <w:rPr>
                <w:sz w:val="20"/>
                <w:szCs w:val="20"/>
                <w:color w:val="auto"/>
              </w:rPr>
            </w:pPr>
            <w:r>
              <w:rPr>
                <w:rFonts w:ascii="Arial" w:cs="Arial" w:eastAsia="Arial" w:hAnsi="Arial"/>
                <w:sz w:val="18"/>
                <w:szCs w:val="18"/>
                <w:b w:val="1"/>
                <w:bCs w:val="1"/>
                <w:color w:val="auto"/>
              </w:rPr>
              <w:t>Certificate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ind w:left="320"/>
              <w:spacing w:after="0"/>
              <w:rPr>
                <w:sz w:val="20"/>
                <w:szCs w:val="20"/>
                <w:color w:val="auto"/>
              </w:rPr>
            </w:pPr>
            <w:r>
              <w:rPr>
                <w:rFonts w:ascii="Arial" w:cs="Arial" w:eastAsia="Arial" w:hAnsi="Arial"/>
                <w:sz w:val="18"/>
                <w:szCs w:val="18"/>
                <w:b w:val="1"/>
                <w:bCs w:val="1"/>
                <w:color w:val="auto"/>
              </w:rPr>
              <w:t>Name of Entity</w:t>
            </w:r>
          </w:p>
        </w:tc>
        <w:tc>
          <w:tcPr>
            <w:tcW w:w="12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Organization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b w:val="1"/>
                <w:bCs w:val="1"/>
                <w:color w:val="auto"/>
              </w:rPr>
              <w:t>Owner of Entity</w:t>
            </w:r>
          </w:p>
        </w:tc>
        <w:tc>
          <w:tcPr>
            <w:tcW w:w="1940" w:type="dxa"/>
            <w:vAlign w:val="bottom"/>
          </w:tcPr>
          <w:p>
            <w:pPr>
              <w:ind w:left="500"/>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GCA K12 Education</w:t>
            </w:r>
          </w:p>
        </w:tc>
        <w:tc>
          <w:tcPr>
            <w:tcW w:w="12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Yes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GCA Services Group, Inc.</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 #25:</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Services,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TX</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2"/>
              </w:rPr>
              <w:t>10,000 shares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GCA Nuclear Facility</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#5:</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Services,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TX</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1"/>
              </w:rPr>
              <w:t>GCA Plumbing Services,</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w w:val="96"/>
              </w:rPr>
              <w:t>GCA Services Group, Inc. –</w:t>
            </w:r>
          </w:p>
        </w:tc>
        <w:tc>
          <w:tcPr>
            <w:tcW w:w="1940" w:type="dxa"/>
            <w:vAlign w:val="bottom"/>
          </w:tcPr>
          <w:p>
            <w:pPr>
              <w:spacing w:after="0"/>
              <w:rPr>
                <w:sz w:val="20"/>
                <w:szCs w:val="20"/>
                <w:color w:val="auto"/>
              </w:rPr>
            </w:pPr>
            <w:r>
              <w:rPr>
                <w:rFonts w:ascii="Arial" w:cs="Arial" w:eastAsia="Arial" w:hAnsi="Arial"/>
                <w:sz w:val="18"/>
                <w:szCs w:val="18"/>
                <w:color w:val="auto"/>
              </w:rPr>
              <w:t>Cert. #C-3:</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Inc.</w:t>
            </w:r>
          </w:p>
        </w:tc>
        <w:tc>
          <w:tcPr>
            <w:tcW w:w="2080" w:type="dxa"/>
            <w:vAlign w:val="bottom"/>
            <w:gridSpan w:val="3"/>
            <w:vMerge w:val="restart"/>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90 shares of common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60" w:type="dxa"/>
            <w:vAlign w:val="bottom"/>
            <w:gridSpan w:val="3"/>
            <w:vMerge w:val="restart"/>
          </w:tcPr>
          <w:p>
            <w:pPr>
              <w:ind w:left="100"/>
              <w:spacing w:after="0"/>
              <w:rPr>
                <w:sz w:val="20"/>
                <w:szCs w:val="20"/>
                <w:color w:val="auto"/>
              </w:rPr>
            </w:pPr>
            <w:r>
              <w:rPr>
                <w:rFonts w:ascii="Arial" w:cs="Arial" w:eastAsia="Arial" w:hAnsi="Arial"/>
                <w:sz w:val="18"/>
                <w:szCs w:val="18"/>
                <w:color w:val="auto"/>
              </w:rPr>
              <w:t>Steve Wasserman – 10%</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60" w:type="dxa"/>
            <w:vAlign w:val="bottom"/>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GCA Production</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#C-1:</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Services,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GCA Services Group</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Associated Facility</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Mountain States, L.P.</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w w:val="99"/>
              </w:rPr>
              <w:t>Management LLC (general</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80" w:type="dxa"/>
            <w:vAlign w:val="bottom"/>
            <w:gridSpan w:val="3"/>
            <w:vMerge w:val="restart"/>
          </w:tcPr>
          <w:p>
            <w:pPr>
              <w:ind w:left="120"/>
              <w:spacing w:after="0"/>
              <w:rPr>
                <w:sz w:val="20"/>
                <w:szCs w:val="20"/>
                <w:color w:val="auto"/>
              </w:rPr>
            </w:pPr>
            <w:r>
              <w:rPr>
                <w:rFonts w:ascii="Arial" w:cs="Arial" w:eastAsia="Arial" w:hAnsi="Arial"/>
                <w:sz w:val="18"/>
                <w:szCs w:val="18"/>
                <w:color w:val="auto"/>
              </w:rPr>
              <w:t>TX</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partner) – 1%</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vMerge w:val="restart"/>
          </w:tcPr>
          <w:p>
            <w:pPr>
              <w:ind w:left="100"/>
              <w:spacing w:after="0"/>
              <w:rPr>
                <w:sz w:val="20"/>
                <w:szCs w:val="20"/>
                <w:color w:val="auto"/>
              </w:rPr>
            </w:pPr>
            <w:r>
              <w:rPr>
                <w:rFonts w:ascii="Arial" w:cs="Arial" w:eastAsia="Arial" w:hAnsi="Arial"/>
                <w:sz w:val="18"/>
                <w:szCs w:val="18"/>
                <w:color w:val="auto"/>
              </w:rPr>
              <w:t>Associated Facility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60" w:type="dxa"/>
            <w:vAlign w:val="bottom"/>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Ventures, LLC (limited</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partners) – 99%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6"/>
              </w:rPr>
              <w:t>GCA Services Group of</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#26:</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California,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CA</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307,778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6"/>
              </w:rPr>
              <w:t>GCA Services Group of</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#9:</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Colorado,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CO</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6"/>
              </w:rPr>
              <w:t>4,000 shares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6"/>
              </w:rPr>
              <w:t>GCA Services Group of</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#19:</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North Carolina,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NC</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6"/>
              </w:rPr>
              <w:t>1,129 shares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6"/>
              </w:rPr>
              <w:t>GCA Services Group of</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#8:</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0"/>
              </w:rPr>
              <w:t>Northwestern States, 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WA</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41 shares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6"/>
              </w:rPr>
              <w:t>GCA Services Group of</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Associated Facility</w:t>
            </w:r>
          </w:p>
        </w:tc>
        <w:tc>
          <w:tcPr>
            <w:tcW w:w="19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Texas, L.P.</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w w:val="99"/>
              </w:rPr>
              <w:t>Management LLC (general</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80" w:type="dxa"/>
            <w:vAlign w:val="bottom"/>
            <w:gridSpan w:val="3"/>
            <w:vMerge w:val="restart"/>
          </w:tcPr>
          <w:p>
            <w:pPr>
              <w:ind w:left="120"/>
              <w:spacing w:after="0"/>
              <w:rPr>
                <w:sz w:val="20"/>
                <w:szCs w:val="20"/>
                <w:color w:val="auto"/>
              </w:rPr>
            </w:pPr>
            <w:r>
              <w:rPr>
                <w:rFonts w:ascii="Arial" w:cs="Arial" w:eastAsia="Arial" w:hAnsi="Arial"/>
                <w:sz w:val="18"/>
                <w:szCs w:val="18"/>
                <w:color w:val="auto"/>
              </w:rPr>
              <w:t>TX</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partner) – 1%</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vMerge w:val="restart"/>
          </w:tcPr>
          <w:p>
            <w:pPr>
              <w:ind w:left="100"/>
              <w:spacing w:after="0"/>
              <w:rPr>
                <w:sz w:val="20"/>
                <w:szCs w:val="20"/>
                <w:color w:val="auto"/>
              </w:rPr>
            </w:pPr>
            <w:r>
              <w:rPr>
                <w:rFonts w:ascii="Arial" w:cs="Arial" w:eastAsia="Arial" w:hAnsi="Arial"/>
                <w:sz w:val="18"/>
                <w:szCs w:val="18"/>
                <w:color w:val="auto"/>
              </w:rPr>
              <w:t>Associated Facility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60" w:type="dxa"/>
            <w:vAlign w:val="bottom"/>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Ventures, LLC (limited</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partners) – 99%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GCA Services Group,</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Erie Merger Holdings, LLC</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Inc.</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DE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 shares of common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230" w:name="page231"/>
    <w:bookmarkEnd w:id="230"/>
    <w:p>
      <w:pPr>
        <w:spacing w:after="0" w:line="200" w:lineRule="exact"/>
        <w:rPr>
          <w:sz w:val="20"/>
          <w:szCs w:val="20"/>
          <w:color w:val="auto"/>
        </w:rPr>
      </w:pPr>
    </w:p>
    <w:p>
      <w:pPr>
        <w:spacing w:after="0" w:line="232" w:lineRule="exact"/>
        <w:rPr>
          <w:sz w:val="20"/>
          <w:szCs w:val="20"/>
          <w:color w:val="auto"/>
        </w:rPr>
      </w:pPr>
    </w:p>
    <w:p>
      <w:pPr>
        <w:ind w:right="240" w:firstLine="333"/>
        <w:spacing w:after="0" w:line="365" w:lineRule="auto"/>
        <w:rPr>
          <w:sz w:val="20"/>
          <w:szCs w:val="20"/>
          <w:color w:val="auto"/>
        </w:rPr>
      </w:pPr>
      <w:r>
        <w:rPr>
          <w:rFonts w:ascii="Arial" w:cs="Arial" w:eastAsia="Arial" w:hAnsi="Arial"/>
          <w:sz w:val="16"/>
          <w:szCs w:val="16"/>
          <w:b w:val="1"/>
          <w:bCs w:val="1"/>
          <w:color w:val="auto"/>
        </w:rPr>
        <w:t xml:space="preserve">Name of Entity </w:t>
      </w:r>
      <w:r>
        <w:rPr>
          <w:rFonts w:ascii="Arial" w:cs="Arial" w:eastAsia="Arial" w:hAnsi="Arial"/>
          <w:sz w:val="16"/>
          <w:szCs w:val="16"/>
          <w:color w:val="auto"/>
        </w:rPr>
        <w:t>GCA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664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GCA Specialty Services LLC</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GCA Staffing Services,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Grade Sub Two, LLC</w:t>
      </w:r>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GreenHomes America,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IFM Assurance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Iraq, LLC</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Linc Facility Services ME, LLC</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Linc Facility Services Saudi Arabia, LLC Linc International, Inc.</w:t>
      </w: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Mechanical Solutions, Inc.</w:t>
      </w:r>
    </w:p>
    <w:p>
      <w:pPr>
        <w:spacing w:after="0" w:line="20" w:lineRule="exact"/>
        <w:rPr>
          <w:sz w:val="20"/>
          <w:szCs w:val="20"/>
          <w:color w:val="auto"/>
        </w:rPr>
      </w:pPr>
      <w:r>
        <w:rPr>
          <w:sz w:val="20"/>
          <w:szCs w:val="20"/>
          <w:color w:val="auto"/>
        </w:rPr>
        <w:br w:type="column"/>
      </w:r>
    </w:p>
    <w:p>
      <w:pPr>
        <w:jc w:val="center"/>
        <w:ind w:left="-419"/>
        <w:spacing w:after="0"/>
        <w:rPr>
          <w:sz w:val="20"/>
          <w:szCs w:val="20"/>
          <w:color w:val="auto"/>
        </w:rPr>
      </w:pPr>
      <w:r>
        <w:rPr>
          <w:rFonts w:ascii="Arial" w:cs="Arial" w:eastAsia="Arial" w:hAnsi="Arial"/>
          <w:sz w:val="17"/>
          <w:szCs w:val="17"/>
          <w:b w:val="1"/>
          <w:bCs w:val="1"/>
          <w:color w:val="auto"/>
        </w:rPr>
        <w:t>Jurisdiction</w:t>
      </w:r>
    </w:p>
    <w:p>
      <w:pPr>
        <w:spacing w:after="0" w:line="39" w:lineRule="exact"/>
        <w:rPr>
          <w:sz w:val="20"/>
          <w:szCs w:val="20"/>
          <w:color w:val="auto"/>
        </w:rPr>
      </w:pPr>
    </w:p>
    <w:p>
      <w:pPr>
        <w:jc w:val="center"/>
        <w:ind w:left="-4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left="-419"/>
        <w:spacing w:after="0"/>
        <w:rPr>
          <w:sz w:val="20"/>
          <w:szCs w:val="20"/>
          <w:color w:val="auto"/>
        </w:rPr>
      </w:pPr>
      <w:r>
        <w:rPr>
          <w:rFonts w:ascii="Arial" w:cs="Arial" w:eastAsia="Arial" w:hAnsi="Arial"/>
          <w:sz w:val="16"/>
          <w:szCs w:val="16"/>
          <w:b w:val="1"/>
          <w:bCs w:val="1"/>
          <w:color w:val="auto"/>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1664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Loan</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Excluded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Party</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60"/>
              <w:spacing w:after="0"/>
              <w:rPr>
                <w:sz w:val="20"/>
                <w:szCs w:val="20"/>
                <w:color w:val="auto"/>
              </w:rPr>
            </w:pPr>
            <w:r>
              <w:rPr>
                <w:rFonts w:ascii="Arial" w:cs="Arial" w:eastAsia="Arial" w:hAnsi="Arial"/>
                <w:sz w:val="18"/>
                <w:szCs w:val="18"/>
                <w:b w:val="1"/>
                <w:bCs w:val="1"/>
                <w:color w:val="auto"/>
              </w:rPr>
              <w:t>Certificate</w:t>
            </w:r>
          </w:p>
        </w:tc>
      </w:tr>
      <w:tr>
        <w:trPr>
          <w:trHeight w:val="234"/>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b w:val="1"/>
                <w:bCs w:val="1"/>
                <w:color w:val="auto"/>
              </w:rPr>
              <w:t>Owner of Entity</w:t>
            </w:r>
          </w:p>
        </w:tc>
        <w:tc>
          <w:tcPr>
            <w:tcW w:w="1940" w:type="dxa"/>
            <w:vAlign w:val="bottom"/>
          </w:tcPr>
          <w:p>
            <w:pPr>
              <w:ind w:left="500"/>
              <w:spacing w:after="0"/>
              <w:rPr>
                <w:sz w:val="20"/>
                <w:szCs w:val="20"/>
                <w:color w:val="auto"/>
              </w:rPr>
            </w:pPr>
            <w:r>
              <w:rPr>
                <w:rFonts w:ascii="Arial" w:cs="Arial" w:eastAsia="Arial" w:hAnsi="Arial"/>
                <w:sz w:val="18"/>
                <w:szCs w:val="18"/>
                <w:b w:val="1"/>
                <w:bCs w:val="1"/>
                <w:color w:val="auto"/>
              </w:rPr>
              <w:t>Information</w:t>
            </w: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Yes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GCA Services Group, Inc.</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 #C-1:</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 shares of common</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Services Group, Inc.</w:t>
            </w:r>
          </w:p>
        </w:tc>
        <w:tc>
          <w:tcPr>
            <w:tcW w:w="1940" w:type="dxa"/>
            <w:vAlign w:val="bottom"/>
          </w:tcPr>
          <w:p>
            <w:pPr>
              <w:spacing w:after="0"/>
              <w:rPr>
                <w:sz w:val="20"/>
                <w:szCs w:val="20"/>
                <w:color w:val="auto"/>
              </w:rPr>
            </w:pPr>
            <w:r>
              <w:rPr>
                <w:rFonts w:ascii="Arial" w:cs="Arial" w:eastAsia="Arial" w:hAnsi="Arial"/>
                <w:sz w:val="18"/>
                <w:szCs w:val="18"/>
                <w:color w:val="auto"/>
              </w:rPr>
              <w:t>Cert. #4:</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GCA Production Services,</w:t>
            </w:r>
          </w:p>
        </w:tc>
        <w:tc>
          <w:tcPr>
            <w:tcW w:w="1940" w:type="dxa"/>
            <w:vAlign w:val="bottom"/>
          </w:tcPr>
          <w:p>
            <w:pPr>
              <w:spacing w:after="0"/>
              <w:rPr>
                <w:sz w:val="20"/>
                <w:szCs w:val="20"/>
                <w:color w:val="auto"/>
              </w:rPr>
            </w:pPr>
            <w:r>
              <w:rPr>
                <w:rFonts w:ascii="Arial" w:cs="Arial" w:eastAsia="Arial" w:hAnsi="Arial"/>
                <w:sz w:val="18"/>
                <w:szCs w:val="18"/>
                <w:color w:val="auto"/>
              </w:rPr>
              <w:t>Cert. #C-1:</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w:t>
            </w:r>
          </w:p>
        </w:tc>
        <w:tc>
          <w:tcPr>
            <w:tcW w:w="1940" w:type="dxa"/>
            <w:vAlign w:val="bottom"/>
          </w:tcPr>
          <w:p>
            <w:pPr>
              <w:spacing w:after="0"/>
              <w:rPr>
                <w:sz w:val="20"/>
                <w:szCs w:val="20"/>
                <w:color w:val="auto"/>
              </w:rPr>
            </w:pPr>
            <w:r>
              <w:rPr>
                <w:rFonts w:ascii="Arial" w:cs="Arial" w:eastAsia="Arial" w:hAnsi="Arial"/>
                <w:sz w:val="18"/>
                <w:szCs w:val="18"/>
                <w:color w:val="auto"/>
              </w:rPr>
              <w:t>100 shares of common</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Franchising Group</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Linc International, Inc.</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Linc International, Inc.</w:t>
            </w:r>
          </w:p>
        </w:tc>
        <w:tc>
          <w:tcPr>
            <w:tcW w:w="1940" w:type="dxa"/>
            <w:vAlign w:val="bottom"/>
          </w:tcPr>
          <w:p>
            <w:pPr>
              <w:spacing w:after="0"/>
              <w:rPr>
                <w:sz w:val="20"/>
                <w:szCs w:val="20"/>
                <w:color w:val="auto"/>
              </w:rPr>
            </w:pPr>
            <w:r>
              <w:rPr>
                <w:rFonts w:ascii="Arial" w:cs="Arial" w:eastAsia="Arial" w:hAnsi="Arial"/>
                <w:sz w:val="18"/>
                <w:szCs w:val="18"/>
                <w:color w:val="auto"/>
              </w:rPr>
              <w:t>Cert. #1</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65% - Linc Facility</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Services ME, LLC</w:t>
            </w:r>
          </w:p>
        </w:tc>
        <w:tc>
          <w:tcPr>
            <w:tcW w:w="19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Building Services,</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940" w:type="dxa"/>
            <w:vAlign w:val="bottom"/>
          </w:tcPr>
          <w:p>
            <w:pPr>
              <w:spacing w:after="0"/>
              <w:rPr>
                <w:sz w:val="20"/>
                <w:szCs w:val="20"/>
                <w:color w:val="auto"/>
              </w:rPr>
            </w:pPr>
            <w:r>
              <w:rPr>
                <w:rFonts w:ascii="Arial" w:cs="Arial" w:eastAsia="Arial" w:hAnsi="Arial"/>
                <w:sz w:val="18"/>
                <w:szCs w:val="18"/>
                <w:color w:val="auto"/>
              </w:rPr>
              <w:t>900 shares of common</w:t>
            </w:r>
          </w:p>
        </w:tc>
      </w:tr>
      <w:tr>
        <w:trPr>
          <w:trHeight w:val="230"/>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411480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3">
            <w:col w:w="1760" w:space="200"/>
            <w:col w:w="1440" w:space="520"/>
            <w:col w:w="7500"/>
          </w:cols>
          <w:pgMar w:left="240" w:top="905" w:right="239" w:bottom="1440" w:gutter="0" w:footer="0" w:header="0"/>
        </w:sectPr>
      </w:pPr>
    </w:p>
    <w:bookmarkStart w:id="231" w:name="page232"/>
    <w:bookmarkEnd w:id="231"/>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Name of Entity</w:t>
      </w:r>
    </w:p>
    <w:p>
      <w:pPr>
        <w:spacing w:after="0" w:line="27" w:lineRule="exact"/>
        <w:rPr>
          <w:sz w:val="20"/>
          <w:szCs w:val="20"/>
          <w:color w:val="auto"/>
        </w:rPr>
      </w:pPr>
    </w:p>
    <w:p>
      <w:pPr>
        <w:ind w:right="460"/>
        <w:spacing w:after="0" w:line="341" w:lineRule="auto"/>
        <w:rPr>
          <w:sz w:val="20"/>
          <w:szCs w:val="20"/>
          <w:color w:val="auto"/>
        </w:rPr>
      </w:pPr>
      <w:r>
        <w:rPr>
          <w:rFonts w:ascii="Arial" w:cs="Arial" w:eastAsia="Arial" w:hAnsi="Arial"/>
          <w:sz w:val="16"/>
          <w:szCs w:val="16"/>
          <w:color w:val="auto"/>
        </w:rPr>
        <w:t>National Building Maintenance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1664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0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OFJ Connections Omni Serv Limited</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OneSource Facility Services, Inc.</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OneSource Holdings, LLC</w:t>
      </w:r>
    </w:p>
    <w:p>
      <w:pPr>
        <w:spacing w:after="0" w:line="17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OneSource Holdings (Bermuda) Ltd OneSource Services, LLC</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OneSource Servicos de Mexico S.A. de C.V. OneSource Treasury, Inc. Wassl Al-Iraq Project Services &amp; General Contracting LLPC</w:t>
      </w:r>
    </w:p>
    <w:p>
      <w:pPr>
        <w:spacing w:after="0" w:line="20" w:lineRule="exact"/>
        <w:rPr>
          <w:sz w:val="20"/>
          <w:szCs w:val="20"/>
          <w:color w:val="auto"/>
        </w:rPr>
      </w:pPr>
      <w:r>
        <w:rPr>
          <w:sz w:val="20"/>
          <w:szCs w:val="20"/>
          <w:color w:val="auto"/>
        </w:rPr>
        <w:br w:type="column"/>
      </w:r>
    </w:p>
    <w:p>
      <w:pPr>
        <w:jc w:val="center"/>
        <w:ind w:left="-419"/>
        <w:spacing w:after="0"/>
        <w:rPr>
          <w:sz w:val="20"/>
          <w:szCs w:val="20"/>
          <w:color w:val="auto"/>
        </w:rPr>
      </w:pPr>
      <w:r>
        <w:rPr>
          <w:rFonts w:ascii="Arial" w:cs="Arial" w:eastAsia="Arial" w:hAnsi="Arial"/>
          <w:sz w:val="17"/>
          <w:szCs w:val="17"/>
          <w:b w:val="1"/>
          <w:bCs w:val="1"/>
          <w:color w:val="auto"/>
        </w:rPr>
        <w:t>Jurisdiction</w:t>
      </w:r>
    </w:p>
    <w:p>
      <w:pPr>
        <w:spacing w:after="0" w:line="39" w:lineRule="exact"/>
        <w:rPr>
          <w:sz w:val="20"/>
          <w:szCs w:val="20"/>
          <w:color w:val="auto"/>
        </w:rPr>
      </w:pPr>
    </w:p>
    <w:p>
      <w:pPr>
        <w:jc w:val="center"/>
        <w:ind w:left="-4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left="-419"/>
        <w:spacing w:after="0"/>
        <w:rPr>
          <w:sz w:val="20"/>
          <w:szCs w:val="20"/>
          <w:color w:val="auto"/>
        </w:rPr>
      </w:pPr>
      <w:r>
        <w:rPr>
          <w:rFonts w:ascii="Arial" w:cs="Arial" w:eastAsia="Arial" w:hAnsi="Arial"/>
          <w:sz w:val="16"/>
          <w:szCs w:val="16"/>
          <w:b w:val="1"/>
          <w:bCs w:val="1"/>
          <w:color w:val="auto"/>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1664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Belize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Iraq</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Loan</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Excluded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Party</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60"/>
              <w:spacing w:after="0"/>
              <w:rPr>
                <w:sz w:val="20"/>
                <w:szCs w:val="20"/>
                <w:color w:val="auto"/>
              </w:rPr>
            </w:pPr>
            <w:r>
              <w:rPr>
                <w:rFonts w:ascii="Arial" w:cs="Arial" w:eastAsia="Arial" w:hAnsi="Arial"/>
                <w:sz w:val="18"/>
                <w:szCs w:val="18"/>
                <w:b w:val="1"/>
                <w:bCs w:val="1"/>
                <w:color w:val="auto"/>
              </w:rPr>
              <w:t>Certificate</w:t>
            </w:r>
          </w:p>
        </w:tc>
      </w:tr>
      <w:tr>
        <w:trPr>
          <w:trHeight w:val="234"/>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(Yes/No)</w:t>
            </w:r>
          </w:p>
        </w:tc>
        <w:tc>
          <w:tcPr>
            <w:tcW w:w="100" w:type="dxa"/>
            <w:vAlign w:val="bottom"/>
          </w:tcPr>
          <w:p>
            <w:pPr>
              <w:spacing w:after="0"/>
              <w:rPr>
                <w:sz w:val="20"/>
                <w:szCs w:val="20"/>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b w:val="1"/>
                <w:bCs w:val="1"/>
                <w:color w:val="auto"/>
              </w:rPr>
              <w:t>Owner of Entity</w:t>
            </w:r>
          </w:p>
        </w:tc>
        <w:tc>
          <w:tcPr>
            <w:tcW w:w="1940" w:type="dxa"/>
            <w:vAlign w:val="bottom"/>
          </w:tcPr>
          <w:p>
            <w:pPr>
              <w:ind w:left="500"/>
              <w:spacing w:after="0"/>
              <w:rPr>
                <w:sz w:val="20"/>
                <w:szCs w:val="20"/>
                <w:color w:val="auto"/>
              </w:rPr>
            </w:pPr>
            <w:r>
              <w:rPr>
                <w:rFonts w:ascii="Arial" w:cs="Arial" w:eastAsia="Arial" w:hAnsi="Arial"/>
                <w:sz w:val="18"/>
                <w:szCs w:val="18"/>
                <w:b w:val="1"/>
                <w:bCs w:val="1"/>
                <w:color w:val="auto"/>
              </w:rPr>
              <w:t>Information</w:t>
            </w: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Yes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GCA Services Group, Inc.</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 #C-1:</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 shares of common</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Omni Serv Limited</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International</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9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#3</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6"/>
              </w:rPr>
              <w:t>1,000 shares of common</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#3</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OneSource Services, LLC</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Yes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ABM Industries</w:t>
            </w:r>
          </w:p>
        </w:tc>
        <w:tc>
          <w:tcPr>
            <w:tcW w:w="1940" w:type="dxa"/>
            <w:vAlign w:val="bottom"/>
          </w:tcPr>
          <w:p>
            <w:pPr>
              <w:spacing w:after="0"/>
              <w:rPr>
                <w:sz w:val="20"/>
                <w:szCs w:val="20"/>
                <w:color w:val="auto"/>
              </w:rPr>
            </w:pPr>
            <w:r>
              <w:rPr>
                <w:rFonts w:ascii="Arial" w:cs="Arial" w:eastAsia="Arial" w:hAnsi="Arial"/>
                <w:sz w:val="18"/>
                <w:szCs w:val="18"/>
                <w:color w:val="auto"/>
              </w:rPr>
              <w:t>Cert. #2</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Incorporated</w:t>
            </w:r>
          </w:p>
        </w:tc>
        <w:tc>
          <w:tcPr>
            <w:tcW w:w="1940" w:type="dxa"/>
            <w:vAlign w:val="bottom"/>
          </w:tcPr>
          <w:p>
            <w:pPr>
              <w:spacing w:after="0"/>
              <w:rPr>
                <w:sz w:val="20"/>
                <w:szCs w:val="20"/>
                <w:color w:val="auto"/>
              </w:rPr>
            </w:pPr>
            <w:r>
              <w:rPr>
                <w:rFonts w:ascii="Arial" w:cs="Arial" w:eastAsia="Arial" w:hAnsi="Arial"/>
                <w:sz w:val="18"/>
                <w:szCs w:val="18"/>
                <w:color w:val="auto"/>
                <w:w w:val="97"/>
              </w:rPr>
              <w:t>100 units of membership</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interests</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OneSource Holdings, LLC</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OneSource Services, LLC</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Linc Facility Services Iraq,</w:t>
            </w:r>
          </w:p>
        </w:tc>
        <w:tc>
          <w:tcPr>
            <w:tcW w:w="1940" w:type="dxa"/>
            <w:vAlign w:val="bottom"/>
          </w:tcPr>
          <w:p>
            <w:pPr>
              <w:spacing w:after="0"/>
              <w:rPr>
                <w:sz w:val="20"/>
                <w:szCs w:val="20"/>
                <w:color w:val="auto"/>
              </w:rPr>
            </w:pPr>
            <w:r>
              <w:rPr>
                <w:rFonts w:ascii="Arial" w:cs="Arial" w:eastAsia="Arial" w:hAnsi="Arial"/>
                <w:sz w:val="18"/>
                <w:szCs w:val="18"/>
                <w:color w:val="auto"/>
              </w:rPr>
              <w:t>n/a</w:t>
            </w:r>
          </w:p>
        </w:tc>
      </w:tr>
      <w:tr>
        <w:trPr>
          <w:trHeight w:val="230"/>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548640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3">
            <w:col w:w="1840" w:space="120"/>
            <w:col w:w="1440" w:space="520"/>
            <w:col w:w="7500"/>
          </w:cols>
          <w:pgMar w:left="240" w:top="904"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Schedule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Insurance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of Insurance Policies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gridSpan w:val="2"/>
          </w:tcPr>
          <w:p>
            <w:pPr>
              <w:ind w:left="5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2160" w:type="dxa"/>
            <w:vAlign w:val="bottom"/>
            <w:gridSpan w:val="2"/>
          </w:tcPr>
          <w:p>
            <w:pPr>
              <w:ind w:left="7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ARRIER</w:t>
            </w:r>
          </w:p>
        </w:tc>
        <w:tc>
          <w:tcPr>
            <w:tcW w:w="2160" w:type="dxa"/>
            <w:vAlign w:val="bottom"/>
            <w:gridSpan w:val="2"/>
            <w:vMerge w:val="continue"/>
          </w:tcPr>
          <w:p>
            <w:pPr>
              <w:spacing w:after="0"/>
              <w:rPr>
                <w:sz w:val="20"/>
                <w:szCs w:val="20"/>
                <w:color w:val="auto"/>
              </w:rPr>
            </w:pPr>
          </w:p>
        </w:tc>
        <w:tc>
          <w:tcPr>
            <w:tcW w:w="1700" w:type="dxa"/>
            <w:vAlign w:val="bottom"/>
            <w:gridSpan w:val="2"/>
          </w:tcPr>
          <w:p>
            <w:pPr>
              <w:ind w:left="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IMITS</w:t>
            </w:r>
          </w:p>
        </w:tc>
        <w:tc>
          <w:tcPr>
            <w:tcW w:w="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Pollution Liability</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Rockhill Insurance Co.</w:t>
            </w:r>
          </w:p>
        </w:tc>
        <w:tc>
          <w:tcPr>
            <w:tcW w:w="100" w:type="dxa"/>
            <w:vAlign w:val="bottom"/>
          </w:tcPr>
          <w:p>
            <w:pPr>
              <w:spacing w:after="0"/>
              <w:rPr>
                <w:sz w:val="16"/>
                <w:szCs w:val="16"/>
                <w:color w:val="auto"/>
              </w:rPr>
            </w:pPr>
          </w:p>
        </w:tc>
        <w:tc>
          <w:tcPr>
            <w:tcW w:w="2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ENVP000405-05</w:t>
            </w:r>
          </w:p>
        </w:tc>
        <w:tc>
          <w:tcPr>
            <w:tcW w:w="10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02/23/17-18</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$2,000,000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Aggregate Limit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w w:val="95"/>
              </w:rPr>
              <w:t>Each Pollution Condition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Limit</w:t>
            </w:r>
          </w:p>
        </w:tc>
        <w:tc>
          <w:tcPr>
            <w:tcW w:w="0" w:type="dxa"/>
            <w:vAlign w:val="bottom"/>
          </w:tcPr>
          <w:p>
            <w:pPr>
              <w:spacing w:after="0"/>
              <w:rPr>
                <w:sz w:val="1"/>
                <w:szCs w:val="1"/>
                <w:color w:val="auto"/>
              </w:rPr>
            </w:pPr>
          </w:p>
        </w:tc>
      </w:tr>
      <w:tr>
        <w:trPr>
          <w:trHeight w:val="41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D&amp;O, EPL and</w:t>
            </w:r>
          </w:p>
        </w:tc>
        <w:tc>
          <w:tcPr>
            <w:tcW w:w="2160" w:type="dxa"/>
            <w:vAlign w:val="bottom"/>
            <w:gridSpan w:val="2"/>
          </w:tcPr>
          <w:p>
            <w:pPr>
              <w:spacing w:after="0"/>
              <w:rPr>
                <w:sz w:val="20"/>
                <w:szCs w:val="20"/>
                <w:color w:val="auto"/>
              </w:rPr>
            </w:pPr>
            <w:r>
              <w:rPr>
                <w:rFonts w:ascii="Arial" w:cs="Arial" w:eastAsia="Arial" w:hAnsi="Arial"/>
                <w:sz w:val="18"/>
                <w:szCs w:val="18"/>
                <w:color w:val="auto"/>
                <w:w w:val="99"/>
              </w:rPr>
              <w:t>Westchester Surplus Lines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G27957468 001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3/1/16 - 9/15/17</w:t>
            </w:r>
          </w:p>
        </w:tc>
        <w:tc>
          <w:tcPr>
            <w:tcW w:w="10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D&amp;O Limit</w:t>
            </w:r>
          </w:p>
        </w:tc>
        <w:tc>
          <w:tcPr>
            <w:tcW w:w="0" w:type="dxa"/>
            <w:vAlign w:val="bottom"/>
          </w:tcPr>
          <w:p>
            <w:pPr>
              <w:spacing w:after="0"/>
              <w:rPr>
                <w:sz w:val="1"/>
                <w:szCs w:val="1"/>
                <w:color w:val="auto"/>
              </w:rPr>
            </w:pPr>
          </w:p>
        </w:tc>
      </w:tr>
      <w:tr>
        <w:trPr>
          <w:trHeight w:val="220"/>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Fiduciary Liability</w:t>
            </w:r>
          </w:p>
        </w:tc>
        <w:tc>
          <w:tcPr>
            <w:tcW w:w="2160" w:type="dxa"/>
            <w:vAlign w:val="bottom"/>
            <w:gridSpan w:val="2"/>
          </w:tcPr>
          <w:p>
            <w:pPr>
              <w:spacing w:after="0"/>
              <w:rPr>
                <w:sz w:val="20"/>
                <w:szCs w:val="20"/>
                <w:color w:val="auto"/>
              </w:rPr>
            </w:pPr>
            <w:r>
              <w:rPr>
                <w:rFonts w:ascii="Arial" w:cs="Arial" w:eastAsia="Arial" w:hAnsi="Arial"/>
                <w:sz w:val="18"/>
                <w:szCs w:val="18"/>
                <w:color w:val="auto"/>
              </w:rPr>
              <w:t>Ins. Co.</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EPL Limit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Fiduciary Limit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Employed Lawyer Limit</w:t>
            </w:r>
          </w:p>
        </w:tc>
        <w:tc>
          <w:tcPr>
            <w:tcW w:w="0" w:type="dxa"/>
            <w:vAlign w:val="bottom"/>
          </w:tcPr>
          <w:p>
            <w:pPr>
              <w:spacing w:after="0"/>
              <w:rPr>
                <w:sz w:val="1"/>
                <w:szCs w:val="1"/>
                <w:color w:val="auto"/>
              </w:rPr>
            </w:pPr>
          </w:p>
        </w:tc>
      </w:tr>
      <w:tr>
        <w:trPr>
          <w:trHeight w:val="41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Excess Employment</w:t>
            </w:r>
          </w:p>
        </w:tc>
        <w:tc>
          <w:tcPr>
            <w:tcW w:w="2160" w:type="dxa"/>
            <w:vAlign w:val="bottom"/>
            <w:gridSpan w:val="2"/>
          </w:tcPr>
          <w:p>
            <w:pPr>
              <w:spacing w:after="0"/>
              <w:rPr>
                <w:sz w:val="20"/>
                <w:szCs w:val="20"/>
                <w:color w:val="auto"/>
              </w:rPr>
            </w:pPr>
            <w:r>
              <w:rPr>
                <w:rFonts w:ascii="Arial" w:cs="Arial" w:eastAsia="Arial" w:hAnsi="Arial"/>
                <w:sz w:val="18"/>
                <w:szCs w:val="18"/>
                <w:color w:val="auto"/>
              </w:rPr>
              <w:t>Ironshore Specialty</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002670500</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3/1/16 - 9/15/17</w:t>
            </w:r>
          </w:p>
        </w:tc>
        <w:tc>
          <w:tcPr>
            <w:tcW w:w="10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w w:val="90"/>
              </w:rPr>
              <w:t>xs $10,000,000 (1st layer)</w:t>
            </w:r>
          </w:p>
        </w:tc>
        <w:tc>
          <w:tcPr>
            <w:tcW w:w="0" w:type="dxa"/>
            <w:vAlign w:val="bottom"/>
          </w:tcPr>
          <w:p>
            <w:pPr>
              <w:spacing w:after="0"/>
              <w:rPr>
                <w:sz w:val="1"/>
                <w:szCs w:val="1"/>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Practices Liability 1st</w:t>
            </w:r>
          </w:p>
        </w:tc>
        <w:tc>
          <w:tcPr>
            <w:tcW w:w="2160" w:type="dxa"/>
            <w:vAlign w:val="bottom"/>
            <w:gridSpan w:val="2"/>
          </w:tcPr>
          <w:p>
            <w:pPr>
              <w:spacing w:after="0"/>
              <w:rPr>
                <w:sz w:val="20"/>
                <w:szCs w:val="20"/>
                <w:color w:val="auto"/>
              </w:rPr>
            </w:pPr>
            <w:r>
              <w:rPr>
                <w:rFonts w:ascii="Arial" w:cs="Arial" w:eastAsia="Arial" w:hAnsi="Arial"/>
                <w:sz w:val="18"/>
                <w:szCs w:val="18"/>
                <w:color w:val="auto"/>
              </w:rPr>
              <w:t>Insurance Company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Layer</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Excess Side-A D&amp;O</w:t>
            </w:r>
          </w:p>
        </w:tc>
        <w:tc>
          <w:tcPr>
            <w:tcW w:w="2160" w:type="dxa"/>
            <w:vAlign w:val="bottom"/>
            <w:gridSpan w:val="2"/>
          </w:tcPr>
          <w:p>
            <w:pPr>
              <w:spacing w:after="0"/>
              <w:rPr>
                <w:sz w:val="20"/>
                <w:szCs w:val="20"/>
                <w:color w:val="auto"/>
              </w:rPr>
            </w:pPr>
            <w:r>
              <w:rPr>
                <w:rFonts w:ascii="Arial" w:cs="Arial" w:eastAsia="Arial" w:hAnsi="Arial"/>
                <w:sz w:val="18"/>
                <w:szCs w:val="18"/>
                <w:color w:val="auto"/>
              </w:rPr>
              <w:t>Ironshore Specialty</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002670800</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3/1/16 - 9/15/17</w:t>
            </w:r>
          </w:p>
        </w:tc>
        <w:tc>
          <w:tcPr>
            <w:tcW w:w="10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w w:val="90"/>
              </w:rPr>
              <w:t>xs $10,000,000 (1st layer)</w:t>
            </w:r>
          </w:p>
        </w:tc>
        <w:tc>
          <w:tcPr>
            <w:tcW w:w="0" w:type="dxa"/>
            <w:vAlign w:val="bottom"/>
          </w:tcPr>
          <w:p>
            <w:pPr>
              <w:spacing w:after="0"/>
              <w:rPr>
                <w:sz w:val="1"/>
                <w:szCs w:val="1"/>
                <w:color w:val="auto"/>
              </w:rPr>
            </w:pPr>
          </w:p>
        </w:tc>
      </w:tr>
      <w:tr>
        <w:trPr>
          <w:trHeight w:val="23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Liability</w:t>
            </w:r>
          </w:p>
        </w:tc>
        <w:tc>
          <w:tcPr>
            <w:tcW w:w="2160" w:type="dxa"/>
            <w:vAlign w:val="bottom"/>
            <w:gridSpan w:val="2"/>
          </w:tcPr>
          <w:p>
            <w:pPr>
              <w:spacing w:after="0"/>
              <w:rPr>
                <w:sz w:val="20"/>
                <w:szCs w:val="20"/>
                <w:color w:val="auto"/>
              </w:rPr>
            </w:pPr>
            <w:r>
              <w:rPr>
                <w:rFonts w:ascii="Arial" w:cs="Arial" w:eastAsia="Arial" w:hAnsi="Arial"/>
                <w:sz w:val="18"/>
                <w:szCs w:val="18"/>
                <w:color w:val="auto"/>
              </w:rPr>
              <w:t>Insurance Company</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Aviation Liability</w:t>
            </w:r>
          </w:p>
        </w:tc>
        <w:tc>
          <w:tcPr>
            <w:tcW w:w="2160" w:type="dxa"/>
            <w:vAlign w:val="bottom"/>
            <w:gridSpan w:val="2"/>
          </w:tcPr>
          <w:p>
            <w:pPr>
              <w:spacing w:after="0"/>
              <w:rPr>
                <w:sz w:val="20"/>
                <w:szCs w:val="20"/>
                <w:color w:val="auto"/>
              </w:rPr>
            </w:pPr>
            <w:r>
              <w:rPr>
                <w:rFonts w:ascii="Arial" w:cs="Arial" w:eastAsia="Arial" w:hAnsi="Arial"/>
                <w:sz w:val="18"/>
                <w:szCs w:val="18"/>
                <w:color w:val="auto"/>
              </w:rPr>
              <w:t>Starr Indemnity &amp; Liability</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SASICOM60069417-04</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0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Each Occurrence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Products 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Personal Injury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Damage to Rented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Premises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Medical Pay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Hangarkeepers Limit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each aircraft</w:t>
            </w:r>
          </w:p>
        </w:tc>
        <w:tc>
          <w:tcPr>
            <w:tcW w:w="0" w:type="dxa"/>
            <w:vAlign w:val="bottom"/>
          </w:tcPr>
          <w:p>
            <w:pPr>
              <w:spacing w:after="0"/>
              <w:rPr>
                <w:sz w:val="1"/>
                <w:szCs w:val="1"/>
                <w:color w:val="auto"/>
              </w:rPr>
            </w:pPr>
          </w:p>
        </w:tc>
      </w:tr>
    </w:tbl>
    <w:p>
      <w:pPr>
        <w:ind w:left="9520"/>
        <w:spacing w:after="0"/>
        <w:rPr>
          <w:sz w:val="20"/>
          <w:szCs w:val="20"/>
          <w:color w:val="auto"/>
        </w:rPr>
      </w:pPr>
      <w:r>
        <w:rPr>
          <w:rFonts w:ascii="Arial" w:cs="Arial" w:eastAsia="Arial" w:hAnsi="Arial"/>
          <w:sz w:val="18"/>
          <w:szCs w:val="18"/>
          <w:color w:val="auto"/>
        </w:rPr>
        <w:t>Hangarkeepers Limit -</w:t>
      </w:r>
    </w:p>
    <w:p>
      <w:pPr>
        <w:spacing w:after="0" w:line="9"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each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120" w:type="dxa"/>
            <w:vAlign w:val="bottom"/>
          </w:tcPr>
          <w:p>
            <w:pPr>
              <w:spacing w:after="0"/>
              <w:rPr>
                <w:sz w:val="20"/>
                <w:szCs w:val="20"/>
                <w:color w:val="auto"/>
              </w:rPr>
            </w:pPr>
          </w:p>
        </w:tc>
        <w:tc>
          <w:tcPr>
            <w:tcW w:w="2200" w:type="dxa"/>
            <w:vAlign w:val="bottom"/>
            <w:gridSpan w:val="2"/>
          </w:tcPr>
          <w:p>
            <w:pPr>
              <w:ind w:left="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ARRIER</w:t>
            </w:r>
          </w:p>
        </w:tc>
        <w:tc>
          <w:tcPr>
            <w:tcW w:w="2160" w:type="dxa"/>
            <w:vAlign w:val="bottom"/>
            <w:gridSpan w:val="2"/>
            <w:vMerge w:val="continue"/>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IMITS</w:t>
            </w:r>
          </w:p>
        </w:tc>
        <w:tc>
          <w:tcPr>
            <w:tcW w:w="1820" w:type="dxa"/>
            <w:vAlign w:val="bottom"/>
          </w:tcPr>
          <w:p>
            <w:pPr>
              <w:ind w:left="4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Property/Boiler &amp;</w:t>
            </w:r>
          </w:p>
        </w:tc>
        <w:tc>
          <w:tcPr>
            <w:tcW w:w="120" w:type="dxa"/>
            <w:vAlign w:val="bottom"/>
          </w:tcPr>
          <w:p>
            <w:pPr>
              <w:spacing w:after="0"/>
              <w:rPr>
                <w:sz w:val="16"/>
                <w:szCs w:val="16"/>
                <w:color w:val="auto"/>
              </w:rPr>
            </w:pPr>
          </w:p>
        </w:tc>
        <w:tc>
          <w:tcPr>
            <w:tcW w:w="20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4"/>
              </w:rPr>
              <w:t>Hartford Fire Insurance Co.</w:t>
            </w:r>
          </w:p>
        </w:tc>
        <w:tc>
          <w:tcPr>
            <w:tcW w:w="12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4"/>
              </w:rPr>
              <w:t>83 UUM ZK 3174</w:t>
            </w: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Building</w:t>
            </w:r>
          </w:p>
        </w:tc>
        <w:tc>
          <w:tcPr>
            <w:tcW w:w="0" w:type="dxa"/>
            <w:vAlign w:val="bottom"/>
          </w:tcPr>
          <w:p>
            <w:pPr>
              <w:spacing w:after="0"/>
              <w:rPr>
                <w:sz w:val="1"/>
                <w:szCs w:val="1"/>
                <w:color w:val="auto"/>
              </w:rPr>
            </w:pP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Machinery</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$6,700,000</w:t>
            </w:r>
          </w:p>
        </w:tc>
        <w:tc>
          <w:tcPr>
            <w:tcW w:w="1820" w:type="dxa"/>
            <w:vAlign w:val="bottom"/>
          </w:tcPr>
          <w:p>
            <w:pPr>
              <w:spacing w:after="0"/>
              <w:rPr>
                <w:sz w:val="20"/>
                <w:szCs w:val="20"/>
                <w:color w:val="auto"/>
              </w:rPr>
            </w:pPr>
            <w:r>
              <w:rPr>
                <w:rFonts w:ascii="Arial" w:cs="Arial" w:eastAsia="Arial" w:hAnsi="Arial"/>
                <w:sz w:val="18"/>
                <w:szCs w:val="18"/>
                <w:color w:val="auto"/>
              </w:rPr>
              <w:t>Business Personal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$455,000</w:t>
            </w:r>
          </w:p>
        </w:tc>
        <w:tc>
          <w:tcPr>
            <w:tcW w:w="1820" w:type="dxa"/>
            <w:vAlign w:val="bottom"/>
          </w:tcPr>
          <w:p>
            <w:pPr>
              <w:spacing w:after="0"/>
              <w:rPr>
                <w:sz w:val="20"/>
                <w:szCs w:val="20"/>
                <w:color w:val="auto"/>
              </w:rPr>
            </w:pPr>
            <w:r>
              <w:rPr>
                <w:rFonts w:ascii="Arial" w:cs="Arial" w:eastAsia="Arial" w:hAnsi="Arial"/>
                <w:sz w:val="18"/>
                <w:szCs w:val="18"/>
                <w:color w:val="auto"/>
              </w:rPr>
              <w:t>Property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$7,480,000</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Business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Included</w:t>
            </w:r>
          </w:p>
        </w:tc>
        <w:tc>
          <w:tcPr>
            <w:tcW w:w="1820" w:type="dxa"/>
            <w:vAlign w:val="bottom"/>
          </w:tcPr>
          <w:p>
            <w:pPr>
              <w:spacing w:after="0"/>
              <w:rPr>
                <w:sz w:val="20"/>
                <w:szCs w:val="20"/>
                <w:color w:val="auto"/>
              </w:rPr>
            </w:pPr>
            <w:r>
              <w:rPr>
                <w:rFonts w:ascii="Arial" w:cs="Arial" w:eastAsia="Arial" w:hAnsi="Arial"/>
                <w:sz w:val="18"/>
                <w:szCs w:val="18"/>
                <w:color w:val="auto"/>
              </w:rPr>
              <w:t>Total Blanket Limit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20" w:type="dxa"/>
            <w:vAlign w:val="bottom"/>
          </w:tcPr>
          <w:p>
            <w:pPr>
              <w:spacing w:after="0"/>
              <w:rPr>
                <w:sz w:val="20"/>
                <w:szCs w:val="20"/>
                <w:color w:val="auto"/>
              </w:rPr>
            </w:pPr>
            <w:r>
              <w:rPr>
                <w:rFonts w:ascii="Arial" w:cs="Arial" w:eastAsia="Arial" w:hAnsi="Arial"/>
                <w:sz w:val="18"/>
                <w:szCs w:val="18"/>
                <w:color w:val="auto"/>
                <w:w w:val="99"/>
              </w:rPr>
              <w:t>Equipment Breakdown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(B&amp;M)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Extra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1820" w:type="dxa"/>
            <w:vAlign w:val="bottom"/>
          </w:tcPr>
          <w:p>
            <w:pPr>
              <w:spacing w:after="0"/>
              <w:rPr>
                <w:sz w:val="20"/>
                <w:szCs w:val="20"/>
                <w:color w:val="auto"/>
              </w:rPr>
            </w:pPr>
            <w:r>
              <w:rPr>
                <w:rFonts w:ascii="Arial" w:cs="Arial" w:eastAsia="Arial" w:hAnsi="Arial"/>
                <w:sz w:val="18"/>
                <w:szCs w:val="18"/>
                <w:color w:val="auto"/>
              </w:rPr>
              <w:t>Earthquake - excl 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LS, WA, parts of TN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$50,000/$100,000</w:t>
            </w:r>
          </w:p>
        </w:tc>
        <w:tc>
          <w:tcPr>
            <w:tcW w:w="1820" w:type="dxa"/>
            <w:vAlign w:val="bottom"/>
          </w:tcPr>
          <w:p>
            <w:pPr>
              <w:spacing w:after="0"/>
              <w:rPr>
                <w:sz w:val="20"/>
                <w:szCs w:val="20"/>
                <w:color w:val="auto"/>
              </w:rPr>
            </w:pPr>
            <w:r>
              <w:rPr>
                <w:rFonts w:ascii="Arial" w:cs="Arial" w:eastAsia="Arial" w:hAnsi="Arial"/>
                <w:sz w:val="18"/>
                <w:szCs w:val="18"/>
                <w:color w:val="auto"/>
                <w:w w:val="92"/>
              </w:rPr>
              <w:t>Flood, excl FL, Zones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$100k; $250k;</w:t>
            </w:r>
          </w:p>
        </w:tc>
        <w:tc>
          <w:tcPr>
            <w:tcW w:w="1820" w:type="dxa"/>
            <w:vAlign w:val="bottom"/>
          </w:tcPr>
          <w:p>
            <w:pPr>
              <w:spacing w:after="0"/>
              <w:rPr>
                <w:sz w:val="20"/>
                <w:szCs w:val="20"/>
                <w:color w:val="auto"/>
              </w:rPr>
            </w:pPr>
            <w:r>
              <w:rPr>
                <w:rFonts w:ascii="Arial" w:cs="Arial" w:eastAsia="Arial" w:hAnsi="Arial"/>
                <w:sz w:val="18"/>
                <w:szCs w:val="18"/>
                <w:color w:val="auto"/>
              </w:rPr>
              <w:t>B &amp; 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$250k</w:t>
            </w:r>
          </w:p>
        </w:tc>
        <w:tc>
          <w:tcPr>
            <w:tcW w:w="1820" w:type="dxa"/>
            <w:vAlign w:val="bottom"/>
          </w:tcPr>
          <w:p>
            <w:pPr>
              <w:spacing w:after="0"/>
              <w:rPr>
                <w:sz w:val="20"/>
                <w:szCs w:val="20"/>
                <w:color w:val="auto"/>
              </w:rPr>
            </w:pPr>
            <w:r>
              <w:rPr>
                <w:rFonts w:ascii="Arial" w:cs="Arial" w:eastAsia="Arial" w:hAnsi="Arial"/>
                <w:sz w:val="18"/>
                <w:szCs w:val="18"/>
                <w:color w:val="auto"/>
              </w:rPr>
              <w:t>Newly Acquired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Building 180 days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Newly Acquired BPP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60 Days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Transit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5"/>
              </w:rPr>
              <w:t>Unamed Building, BPP,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BI</w:t>
            </w:r>
          </w:p>
        </w:tc>
        <w:tc>
          <w:tcPr>
            <w:tcW w:w="0" w:type="dxa"/>
            <w:vAlign w:val="bottom"/>
          </w:tcPr>
          <w:p>
            <w:pPr>
              <w:spacing w:after="0"/>
              <w:rPr>
                <w:sz w:val="1"/>
                <w:szCs w:val="1"/>
                <w:color w:val="auto"/>
              </w:rPr>
            </w:pP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Inland Marine</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w w:val="99"/>
              </w:rPr>
              <w:t>Hartford Fire Insurance Co.</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83 UUM ZK 3174</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$22,925,210</w:t>
            </w:r>
          </w:p>
        </w:tc>
        <w:tc>
          <w:tcPr>
            <w:tcW w:w="1820" w:type="dxa"/>
            <w:vAlign w:val="bottom"/>
          </w:tcPr>
          <w:p>
            <w:pPr>
              <w:spacing w:after="0"/>
              <w:rPr>
                <w:sz w:val="20"/>
                <w:szCs w:val="20"/>
                <w:color w:val="auto"/>
              </w:rPr>
            </w:pPr>
            <w:r>
              <w:rPr>
                <w:rFonts w:ascii="Arial" w:cs="Arial" w:eastAsia="Arial" w:hAnsi="Arial"/>
                <w:sz w:val="18"/>
                <w:szCs w:val="18"/>
                <w:color w:val="auto"/>
              </w:rPr>
              <w:t>Scheduled Equipment</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(Contractors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1820" w:type="dxa"/>
            <w:vAlign w:val="bottom"/>
          </w:tcPr>
          <w:p>
            <w:pPr>
              <w:spacing w:after="0"/>
              <w:rPr>
                <w:sz w:val="20"/>
                <w:szCs w:val="20"/>
                <w:color w:val="auto"/>
              </w:rPr>
            </w:pPr>
            <w:r>
              <w:rPr>
                <w:rFonts w:ascii="Arial" w:cs="Arial" w:eastAsia="Arial" w:hAnsi="Arial"/>
                <w:sz w:val="18"/>
                <w:szCs w:val="18"/>
                <w:color w:val="auto"/>
              </w:rPr>
              <w:t>Limit</w:t>
            </w:r>
          </w:p>
        </w:tc>
        <w:tc>
          <w:tcPr>
            <w:tcW w:w="0" w:type="dxa"/>
            <w:vAlign w:val="bottom"/>
          </w:tcPr>
          <w:p>
            <w:pPr>
              <w:spacing w:after="0"/>
              <w:rPr>
                <w:sz w:val="1"/>
                <w:szCs w:val="1"/>
                <w:color w:val="auto"/>
              </w:rPr>
            </w:pP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Equipment)</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1820" w:type="dxa"/>
            <w:vAlign w:val="bottom"/>
          </w:tcPr>
          <w:p>
            <w:pPr>
              <w:spacing w:after="0"/>
              <w:rPr>
                <w:sz w:val="20"/>
                <w:szCs w:val="20"/>
                <w:color w:val="auto"/>
              </w:rPr>
            </w:pPr>
            <w:r>
              <w:rPr>
                <w:rFonts w:ascii="Arial" w:cs="Arial" w:eastAsia="Arial" w:hAnsi="Arial"/>
                <w:sz w:val="18"/>
                <w:szCs w:val="18"/>
                <w:color w:val="auto"/>
                <w:w w:val="91"/>
              </w:rPr>
              <w:t>Unscheduled Equipment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Limit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Newly Acquired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418"/>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General Liability</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ACE American Insurance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HDOG27866335</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820" w:type="dxa"/>
            <w:vAlign w:val="bottom"/>
          </w:tcPr>
          <w:p>
            <w:pPr>
              <w:spacing w:after="0"/>
              <w:rPr>
                <w:sz w:val="20"/>
                <w:szCs w:val="20"/>
                <w:color w:val="auto"/>
              </w:rPr>
            </w:pPr>
            <w:r>
              <w:rPr>
                <w:rFonts w:ascii="Arial" w:cs="Arial" w:eastAsia="Arial" w:hAnsi="Arial"/>
                <w:sz w:val="18"/>
                <w:szCs w:val="18"/>
                <w:color w:val="auto"/>
              </w:rPr>
              <w:t>General 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Co.</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1820" w:type="dxa"/>
            <w:vAlign w:val="bottom"/>
          </w:tcPr>
          <w:p>
            <w:pPr>
              <w:spacing w:after="0"/>
              <w:rPr>
                <w:sz w:val="20"/>
                <w:szCs w:val="20"/>
                <w:color w:val="auto"/>
              </w:rPr>
            </w:pPr>
            <w:r>
              <w:rPr>
                <w:rFonts w:ascii="Arial" w:cs="Arial" w:eastAsia="Arial" w:hAnsi="Arial"/>
                <w:sz w:val="18"/>
                <w:szCs w:val="18"/>
                <w:color w:val="auto"/>
              </w:rPr>
              <w:t>Products/Completed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Operations 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Each Occurrence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w w:val="89"/>
              </w:rPr>
              <w:t>Personal and Advertising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Injury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Damage to Premises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Rented to You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Employee Benefits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Each Employee</w:t>
            </w:r>
          </w:p>
        </w:tc>
        <w:tc>
          <w:tcPr>
            <w:tcW w:w="0" w:type="dxa"/>
            <w:vAlign w:val="bottom"/>
          </w:tcPr>
          <w:p>
            <w:pPr>
              <w:spacing w:after="0"/>
              <w:rPr>
                <w:sz w:val="1"/>
                <w:szCs w:val="1"/>
                <w:color w:val="auto"/>
              </w:rPr>
            </w:pPr>
          </w:p>
        </w:tc>
      </w:tr>
    </w:tbl>
    <w:p>
      <w:pPr>
        <w:ind w:left="9600"/>
        <w:spacing w:after="0"/>
        <w:rPr>
          <w:sz w:val="20"/>
          <w:szCs w:val="20"/>
          <w:color w:val="auto"/>
        </w:rPr>
      </w:pPr>
      <w:r>
        <w:rPr>
          <w:rFonts w:ascii="Arial" w:cs="Arial" w:eastAsia="Arial" w:hAnsi="Arial"/>
          <w:sz w:val="18"/>
          <w:szCs w:val="18"/>
          <w:color w:val="auto"/>
        </w:rPr>
        <w:t>Employee Benefits -</w:t>
      </w:r>
    </w:p>
    <w:p>
      <w:pPr>
        <w:spacing w:after="0" w:line="9"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r>
      <w:tr>
        <w:trPr>
          <w:trHeight w:val="234"/>
        </w:trPr>
        <w:tc>
          <w:tcPr>
            <w:tcW w:w="20" w:type="dxa"/>
            <w:vAlign w:val="bottom"/>
          </w:tcPr>
          <w:p>
            <w:pPr>
              <w:spacing w:after="0"/>
              <w:rPr>
                <w:sz w:val="20"/>
                <w:szCs w:val="20"/>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120" w:type="dxa"/>
            <w:vAlign w:val="bottom"/>
          </w:tcPr>
          <w:p>
            <w:pPr>
              <w:spacing w:after="0"/>
              <w:rPr>
                <w:sz w:val="20"/>
                <w:szCs w:val="20"/>
                <w:color w:val="auto"/>
              </w:rPr>
            </w:pPr>
          </w:p>
        </w:tc>
        <w:tc>
          <w:tcPr>
            <w:tcW w:w="2200" w:type="dxa"/>
            <w:vAlign w:val="bottom"/>
            <w:gridSpan w:val="2"/>
          </w:tcPr>
          <w:p>
            <w:pPr>
              <w:ind w:left="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ARRIER</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1700" w:type="dxa"/>
            <w:vAlign w:val="bottom"/>
            <w:gridSpan w:val="2"/>
          </w:tcPr>
          <w:p>
            <w:pPr>
              <w:ind w:left="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IMITS</w:t>
            </w:r>
          </w:p>
        </w:tc>
        <w:tc>
          <w:tcPr>
            <w:tcW w:w="1820" w:type="dxa"/>
            <w:vAlign w:val="bottom"/>
          </w:tcPr>
          <w:p>
            <w:pPr>
              <w:ind w:left="4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w:t>
            </w:r>
          </w:p>
        </w:tc>
      </w:tr>
      <w:tr>
        <w:trPr>
          <w:trHeight w:val="191"/>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9"/>
              </w:rPr>
              <w:t>Sexual Misconduct and</w:t>
            </w:r>
          </w:p>
        </w:tc>
        <w:tc>
          <w:tcPr>
            <w:tcW w:w="120" w:type="dxa"/>
            <w:vAlign w:val="bottom"/>
          </w:tcPr>
          <w:p>
            <w:pPr>
              <w:spacing w:after="0"/>
              <w:rPr>
                <w:sz w:val="16"/>
                <w:szCs w:val="16"/>
                <w:color w:val="auto"/>
              </w:rPr>
            </w:pPr>
          </w:p>
        </w:tc>
        <w:tc>
          <w:tcPr>
            <w:tcW w:w="20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Lloyd’s of London</w:t>
            </w:r>
          </w:p>
        </w:tc>
        <w:tc>
          <w:tcPr>
            <w:tcW w:w="12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AC1704426</w:t>
            </w: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03/17/17-18</w:t>
            </w:r>
          </w:p>
        </w:tc>
        <w:tc>
          <w:tcPr>
            <w:tcW w:w="120" w:type="dxa"/>
            <w:vAlign w:val="bottom"/>
          </w:tcPr>
          <w:p>
            <w:pPr>
              <w:spacing w:after="0"/>
              <w:rPr>
                <w:sz w:val="16"/>
                <w:szCs w:val="16"/>
                <w:color w:val="auto"/>
              </w:rPr>
            </w:pPr>
          </w:p>
        </w:tc>
        <w:tc>
          <w:tcPr>
            <w:tcW w:w="1460" w:type="dxa"/>
            <w:vAlign w:val="bottom"/>
            <w:tcBorders>
              <w:top w:val="single" w:sz="8" w:color="auto"/>
            </w:tcBorders>
          </w:tcPr>
          <w:p>
            <w:pPr>
              <w:ind w:left="660"/>
              <w:spacing w:after="0" w:line="191" w:lineRule="exact"/>
              <w:rPr>
                <w:sz w:val="20"/>
                <w:szCs w:val="20"/>
                <w:color w:val="auto"/>
              </w:rPr>
            </w:pPr>
            <w:r>
              <w:rPr>
                <w:rFonts w:ascii="Arial" w:cs="Arial" w:eastAsia="Arial" w:hAnsi="Arial"/>
                <w:sz w:val="18"/>
                <w:szCs w:val="18"/>
                <w:color w:val="auto"/>
                <w:w w:val="86"/>
              </w:rPr>
              <w:t>$1,000,000</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Limit of Liability For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Molestation (SAM)</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Syndicates: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8"/>
              </w:rPr>
              <w:t>All Claims for Wrongful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Liability - Pepperdine</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AFB 623 - 18%</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1820" w:type="dxa"/>
            <w:vAlign w:val="bottom"/>
          </w:tcPr>
          <w:p>
            <w:pPr>
              <w:spacing w:after="0"/>
              <w:rPr>
                <w:sz w:val="20"/>
                <w:szCs w:val="20"/>
                <w:color w:val="auto"/>
              </w:rPr>
            </w:pPr>
            <w:r>
              <w:rPr>
                <w:rFonts w:ascii="Arial" w:cs="Arial" w:eastAsia="Arial" w:hAnsi="Arial"/>
                <w:sz w:val="18"/>
                <w:szCs w:val="18"/>
                <w:color w:val="auto"/>
              </w:rPr>
              <w:t>Acts against any one</w:t>
            </w: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University</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AFB 2623 - 82%</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Victim</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(Beazley Safeguard)</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Limit of Liability For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8"/>
              </w:rPr>
              <w:t>All Claims for Wrongful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20" w:type="dxa"/>
            <w:vAlign w:val="bottom"/>
          </w:tcPr>
          <w:p>
            <w:pPr>
              <w:spacing w:after="0"/>
              <w:rPr>
                <w:sz w:val="20"/>
                <w:szCs w:val="20"/>
                <w:color w:val="auto"/>
              </w:rPr>
            </w:pPr>
            <w:r>
              <w:rPr>
                <w:rFonts w:ascii="Arial" w:cs="Arial" w:eastAsia="Arial" w:hAnsi="Arial"/>
                <w:sz w:val="18"/>
                <w:szCs w:val="18"/>
                <w:color w:val="auto"/>
                <w:w w:val="95"/>
              </w:rPr>
              <w:t>Acts against all Victims,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but sub-limited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4"/>
              </w:rPr>
              <w:t>For All Safeguard Costs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resulting from all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Circumstances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The Sub-limit of</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5"/>
              </w:rPr>
              <w:t>Liability shall be part of,</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and not in addition to,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the overall Limit of</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Liability.</w:t>
            </w: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0"/>
              </w:rPr>
              <w:t>Sexual Misconduct and</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Lloyd’s of London</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AC1704540</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06/01/17 - 18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rPr>
              <w:t>Limit of Liability For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Molestation (SAM)</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Syndicates: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8"/>
              </w:rPr>
              <w:t>All Claims for Wrongful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Liability - College of</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AFB 623 - 18%</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1820" w:type="dxa"/>
            <w:vAlign w:val="bottom"/>
          </w:tcPr>
          <w:p>
            <w:pPr>
              <w:spacing w:after="0"/>
              <w:rPr>
                <w:sz w:val="20"/>
                <w:szCs w:val="20"/>
                <w:color w:val="auto"/>
              </w:rPr>
            </w:pPr>
            <w:r>
              <w:rPr>
                <w:rFonts w:ascii="Arial" w:cs="Arial" w:eastAsia="Arial" w:hAnsi="Arial"/>
                <w:sz w:val="18"/>
                <w:szCs w:val="18"/>
                <w:color w:val="auto"/>
              </w:rPr>
              <w:t>Acts against any one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Southern Nevada;</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AFB 2623 - 82%</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Victim</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Southern Methodist</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(Beazley Safeguard)</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Limit of Liability For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0"/>
              </w:rPr>
              <w:t>University, and Dundee</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8"/>
              </w:rPr>
              <w:t>All Claims for Wrongful</w:t>
            </w: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Community Schools</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20" w:type="dxa"/>
            <w:vAlign w:val="bottom"/>
          </w:tcPr>
          <w:p>
            <w:pPr>
              <w:spacing w:after="0"/>
              <w:rPr>
                <w:sz w:val="20"/>
                <w:szCs w:val="20"/>
                <w:color w:val="auto"/>
              </w:rPr>
            </w:pPr>
            <w:r>
              <w:rPr>
                <w:rFonts w:ascii="Arial" w:cs="Arial" w:eastAsia="Arial" w:hAnsi="Arial"/>
                <w:sz w:val="18"/>
                <w:szCs w:val="18"/>
                <w:color w:val="auto"/>
                <w:w w:val="95"/>
              </w:rPr>
              <w:t>Acts against all Victims,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but sub-limited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4"/>
              </w:rPr>
              <w:t>For All Safeguard Costs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resulting from all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Circumstances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The Sub-limit of</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5"/>
              </w:rPr>
              <w:t>Liability shall be part of,</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and not in addition to,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the overall Limit of</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Liability.</w:t>
            </w: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7"/>
              </w:rPr>
              <w:t>Auto Liability &amp; APD -</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ACE American Insurance</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ISA H09055897</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w w:val="99"/>
              </w:rPr>
              <w:t>Combined Single Limit</w:t>
            </w: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Owned</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Co.</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820" w:type="dxa"/>
            <w:vAlign w:val="bottom"/>
          </w:tcPr>
          <w:p>
            <w:pPr>
              <w:spacing w:after="0"/>
              <w:rPr>
                <w:sz w:val="20"/>
                <w:szCs w:val="20"/>
                <w:color w:val="auto"/>
              </w:rPr>
            </w:pPr>
            <w:r>
              <w:rPr>
                <w:rFonts w:ascii="Arial" w:cs="Arial" w:eastAsia="Arial" w:hAnsi="Arial"/>
                <w:sz w:val="18"/>
                <w:szCs w:val="18"/>
                <w:color w:val="auto"/>
              </w:rPr>
              <w:t>— Liability</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Reject/Min</w:t>
            </w:r>
          </w:p>
        </w:tc>
        <w:tc>
          <w:tcPr>
            <w:tcW w:w="1820" w:type="dxa"/>
            <w:vAlign w:val="bottom"/>
          </w:tcPr>
          <w:p>
            <w:pPr>
              <w:spacing w:after="0"/>
              <w:rPr>
                <w:sz w:val="20"/>
                <w:szCs w:val="20"/>
                <w:color w:val="auto"/>
              </w:rPr>
            </w:pPr>
            <w:r>
              <w:rPr>
                <w:rFonts w:ascii="Arial" w:cs="Arial" w:eastAsia="Arial" w:hAnsi="Arial"/>
                <w:sz w:val="18"/>
                <w:szCs w:val="18"/>
                <w:color w:val="auto"/>
              </w:rPr>
              <w:t>Medical Payments</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UM/UIM</w:t>
            </w:r>
          </w:p>
        </w:tc>
      </w:tr>
      <w:tr>
        <w:trPr>
          <w:trHeight w:val="648"/>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r>
      <w:tr>
        <w:trPr>
          <w:trHeight w:val="234"/>
        </w:trPr>
        <w:tc>
          <w:tcPr>
            <w:tcW w:w="20" w:type="dxa"/>
            <w:vAlign w:val="bottom"/>
          </w:tcPr>
          <w:p>
            <w:pPr>
              <w:spacing w:after="0"/>
              <w:rPr>
                <w:sz w:val="20"/>
                <w:szCs w:val="20"/>
                <w:color w:val="auto"/>
              </w:rPr>
            </w:pPr>
          </w:p>
        </w:tc>
        <w:tc>
          <w:tcPr>
            <w:tcW w:w="2080" w:type="dxa"/>
            <w:vAlign w:val="bottom"/>
            <w:gridSpan w:val="2"/>
          </w:tcPr>
          <w:p>
            <w:pPr>
              <w:ind w:left="6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2120" w:type="dxa"/>
            <w:vAlign w:val="bottom"/>
            <w:gridSpan w:val="2"/>
          </w:tcPr>
          <w:p>
            <w:pPr>
              <w:ind w:left="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ARRIER</w:t>
            </w:r>
          </w:p>
        </w:tc>
        <w:tc>
          <w:tcPr>
            <w:tcW w:w="2140" w:type="dxa"/>
            <w:vAlign w:val="bottom"/>
            <w:gridSpan w:val="2"/>
          </w:tcPr>
          <w:p>
            <w:pPr>
              <w:ind w:left="6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IMITS</w:t>
            </w:r>
          </w:p>
        </w:tc>
        <w:tc>
          <w:tcPr>
            <w:tcW w:w="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w:t>
            </w:r>
          </w:p>
        </w:tc>
      </w:tr>
      <w:tr>
        <w:trPr>
          <w:trHeight w:val="191"/>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8"/>
              </w:rPr>
              <w:t>Auto Liability &amp; APD —</w:t>
            </w:r>
          </w:p>
        </w:tc>
        <w:tc>
          <w:tcPr>
            <w:tcW w:w="100" w:type="dxa"/>
            <w:vAlign w:val="bottom"/>
          </w:tcPr>
          <w:p>
            <w:pPr>
              <w:spacing w:after="0"/>
              <w:rPr>
                <w:sz w:val="16"/>
                <w:szCs w:val="16"/>
                <w:color w:val="auto"/>
              </w:rPr>
            </w:pPr>
          </w:p>
        </w:tc>
        <w:tc>
          <w:tcPr>
            <w:tcW w:w="20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8"/>
              </w:rPr>
              <w:t>ACE American Insurance</w:t>
            </w:r>
          </w:p>
        </w:tc>
        <w:tc>
          <w:tcPr>
            <w:tcW w:w="10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05/01/17-18</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8"/>
              </w:rPr>
              <w:t>Combined Single Limit</w:t>
            </w:r>
          </w:p>
        </w:tc>
      </w:tr>
      <w:tr>
        <w:trPr>
          <w:trHeight w:val="220"/>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Driver Services</w:t>
            </w:r>
          </w:p>
        </w:tc>
        <w:tc>
          <w:tcPr>
            <w:tcW w:w="2120" w:type="dxa"/>
            <w:vAlign w:val="bottom"/>
            <w:gridSpan w:val="2"/>
          </w:tcPr>
          <w:p>
            <w:pPr>
              <w:spacing w:after="0"/>
              <w:rPr>
                <w:sz w:val="20"/>
                <w:szCs w:val="20"/>
                <w:color w:val="auto"/>
              </w:rPr>
            </w:pPr>
            <w:r>
              <w:rPr>
                <w:rFonts w:ascii="Arial" w:cs="Arial" w:eastAsia="Arial" w:hAnsi="Arial"/>
                <w:sz w:val="18"/>
                <w:szCs w:val="18"/>
                <w:color w:val="auto"/>
              </w:rPr>
              <w:t>Co.</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 Liability</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Reject/Min</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Medical Payments</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ISA H09055903</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UM/UIM</w:t>
            </w:r>
          </w:p>
        </w:tc>
      </w:tr>
      <w:tr>
        <w:trPr>
          <w:trHeight w:val="414"/>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Workers’</w:t>
            </w:r>
          </w:p>
        </w:tc>
        <w:tc>
          <w:tcPr>
            <w:tcW w:w="2120" w:type="dxa"/>
            <w:vAlign w:val="bottom"/>
            <w:gridSpan w:val="2"/>
          </w:tcPr>
          <w:p>
            <w:pPr>
              <w:spacing w:after="0"/>
              <w:rPr>
                <w:sz w:val="20"/>
                <w:szCs w:val="20"/>
                <w:color w:val="auto"/>
              </w:rPr>
            </w:pPr>
            <w:r>
              <w:rPr>
                <w:rFonts w:ascii="Arial" w:cs="Arial" w:eastAsia="Arial" w:hAnsi="Arial"/>
                <w:sz w:val="18"/>
                <w:szCs w:val="18"/>
                <w:color w:val="auto"/>
              </w:rPr>
              <w:t>ACE American Insurance</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0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Statutory</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2"/>
              </w:rPr>
              <w:t>Workers’ Compensation</w:t>
            </w: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3"/>
              </w:rPr>
              <w:t>Compensation/Employers</w:t>
            </w:r>
          </w:p>
        </w:tc>
        <w:tc>
          <w:tcPr>
            <w:tcW w:w="2120" w:type="dxa"/>
            <w:vAlign w:val="bottom"/>
            <w:gridSpan w:val="2"/>
          </w:tcPr>
          <w:p>
            <w:pPr>
              <w:spacing w:after="0"/>
              <w:rPr>
                <w:sz w:val="20"/>
                <w:szCs w:val="20"/>
                <w:color w:val="auto"/>
              </w:rPr>
            </w:pPr>
            <w:r>
              <w:rPr>
                <w:rFonts w:ascii="Arial" w:cs="Arial" w:eastAsia="Arial" w:hAnsi="Arial"/>
                <w:sz w:val="18"/>
                <w:szCs w:val="18"/>
                <w:color w:val="auto"/>
              </w:rPr>
              <w:t>Co.</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(Part 1)</w:t>
            </w:r>
          </w:p>
        </w:tc>
      </w:tr>
      <w:tr>
        <w:trPr>
          <w:trHeight w:val="220"/>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Liability (AZ, CA, MA)</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Employers Liability</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WLR C49115428</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(Part 2):</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Accident</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Policy Limit</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Employee</w:t>
            </w:r>
          </w:p>
        </w:tc>
      </w:tr>
      <w:tr>
        <w:trPr>
          <w:trHeight w:val="414"/>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Workers’</w:t>
            </w:r>
          </w:p>
        </w:tc>
        <w:tc>
          <w:tcPr>
            <w:tcW w:w="2120" w:type="dxa"/>
            <w:vAlign w:val="bottom"/>
            <w:gridSpan w:val="2"/>
          </w:tcPr>
          <w:p>
            <w:pPr>
              <w:spacing w:after="0"/>
              <w:rPr>
                <w:sz w:val="20"/>
                <w:szCs w:val="20"/>
                <w:color w:val="auto"/>
              </w:rPr>
            </w:pPr>
            <w:r>
              <w:rPr>
                <w:rFonts w:ascii="Arial" w:cs="Arial" w:eastAsia="Arial" w:hAnsi="Arial"/>
                <w:sz w:val="18"/>
                <w:szCs w:val="18"/>
                <w:color w:val="auto"/>
              </w:rPr>
              <w:t>ACE Fire Underwriters</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SCF C49115441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0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Statutory</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2"/>
              </w:rPr>
              <w:t>Workers’ Compensation</w:t>
            </w: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3"/>
              </w:rPr>
              <w:t>Compensation/Employers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(Part 1)</w:t>
            </w:r>
          </w:p>
        </w:tc>
      </w:tr>
      <w:tr>
        <w:trPr>
          <w:trHeight w:val="220"/>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Liability (WI)</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Employers Liability</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(Part 2):</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Accident</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Policy Limit</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Employee</w:t>
            </w:r>
          </w:p>
        </w:tc>
      </w:tr>
      <w:tr>
        <w:trPr>
          <w:trHeight w:val="414"/>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Workers’</w:t>
            </w:r>
          </w:p>
        </w:tc>
        <w:tc>
          <w:tcPr>
            <w:tcW w:w="2120" w:type="dxa"/>
            <w:vAlign w:val="bottom"/>
            <w:gridSpan w:val="2"/>
          </w:tcPr>
          <w:p>
            <w:pPr>
              <w:spacing w:after="0"/>
              <w:rPr>
                <w:sz w:val="20"/>
                <w:szCs w:val="20"/>
                <w:color w:val="auto"/>
              </w:rPr>
            </w:pPr>
            <w:r>
              <w:rPr>
                <w:rFonts w:ascii="Arial" w:cs="Arial" w:eastAsia="Arial" w:hAnsi="Arial"/>
                <w:sz w:val="18"/>
                <w:szCs w:val="18"/>
                <w:color w:val="auto"/>
              </w:rPr>
              <w:t>Indemnity Insurance Co.</w:t>
            </w:r>
          </w:p>
        </w:tc>
        <w:tc>
          <w:tcPr>
            <w:tcW w:w="2140" w:type="dxa"/>
            <w:vAlign w:val="bottom"/>
            <w:gridSpan w:val="2"/>
          </w:tcPr>
          <w:p>
            <w:pPr>
              <w:ind w:left="320"/>
              <w:spacing w:after="0"/>
              <w:rPr>
                <w:sz w:val="20"/>
                <w:szCs w:val="20"/>
                <w:color w:val="auto"/>
              </w:rPr>
            </w:pPr>
            <w:r>
              <w:rPr>
                <w:rFonts w:ascii="Arial" w:cs="Arial" w:eastAsia="Arial" w:hAnsi="Arial"/>
                <w:sz w:val="18"/>
                <w:szCs w:val="18"/>
                <w:color w:val="auto"/>
              </w:rPr>
              <w:t>WLR C4911543A</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0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Statutory</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w w:val="92"/>
              </w:rPr>
              <w:t>Workers’ Compensation</w:t>
            </w: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3"/>
              </w:rPr>
              <w:t>Compensation/Employers</w:t>
            </w:r>
          </w:p>
        </w:tc>
        <w:tc>
          <w:tcPr>
            <w:tcW w:w="2120" w:type="dxa"/>
            <w:vAlign w:val="bottom"/>
            <w:gridSpan w:val="2"/>
          </w:tcPr>
          <w:p>
            <w:pPr>
              <w:spacing w:after="0"/>
              <w:rPr>
                <w:sz w:val="20"/>
                <w:szCs w:val="20"/>
                <w:color w:val="auto"/>
              </w:rPr>
            </w:pPr>
            <w:r>
              <w:rPr>
                <w:rFonts w:ascii="Arial" w:cs="Arial" w:eastAsia="Arial" w:hAnsi="Arial"/>
                <w:sz w:val="18"/>
                <w:szCs w:val="18"/>
                <w:color w:val="auto"/>
              </w:rPr>
              <w:t>of North America</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(Part 1)</w:t>
            </w:r>
          </w:p>
        </w:tc>
      </w:tr>
      <w:tr>
        <w:trPr>
          <w:trHeight w:val="220"/>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Liability (AOS)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Employers Liability</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(Part 2):</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Accident</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Policy Limit</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Employee</w:t>
            </w:r>
          </w:p>
        </w:tc>
      </w:tr>
      <w:tr>
        <w:trPr>
          <w:trHeight w:val="418"/>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Umbrella Liability</w:t>
            </w:r>
          </w:p>
        </w:tc>
        <w:tc>
          <w:tcPr>
            <w:tcW w:w="2120" w:type="dxa"/>
            <w:vAlign w:val="bottom"/>
            <w:gridSpan w:val="2"/>
          </w:tcPr>
          <w:p>
            <w:pPr>
              <w:spacing w:after="0"/>
              <w:rPr>
                <w:sz w:val="20"/>
                <w:szCs w:val="20"/>
                <w:color w:val="auto"/>
              </w:rPr>
            </w:pPr>
            <w:r>
              <w:rPr>
                <w:rFonts w:ascii="Arial" w:cs="Arial" w:eastAsia="Arial" w:hAnsi="Arial"/>
                <w:sz w:val="18"/>
                <w:szCs w:val="18"/>
                <w:color w:val="auto"/>
              </w:rPr>
              <w:t>Lexington Insurance Co.</w:t>
            </w: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025422567</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Occurrence</w:t>
            </w: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w w:val="94"/>
              </w:rPr>
              <w:t>(Premium includes $37,685</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General Aggregate</w:t>
            </w: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Surplus Lines Tax)</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Products Completed</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Operations Aggregate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Employee Benefits -</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Employee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Employee Benefits -</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r>
      <w:tr>
        <w:trPr>
          <w:trHeight w:val="418"/>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Excess Liability</w:t>
            </w:r>
          </w:p>
        </w:tc>
        <w:tc>
          <w:tcPr>
            <w:tcW w:w="2120" w:type="dxa"/>
            <w:vAlign w:val="bottom"/>
            <w:gridSpan w:val="2"/>
          </w:tcPr>
          <w:p>
            <w:pPr>
              <w:spacing w:after="0"/>
              <w:rPr>
                <w:sz w:val="20"/>
                <w:szCs w:val="20"/>
                <w:color w:val="auto"/>
              </w:rPr>
            </w:pPr>
            <w:r>
              <w:rPr>
                <w:rFonts w:ascii="Arial" w:cs="Arial" w:eastAsia="Arial" w:hAnsi="Arial"/>
                <w:sz w:val="18"/>
                <w:szCs w:val="18"/>
                <w:color w:val="auto"/>
              </w:rPr>
              <w:t>QBE Specialty Insurance</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CCU3968034</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Each Occurrence</w:t>
            </w: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w w:val="99"/>
              </w:rPr>
              <w:t>(Premium includes $4,713</w:t>
            </w:r>
          </w:p>
        </w:tc>
        <w:tc>
          <w:tcPr>
            <w:tcW w:w="2120" w:type="dxa"/>
            <w:vAlign w:val="bottom"/>
            <w:gridSpan w:val="2"/>
          </w:tcPr>
          <w:p>
            <w:pPr>
              <w:spacing w:after="0"/>
              <w:rPr>
                <w:sz w:val="20"/>
                <w:szCs w:val="20"/>
                <w:color w:val="auto"/>
              </w:rPr>
            </w:pPr>
            <w:r>
              <w:rPr>
                <w:rFonts w:ascii="Arial" w:cs="Arial" w:eastAsia="Arial" w:hAnsi="Arial"/>
                <w:sz w:val="18"/>
                <w:szCs w:val="18"/>
                <w:color w:val="auto"/>
              </w:rPr>
              <w:t>Co.</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General Aggregate</w:t>
            </w: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Surplus Lines Tax)</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Products Completed</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Operations Aggregate</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Excess $25,000,000</w:t>
            </w:r>
          </w:p>
        </w:tc>
      </w:tr>
      <w:tr>
        <w:trPr>
          <w:trHeight w:val="648"/>
        </w:trPr>
        <w:tc>
          <w:tcPr>
            <w:tcW w:w="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6" w:name="page237"/>
    <w:bookmarkEnd w:id="2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r>
      <w:tr>
        <w:trPr>
          <w:trHeight w:val="234"/>
        </w:trPr>
        <w:tc>
          <w:tcPr>
            <w:tcW w:w="20" w:type="dxa"/>
            <w:vAlign w:val="bottom"/>
          </w:tcPr>
          <w:p>
            <w:pPr>
              <w:spacing w:after="0"/>
              <w:rPr>
                <w:sz w:val="20"/>
                <w:szCs w:val="20"/>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120" w:type="dxa"/>
            <w:vAlign w:val="bottom"/>
          </w:tcPr>
          <w:p>
            <w:pPr>
              <w:spacing w:after="0"/>
              <w:rPr>
                <w:sz w:val="20"/>
                <w:szCs w:val="20"/>
                <w:color w:val="auto"/>
              </w:rPr>
            </w:pPr>
          </w:p>
        </w:tc>
        <w:tc>
          <w:tcPr>
            <w:tcW w:w="2200" w:type="dxa"/>
            <w:vAlign w:val="bottom"/>
            <w:gridSpan w:val="2"/>
          </w:tcPr>
          <w:p>
            <w:pPr>
              <w:ind w:left="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ARRIER</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1700" w:type="dxa"/>
            <w:vAlign w:val="bottom"/>
            <w:gridSpan w:val="2"/>
          </w:tcPr>
          <w:p>
            <w:pPr>
              <w:ind w:left="6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IMITS</w:t>
            </w:r>
          </w:p>
        </w:tc>
        <w:tc>
          <w:tcPr>
            <w:tcW w:w="1820" w:type="dxa"/>
            <w:vAlign w:val="bottom"/>
          </w:tcPr>
          <w:p>
            <w:pPr>
              <w:ind w:left="4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Excess Liability</w:t>
            </w:r>
          </w:p>
        </w:tc>
        <w:tc>
          <w:tcPr>
            <w:tcW w:w="120" w:type="dxa"/>
            <w:vAlign w:val="bottom"/>
          </w:tcPr>
          <w:p>
            <w:pPr>
              <w:spacing w:after="0"/>
              <w:rPr>
                <w:sz w:val="16"/>
                <w:szCs w:val="16"/>
                <w:color w:val="auto"/>
              </w:rPr>
            </w:pPr>
          </w:p>
        </w:tc>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Indemnity Insurance Co.</w:t>
            </w:r>
          </w:p>
        </w:tc>
        <w:tc>
          <w:tcPr>
            <w:tcW w:w="12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XSM G2797983A-002</w:t>
            </w: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$25,000,000</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Each Occurrence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of North America</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Aggregate (where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applicable)</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Excess $50,000,000</w:t>
            </w:r>
          </w:p>
        </w:tc>
      </w:tr>
      <w:tr>
        <w:trPr>
          <w:trHeight w:val="418"/>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Excess Liability</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Columbia Casualty</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6042766907</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Each Occurence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(Premium includes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w w:val="99"/>
              </w:rPr>
              <w:t>Aggregate Limt, where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$1,250 Surplus Lines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applicable</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Excess $75,000,000</w:t>
            </w: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Umbrella - Punitive</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American International</w:t>
            </w:r>
          </w:p>
        </w:tc>
        <w:tc>
          <w:tcPr>
            <w:tcW w:w="2040" w:type="dxa"/>
            <w:vAlign w:val="bottom"/>
          </w:tcPr>
          <w:p>
            <w:pPr>
              <w:jc w:val="right"/>
              <w:ind w:right="570"/>
              <w:spacing w:after="0"/>
              <w:rPr>
                <w:sz w:val="20"/>
                <w:szCs w:val="20"/>
                <w:color w:val="auto"/>
              </w:rPr>
            </w:pPr>
            <w:r>
              <w:rPr>
                <w:rFonts w:ascii="Arial" w:cs="Arial" w:eastAsia="Arial" w:hAnsi="Arial"/>
                <w:sz w:val="18"/>
                <w:szCs w:val="18"/>
                <w:color w:val="auto"/>
              </w:rPr>
              <w:t>16196170</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Each Occurrence</w:t>
            </w: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Damages</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Reinsurance Co. Ltd.</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Aggregate, where</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applicable</w:t>
            </w: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Excess - Punitive</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QBE Insurance (Europe)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BOWCN1700487</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Each Occurrence</w:t>
            </w: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Damages</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Annual Aggregate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Products Completed</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Operations Aggregate</w:t>
            </w: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Excess - Punitive</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Chubb Bermuda Insurance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GCA-PD/17</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Each Occurrence</w:t>
            </w: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Damages</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1820" w:type="dxa"/>
            <w:vAlign w:val="bottom"/>
          </w:tcPr>
          <w:p>
            <w:pPr>
              <w:spacing w:after="0"/>
              <w:rPr>
                <w:sz w:val="20"/>
                <w:szCs w:val="20"/>
                <w:color w:val="auto"/>
              </w:rPr>
            </w:pPr>
            <w:r>
              <w:rPr>
                <w:rFonts w:ascii="Arial" w:cs="Arial" w:eastAsia="Arial" w:hAnsi="Arial"/>
                <w:sz w:val="18"/>
                <w:szCs w:val="18"/>
                <w:color w:val="auto"/>
              </w:rPr>
              <w:t>Aggregate, where</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applicable</w:t>
            </w: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9"/>
              </w:rPr>
              <w:t>Employers Indemnity</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Great American E&amp;S</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05/01/17-18</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r>
              <w:rPr>
                <w:rFonts w:ascii="Arial" w:cs="Arial" w:eastAsia="Arial" w:hAnsi="Arial"/>
                <w:sz w:val="18"/>
                <w:szCs w:val="18"/>
                <w:color w:val="auto"/>
                <w:w w:val="96"/>
              </w:rPr>
              <w:t>Per Covered Employee</w:t>
            </w: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(TX)</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Insurance</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820" w:type="dxa"/>
            <w:vAlign w:val="bottom"/>
          </w:tcPr>
          <w:p>
            <w:pPr>
              <w:spacing w:after="0"/>
              <w:rPr>
                <w:sz w:val="20"/>
                <w:szCs w:val="20"/>
                <w:color w:val="auto"/>
              </w:rPr>
            </w:pPr>
            <w:r>
              <w:rPr>
                <w:rFonts w:ascii="Arial" w:cs="Arial" w:eastAsia="Arial" w:hAnsi="Arial"/>
                <w:sz w:val="18"/>
                <w:szCs w:val="18"/>
                <w:color w:val="auto"/>
              </w:rPr>
              <w:t>Per Occurrence</w:t>
            </w:r>
          </w:p>
        </w:tc>
      </w:tr>
      <w:tr>
        <w:trPr>
          <w:trHeight w:val="43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right"/>
              <w:ind w:right="680"/>
              <w:spacing w:after="0"/>
              <w:rPr>
                <w:sz w:val="20"/>
                <w:szCs w:val="20"/>
                <w:color w:val="auto"/>
              </w:rPr>
            </w:pPr>
            <w:r>
              <w:rPr>
                <w:rFonts w:ascii="Arial" w:cs="Arial" w:eastAsia="Arial" w:hAnsi="Arial"/>
                <w:sz w:val="18"/>
                <w:szCs w:val="18"/>
                <w:color w:val="auto"/>
              </w:rPr>
              <w:t>ECA3718789</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8"/>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Crime</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National Union Fire Ins.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01-832-89-87</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9/15/16-17</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$3,000,000</w:t>
            </w:r>
          </w:p>
        </w:tc>
        <w:tc>
          <w:tcPr>
            <w:tcW w:w="1820" w:type="dxa"/>
            <w:vAlign w:val="bottom"/>
          </w:tcPr>
          <w:p>
            <w:pPr>
              <w:spacing w:after="0"/>
              <w:rPr>
                <w:sz w:val="20"/>
                <w:szCs w:val="20"/>
                <w:color w:val="auto"/>
              </w:rPr>
            </w:pPr>
            <w:r>
              <w:rPr>
                <w:rFonts w:ascii="Arial" w:cs="Arial" w:eastAsia="Arial" w:hAnsi="Arial"/>
                <w:sz w:val="18"/>
                <w:szCs w:val="18"/>
                <w:color w:val="auto"/>
              </w:rPr>
              <w:t>Limit of Liability -</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Company of Pittsburgh, PA</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effective 07/01/17</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previously $2,000,000</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limit</w:t>
            </w: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9"/>
              </w:rPr>
              <w:t>Cyber &amp; Professional</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Lloyd’s of London (Beazley</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W1C879160101</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9/15/16-17</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Cyber - aggregate all</w:t>
            </w:r>
          </w:p>
        </w:tc>
      </w:tr>
      <w:tr>
        <w:trPr>
          <w:trHeight w:val="22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Services</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Syndicate)</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1820" w:type="dxa"/>
            <w:vAlign w:val="bottom"/>
          </w:tcPr>
          <w:p>
            <w:pPr>
              <w:spacing w:after="0"/>
              <w:rPr>
                <w:sz w:val="20"/>
                <w:szCs w:val="20"/>
                <w:color w:val="auto"/>
              </w:rPr>
            </w:pPr>
            <w:r>
              <w:rPr>
                <w:rFonts w:ascii="Arial" w:cs="Arial" w:eastAsia="Arial" w:hAnsi="Arial"/>
                <w:sz w:val="18"/>
                <w:szCs w:val="18"/>
                <w:color w:val="auto"/>
              </w:rPr>
              <w:t>claims</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40"/>
              <w:spacing w:after="0"/>
              <w:rPr>
                <w:sz w:val="20"/>
                <w:szCs w:val="20"/>
                <w:color w:val="auto"/>
              </w:rPr>
            </w:pPr>
            <w:r>
              <w:rPr>
                <w:rFonts w:ascii="Arial" w:cs="Arial" w:eastAsia="Arial" w:hAnsi="Arial"/>
                <w:sz w:val="18"/>
                <w:szCs w:val="18"/>
                <w:color w:val="auto"/>
              </w:rPr>
              <w:t>Professional Services</w:t>
            </w:r>
          </w:p>
        </w:tc>
      </w:tr>
      <w:tr>
        <w:trPr>
          <w:trHeight w:val="648"/>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u w:val="single" w:color="auto"/>
          <w:color w:val="auto"/>
        </w:rPr>
        <w:t>Puerto Rico</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gridSpan w:val="2"/>
          </w:tcPr>
          <w:p>
            <w:pPr>
              <w:ind w:left="5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OVERAGE</w:t>
            </w:r>
          </w:p>
        </w:tc>
        <w:tc>
          <w:tcPr>
            <w:tcW w:w="2020" w:type="dxa"/>
            <w:vAlign w:val="bottom"/>
          </w:tcPr>
          <w:p>
            <w:pPr>
              <w:ind w:left="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ARRIER</w:t>
            </w:r>
          </w:p>
        </w:tc>
        <w:tc>
          <w:tcPr>
            <w:tcW w:w="100" w:type="dxa"/>
            <w:vAlign w:val="bottom"/>
          </w:tcPr>
          <w:p>
            <w:pPr>
              <w:spacing w:after="0"/>
              <w:rPr>
                <w:sz w:val="20"/>
                <w:szCs w:val="20"/>
                <w:color w:val="auto"/>
              </w:rPr>
            </w:pPr>
          </w:p>
        </w:tc>
        <w:tc>
          <w:tcPr>
            <w:tcW w:w="1620" w:type="dxa"/>
            <w:vAlign w:val="bottom"/>
          </w:tcPr>
          <w:p>
            <w:pPr>
              <w:ind w:left="6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IMITS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7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4"/>
              </w:rPr>
              <w:t>Commercial Package</w:t>
            </w:r>
          </w:p>
        </w:tc>
        <w:tc>
          <w:tcPr>
            <w:tcW w:w="120" w:type="dxa"/>
            <w:vAlign w:val="bottom"/>
          </w:tcPr>
          <w:p>
            <w:pPr>
              <w:spacing w:after="0"/>
              <w:rPr>
                <w:sz w:val="16"/>
                <w:szCs w:val="16"/>
                <w:color w:val="auto"/>
              </w:rPr>
            </w:pPr>
          </w:p>
        </w:tc>
        <w:tc>
          <w:tcPr>
            <w:tcW w:w="20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8"/>
              </w:rPr>
              <w:t>Real Legacy Assurance</w:t>
            </w: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CPP-212002120-1</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02/13/17-18</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Policy</w:t>
            </w:r>
          </w:p>
        </w:tc>
        <w:tc>
          <w:tcPr>
            <w:tcW w:w="202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General Liability</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340"/>
              <w:spacing w:after="0"/>
              <w:rPr>
                <w:sz w:val="20"/>
                <w:szCs w:val="20"/>
                <w:color w:val="auto"/>
              </w:rPr>
            </w:pPr>
            <w:r>
              <w:rPr>
                <w:rFonts w:ascii="Arial" w:cs="Arial" w:eastAsia="Arial" w:hAnsi="Arial"/>
                <w:sz w:val="18"/>
                <w:szCs w:val="18"/>
                <w:color w:val="auto"/>
                <w:w w:val="90"/>
              </w:rPr>
              <w:t>$2,000,000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General 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340"/>
              <w:spacing w:after="0"/>
              <w:rPr>
                <w:sz w:val="20"/>
                <w:szCs w:val="20"/>
                <w:color w:val="auto"/>
              </w:rPr>
            </w:pPr>
            <w:r>
              <w:rPr>
                <w:rFonts w:ascii="Arial" w:cs="Arial" w:eastAsia="Arial" w:hAnsi="Arial"/>
                <w:sz w:val="18"/>
                <w:szCs w:val="18"/>
                <w:color w:val="auto"/>
                <w:w w:val="90"/>
              </w:rPr>
              <w:t>$2,000,000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$2,000,000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Products/Completed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340"/>
              <w:spacing w:after="0"/>
              <w:rPr>
                <w:sz w:val="20"/>
                <w:szCs w:val="20"/>
                <w:color w:val="auto"/>
              </w:rPr>
            </w:pPr>
            <w:r>
              <w:rPr>
                <w:rFonts w:ascii="Arial" w:cs="Arial" w:eastAsia="Arial" w:hAnsi="Arial"/>
                <w:sz w:val="18"/>
                <w:szCs w:val="18"/>
                <w:color w:val="auto"/>
                <w:w w:val="90"/>
              </w:rPr>
              <w:t>$2,000,000</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$100,000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Operations 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340"/>
              <w:spacing w:after="0"/>
              <w:rPr>
                <w:sz w:val="20"/>
                <w:szCs w:val="20"/>
                <w:color w:val="auto"/>
              </w:rPr>
            </w:pPr>
            <w:r>
              <w:rPr>
                <w:rFonts w:ascii="Arial" w:cs="Arial" w:eastAsia="Arial" w:hAnsi="Arial"/>
                <w:sz w:val="18"/>
                <w:szCs w:val="18"/>
                <w:color w:val="auto"/>
                <w:w w:val="90"/>
              </w:rPr>
              <w:t>$1,000,000</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w w:val="93"/>
              </w:rPr>
              <w:t>$1,000,000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Each Occurrence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Personal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Advertising Injury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Damage to Premises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w w:val="88"/>
              </w:rPr>
              <w:t>Rented to You Employee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Benefits -Each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Employee Employee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Benefits - 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Commercial Property</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7"/>
          </w:tcPr>
          <w:p>
            <w:pPr>
              <w:ind w:left="340"/>
              <w:spacing w:after="0"/>
              <w:rPr>
                <w:sz w:val="20"/>
                <w:szCs w:val="20"/>
                <w:color w:val="auto"/>
              </w:rPr>
            </w:pPr>
            <w:r>
              <w:rPr>
                <w:rFonts w:ascii="Arial" w:cs="Arial" w:eastAsia="Arial" w:hAnsi="Arial"/>
                <w:sz w:val="18"/>
                <w:szCs w:val="18"/>
                <w:color w:val="auto"/>
              </w:rPr>
              <w:t>$105,000 $125,000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BPP Blanket Limit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Business Income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Extra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3"/>
              </w:rPr>
              <w:t>Inland Marine (Contractors</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ind w:left="340"/>
              <w:spacing w:after="0"/>
              <w:rPr>
                <w:sz w:val="20"/>
                <w:szCs w:val="20"/>
                <w:color w:val="auto"/>
              </w:rPr>
            </w:pPr>
            <w:r>
              <w:rPr>
                <w:rFonts w:ascii="Arial" w:cs="Arial" w:eastAsia="Arial" w:hAnsi="Arial"/>
                <w:sz w:val="18"/>
                <w:szCs w:val="18"/>
                <w:color w:val="auto"/>
                <w:w w:val="89"/>
              </w:rPr>
              <w:t>$50,000</w:t>
            </w:r>
          </w:p>
        </w:tc>
        <w:tc>
          <w:tcPr>
            <w:tcW w:w="760" w:type="dxa"/>
            <w:vAlign w:val="bottom"/>
            <w:gridSpan w:val="3"/>
          </w:tcPr>
          <w:p>
            <w:pPr>
              <w:ind w:left="40"/>
              <w:spacing w:after="0"/>
              <w:rPr>
                <w:sz w:val="20"/>
                <w:szCs w:val="20"/>
                <w:color w:val="auto"/>
              </w:rPr>
            </w:pPr>
            <w:r>
              <w:rPr>
                <w:rFonts w:ascii="Arial" w:cs="Arial" w:eastAsia="Arial" w:hAnsi="Arial"/>
                <w:sz w:val="18"/>
                <w:szCs w:val="18"/>
                <w:color w:val="auto"/>
                <w:w w:val="93"/>
              </w:rPr>
              <w:t>$150,000</w:t>
            </w: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Electronic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ind w:left="340"/>
              <w:spacing w:after="0"/>
              <w:rPr>
                <w:sz w:val="20"/>
                <w:szCs w:val="20"/>
                <w:color w:val="auto"/>
              </w:rPr>
            </w:pPr>
            <w:r>
              <w:rPr>
                <w:rFonts w:ascii="Arial" w:cs="Arial" w:eastAsia="Arial" w:hAnsi="Arial"/>
                <w:sz w:val="18"/>
                <w:szCs w:val="18"/>
                <w:color w:val="auto"/>
                <w:w w:val="89"/>
              </w:rPr>
              <w:t>$39,500</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$50,000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Processing Misc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w w:val="92"/>
              </w:rPr>
              <w:t>Property Floater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or rented equipment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vMerge w:val="restart"/>
          </w:tcPr>
          <w:p>
            <w:pPr>
              <w:spacing w:after="0"/>
              <w:rPr>
                <w:sz w:val="20"/>
                <w:szCs w:val="20"/>
                <w:color w:val="auto"/>
              </w:rPr>
            </w:pPr>
            <w:r>
              <w:rPr>
                <w:rFonts w:ascii="Arial" w:cs="Arial" w:eastAsia="Arial" w:hAnsi="Arial"/>
                <w:sz w:val="18"/>
                <w:szCs w:val="18"/>
                <w:color w:val="auto"/>
              </w:rPr>
              <w:t>Crime &amp; Fidelity</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4"/>
            <w:vMerge w:val="restart"/>
          </w:tcPr>
          <w:p>
            <w:pPr>
              <w:ind w:left="340"/>
              <w:spacing w:after="0"/>
              <w:rPr>
                <w:sz w:val="20"/>
                <w:szCs w:val="20"/>
                <w:color w:val="auto"/>
              </w:rPr>
            </w:pPr>
            <w:r>
              <w:rPr>
                <w:rFonts w:ascii="Arial" w:cs="Arial" w:eastAsia="Arial" w:hAnsi="Arial"/>
                <w:sz w:val="18"/>
                <w:szCs w:val="18"/>
                <w:color w:val="auto"/>
              </w:rPr>
              <w:t>$250,000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Valuable papers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Commercial Auto</w:t>
            </w:r>
          </w:p>
        </w:tc>
        <w:tc>
          <w:tcPr>
            <w:tcW w:w="2020" w:type="dxa"/>
            <w:vAlign w:val="bottom"/>
          </w:tcPr>
          <w:p>
            <w:pPr>
              <w:spacing w:after="0"/>
              <w:rPr>
                <w:sz w:val="20"/>
                <w:szCs w:val="20"/>
                <w:color w:val="auto"/>
              </w:rPr>
            </w:pPr>
            <w:r>
              <w:rPr>
                <w:rFonts w:ascii="Arial" w:cs="Arial" w:eastAsia="Arial" w:hAnsi="Arial"/>
                <w:sz w:val="18"/>
                <w:szCs w:val="18"/>
                <w:b w:val="1"/>
                <w:bCs w:val="1"/>
                <w:color w:val="auto"/>
                <w:w w:val="98"/>
              </w:rPr>
              <w:t>Real Legacy Assurance</w:t>
            </w:r>
          </w:p>
        </w:tc>
        <w:tc>
          <w:tcPr>
            <w:tcW w:w="10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15-CA212501037-1</w:t>
            </w:r>
          </w:p>
        </w:tc>
        <w:tc>
          <w:tcPr>
            <w:tcW w:w="1700" w:type="dxa"/>
            <w:vAlign w:val="bottom"/>
            <w:gridSpan w:val="4"/>
          </w:tcPr>
          <w:p>
            <w:pPr>
              <w:ind w:left="500"/>
              <w:spacing w:after="0"/>
              <w:rPr>
                <w:sz w:val="20"/>
                <w:szCs w:val="20"/>
                <w:color w:val="auto"/>
              </w:rPr>
            </w:pPr>
            <w:r>
              <w:rPr>
                <w:rFonts w:ascii="Arial" w:cs="Arial" w:eastAsia="Arial" w:hAnsi="Arial"/>
                <w:sz w:val="18"/>
                <w:szCs w:val="18"/>
                <w:color w:val="auto"/>
              </w:rPr>
              <w:t>02/13/17-18</w:t>
            </w:r>
          </w:p>
        </w:tc>
        <w:tc>
          <w:tcPr>
            <w:tcW w:w="120" w:type="dxa"/>
            <w:vAlign w:val="bottom"/>
          </w:tcPr>
          <w:p>
            <w:pPr>
              <w:spacing w:after="0"/>
              <w:rPr>
                <w:sz w:val="24"/>
                <w:szCs w:val="24"/>
                <w:color w:val="auto"/>
              </w:rPr>
            </w:pPr>
          </w:p>
        </w:tc>
        <w:tc>
          <w:tcPr>
            <w:tcW w:w="1180" w:type="dxa"/>
            <w:vAlign w:val="bottom"/>
            <w:gridSpan w:val="4"/>
          </w:tcPr>
          <w:p>
            <w:pPr>
              <w:ind w:left="340"/>
              <w:spacing w:after="0"/>
              <w:rPr>
                <w:sz w:val="20"/>
                <w:szCs w:val="20"/>
                <w:color w:val="auto"/>
              </w:rPr>
            </w:pPr>
            <w:r>
              <w:rPr>
                <w:rFonts w:ascii="Arial" w:cs="Arial" w:eastAsia="Arial" w:hAnsi="Arial"/>
                <w:sz w:val="18"/>
                <w:szCs w:val="18"/>
                <w:color w:val="auto"/>
                <w:w w:val="90"/>
              </w:rPr>
              <w:t>$1,000,000</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7"/>
              </w:rPr>
              <w:t>$5,000</w:t>
            </w:r>
          </w:p>
        </w:tc>
        <w:tc>
          <w:tcPr>
            <w:tcW w:w="360" w:type="dxa"/>
            <w:vAlign w:val="bottom"/>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w w:val="98"/>
              </w:rPr>
              <w:t>Combined Single Limit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color w:val="auto"/>
                <w:w w:val="96"/>
              </w:rPr>
              <w:t>Reject/Min</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 Liability Medical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Payments UM/UIM</w:t>
            </w:r>
          </w:p>
        </w:tc>
        <w:tc>
          <w:tcPr>
            <w:tcW w:w="0" w:type="dxa"/>
            <w:vAlign w:val="bottom"/>
          </w:tcPr>
          <w:p>
            <w:pPr>
              <w:spacing w:after="0"/>
              <w:rPr>
                <w:sz w:val="1"/>
                <w:szCs w:val="1"/>
                <w:color w:val="auto"/>
              </w:rPr>
            </w:pPr>
          </w:p>
        </w:tc>
      </w:tr>
      <w:tr>
        <w:trPr>
          <w:trHeight w:val="414"/>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w w:val="96"/>
              </w:rPr>
              <w:t>Employment Practices</w:t>
            </w:r>
          </w:p>
        </w:tc>
        <w:tc>
          <w:tcPr>
            <w:tcW w:w="2020" w:type="dxa"/>
            <w:vAlign w:val="bottom"/>
          </w:tcPr>
          <w:p>
            <w:pPr>
              <w:spacing w:after="0"/>
              <w:rPr>
                <w:sz w:val="20"/>
                <w:szCs w:val="20"/>
                <w:color w:val="auto"/>
              </w:rPr>
            </w:pPr>
            <w:r>
              <w:rPr>
                <w:rFonts w:ascii="Arial" w:cs="Arial" w:eastAsia="Arial" w:hAnsi="Arial"/>
                <w:sz w:val="18"/>
                <w:szCs w:val="18"/>
                <w:color w:val="auto"/>
              </w:rPr>
              <w:t>AIG Insurance Company</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024-001002585-01</w:t>
            </w:r>
          </w:p>
        </w:tc>
        <w:tc>
          <w:tcPr>
            <w:tcW w:w="1700" w:type="dxa"/>
            <w:vAlign w:val="bottom"/>
            <w:gridSpan w:val="4"/>
          </w:tcPr>
          <w:p>
            <w:pPr>
              <w:ind w:left="500"/>
              <w:spacing w:after="0"/>
              <w:rPr>
                <w:sz w:val="20"/>
                <w:szCs w:val="20"/>
                <w:color w:val="auto"/>
              </w:rPr>
            </w:pPr>
            <w:r>
              <w:rPr>
                <w:rFonts w:ascii="Arial" w:cs="Arial" w:eastAsia="Arial" w:hAnsi="Arial"/>
                <w:sz w:val="18"/>
                <w:szCs w:val="18"/>
                <w:color w:val="auto"/>
              </w:rPr>
              <w:t>4/2/17-18</w:t>
            </w:r>
          </w:p>
        </w:tc>
        <w:tc>
          <w:tcPr>
            <w:tcW w:w="120" w:type="dxa"/>
            <w:vAlign w:val="bottom"/>
          </w:tcPr>
          <w:p>
            <w:pPr>
              <w:spacing w:after="0"/>
              <w:rPr>
                <w:sz w:val="24"/>
                <w:szCs w:val="24"/>
                <w:color w:val="auto"/>
              </w:rPr>
            </w:pPr>
          </w:p>
        </w:tc>
        <w:tc>
          <w:tcPr>
            <w:tcW w:w="1180" w:type="dxa"/>
            <w:vAlign w:val="bottom"/>
            <w:gridSpan w:val="4"/>
          </w:tcPr>
          <w:p>
            <w:pPr>
              <w:ind w:left="340"/>
              <w:spacing w:after="0"/>
              <w:rPr>
                <w:sz w:val="20"/>
                <w:szCs w:val="20"/>
                <w:color w:val="auto"/>
              </w:rPr>
            </w:pPr>
            <w:r>
              <w:rPr>
                <w:rFonts w:ascii="Arial" w:cs="Arial" w:eastAsia="Arial" w:hAnsi="Arial"/>
                <w:sz w:val="18"/>
                <w:szCs w:val="18"/>
                <w:color w:val="auto"/>
                <w:w w:val="90"/>
              </w:rPr>
              <w:t>$1,000,000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EPL limit</w:t>
            </w:r>
          </w:p>
        </w:tc>
        <w:tc>
          <w:tcPr>
            <w:tcW w:w="0" w:type="dxa"/>
            <w:vAlign w:val="bottom"/>
          </w:tcPr>
          <w:p>
            <w:pPr>
              <w:spacing w:after="0"/>
              <w:rPr>
                <w:sz w:val="1"/>
                <w:szCs w:val="1"/>
                <w:color w:val="auto"/>
              </w:rPr>
            </w:pPr>
          </w:p>
        </w:tc>
      </w:tr>
      <w:tr>
        <w:trPr>
          <w:trHeight w:val="234"/>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Liability</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10"/>
          </w:tcPr>
          <w:p>
            <w:pPr>
              <w:jc w:val="right"/>
              <w:ind w:right="79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ONOPOLISTIC</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ORKERS</w:t>
            </w:r>
            <w:r>
              <w:rPr>
                <w:rFonts w:ascii="Arial" w:cs="Arial" w:eastAsia="Arial" w:hAnsi="Arial"/>
                <w:sz w:val="18"/>
                <w:szCs w:val="18"/>
                <w:b w:val="1"/>
                <w:bCs w:val="1"/>
                <w:color w:val="auto"/>
              </w:rPr>
              <w:t>'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6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NTITY</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53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ERIOD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GCA Services Group, Inc.</w:t>
            </w: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Ohio</w:t>
            </w: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right"/>
              <w:ind w:right="70"/>
              <w:spacing w:after="0" w:line="195" w:lineRule="exact"/>
              <w:rPr>
                <w:sz w:val="20"/>
                <w:szCs w:val="20"/>
                <w:color w:val="auto"/>
              </w:rPr>
            </w:pPr>
            <w:r>
              <w:rPr>
                <w:rFonts w:ascii="Arial" w:cs="Arial" w:eastAsia="Arial" w:hAnsi="Arial"/>
                <w:sz w:val="18"/>
                <w:szCs w:val="18"/>
                <w:color w:val="auto"/>
                <w:w w:val="88"/>
              </w:rPr>
              <w:t>1536290-0</w:t>
            </w: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top w:val="single" w:sz="8" w:color="auto"/>
            </w:tcBorders>
            <w:gridSpan w:val="3"/>
          </w:tcPr>
          <w:p>
            <w:pPr>
              <w:jc w:val="right"/>
              <w:ind w:right="1130"/>
              <w:spacing w:after="0" w:line="195" w:lineRule="exact"/>
              <w:rPr>
                <w:sz w:val="20"/>
                <w:szCs w:val="20"/>
                <w:color w:val="auto"/>
              </w:rPr>
            </w:pPr>
            <w:r>
              <w:rPr>
                <w:rFonts w:ascii="Arial" w:cs="Arial" w:eastAsia="Arial" w:hAnsi="Arial"/>
                <w:sz w:val="18"/>
                <w:szCs w:val="18"/>
                <w:color w:val="auto"/>
                <w:w w:val="89"/>
              </w:rPr>
              <w:t>7/1/17 - 7/1/18</w:t>
            </w:r>
          </w:p>
        </w:tc>
        <w:tc>
          <w:tcPr>
            <w:tcW w:w="0" w:type="dxa"/>
            <w:vAlign w:val="bottom"/>
          </w:tcPr>
          <w:p>
            <w:pPr>
              <w:spacing w:after="0"/>
              <w:rPr>
                <w:sz w:val="1"/>
                <w:szCs w:val="1"/>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GCA Services Group of North Carolina, Inc.</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5"/>
          </w:tcPr>
          <w:p>
            <w:pPr>
              <w:ind w:left="120"/>
              <w:spacing w:after="0"/>
              <w:rPr>
                <w:sz w:val="20"/>
                <w:szCs w:val="20"/>
                <w:color w:val="auto"/>
              </w:rPr>
            </w:pPr>
            <w:r>
              <w:rPr>
                <w:rFonts w:ascii="Arial" w:cs="Arial" w:eastAsia="Arial" w:hAnsi="Arial"/>
                <w:sz w:val="18"/>
                <w:szCs w:val="18"/>
                <w:color w:val="auto"/>
              </w:rPr>
              <w:t>Ohio</w:t>
            </w:r>
          </w:p>
        </w:tc>
        <w:tc>
          <w:tcPr>
            <w:tcW w:w="94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1471037-0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jc w:val="right"/>
              <w:ind w:right="1130"/>
              <w:spacing w:after="0"/>
              <w:rPr>
                <w:sz w:val="20"/>
                <w:szCs w:val="20"/>
                <w:color w:val="auto"/>
              </w:rPr>
            </w:pPr>
            <w:r>
              <w:rPr>
                <w:rFonts w:ascii="Arial" w:cs="Arial" w:eastAsia="Arial" w:hAnsi="Arial"/>
                <w:sz w:val="18"/>
                <w:szCs w:val="18"/>
                <w:color w:val="auto"/>
                <w:w w:val="89"/>
              </w:rPr>
              <w:t>7/1/17 - 7/1/18</w:t>
            </w:r>
          </w:p>
        </w:tc>
        <w:tc>
          <w:tcPr>
            <w:tcW w:w="0" w:type="dxa"/>
            <w:vAlign w:val="bottom"/>
          </w:tcPr>
          <w:p>
            <w:pPr>
              <w:spacing w:after="0"/>
              <w:rPr>
                <w:sz w:val="1"/>
                <w:szCs w:val="1"/>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GCA Nuclear Facility Services, Inc.</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5"/>
          </w:tcPr>
          <w:p>
            <w:pPr>
              <w:ind w:left="120"/>
              <w:spacing w:after="0"/>
              <w:rPr>
                <w:sz w:val="20"/>
                <w:szCs w:val="20"/>
                <w:color w:val="auto"/>
              </w:rPr>
            </w:pPr>
            <w:r>
              <w:rPr>
                <w:rFonts w:ascii="Arial" w:cs="Arial" w:eastAsia="Arial" w:hAnsi="Arial"/>
                <w:sz w:val="18"/>
                <w:szCs w:val="18"/>
                <w:color w:val="auto"/>
              </w:rPr>
              <w:t>Ohio</w:t>
            </w:r>
          </w:p>
        </w:tc>
        <w:tc>
          <w:tcPr>
            <w:tcW w:w="94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1595354-0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jc w:val="right"/>
              <w:ind w:right="1130"/>
              <w:spacing w:after="0"/>
              <w:rPr>
                <w:sz w:val="20"/>
                <w:szCs w:val="20"/>
                <w:color w:val="auto"/>
              </w:rPr>
            </w:pPr>
            <w:r>
              <w:rPr>
                <w:rFonts w:ascii="Arial" w:cs="Arial" w:eastAsia="Arial" w:hAnsi="Arial"/>
                <w:sz w:val="18"/>
                <w:szCs w:val="18"/>
                <w:color w:val="auto"/>
                <w:w w:val="89"/>
              </w:rPr>
              <w:t>7/1/17 - 7/1/18</w:t>
            </w:r>
          </w:p>
        </w:tc>
        <w:tc>
          <w:tcPr>
            <w:tcW w:w="0" w:type="dxa"/>
            <w:vAlign w:val="bottom"/>
          </w:tcPr>
          <w:p>
            <w:pPr>
              <w:spacing w:after="0"/>
              <w:rPr>
                <w:sz w:val="1"/>
                <w:szCs w:val="1"/>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GCA Education Services, Inc.</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5"/>
          </w:tcPr>
          <w:p>
            <w:pPr>
              <w:ind w:left="120"/>
              <w:spacing w:after="0"/>
              <w:rPr>
                <w:sz w:val="20"/>
                <w:szCs w:val="20"/>
                <w:color w:val="auto"/>
              </w:rPr>
            </w:pPr>
            <w:r>
              <w:rPr>
                <w:rFonts w:ascii="Arial" w:cs="Arial" w:eastAsia="Arial" w:hAnsi="Arial"/>
                <w:sz w:val="18"/>
                <w:szCs w:val="18"/>
                <w:color w:val="auto"/>
              </w:rPr>
              <w:t>Ohio</w:t>
            </w:r>
          </w:p>
        </w:tc>
        <w:tc>
          <w:tcPr>
            <w:tcW w:w="94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1581244-0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jc w:val="right"/>
              <w:ind w:right="1130"/>
              <w:spacing w:after="0"/>
              <w:rPr>
                <w:sz w:val="20"/>
                <w:szCs w:val="20"/>
                <w:color w:val="auto"/>
              </w:rPr>
            </w:pPr>
            <w:r>
              <w:rPr>
                <w:rFonts w:ascii="Arial" w:cs="Arial" w:eastAsia="Arial" w:hAnsi="Arial"/>
                <w:sz w:val="18"/>
                <w:szCs w:val="18"/>
                <w:color w:val="auto"/>
                <w:w w:val="89"/>
              </w:rPr>
              <w:t>7/1/17 - 7/1/18</w:t>
            </w:r>
          </w:p>
        </w:tc>
        <w:tc>
          <w:tcPr>
            <w:tcW w:w="0" w:type="dxa"/>
            <w:vAlign w:val="bottom"/>
          </w:tcPr>
          <w:p>
            <w:pPr>
              <w:spacing w:after="0"/>
              <w:rPr>
                <w:sz w:val="1"/>
                <w:szCs w:val="1"/>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GCA Services Group of Texas, LP</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5"/>
          </w:tcPr>
          <w:p>
            <w:pPr>
              <w:ind w:left="120"/>
              <w:spacing w:after="0"/>
              <w:rPr>
                <w:sz w:val="20"/>
                <w:szCs w:val="20"/>
                <w:color w:val="auto"/>
              </w:rPr>
            </w:pPr>
            <w:r>
              <w:rPr>
                <w:rFonts w:ascii="Arial" w:cs="Arial" w:eastAsia="Arial" w:hAnsi="Arial"/>
                <w:sz w:val="18"/>
                <w:szCs w:val="18"/>
                <w:color w:val="auto"/>
              </w:rPr>
              <w:t>Ohio</w:t>
            </w:r>
          </w:p>
        </w:tc>
        <w:tc>
          <w:tcPr>
            <w:tcW w:w="94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1730229-0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jc w:val="right"/>
              <w:ind w:right="1130"/>
              <w:spacing w:after="0"/>
              <w:rPr>
                <w:sz w:val="20"/>
                <w:szCs w:val="20"/>
                <w:color w:val="auto"/>
              </w:rPr>
            </w:pPr>
            <w:r>
              <w:rPr>
                <w:rFonts w:ascii="Arial" w:cs="Arial" w:eastAsia="Arial" w:hAnsi="Arial"/>
                <w:sz w:val="18"/>
                <w:szCs w:val="18"/>
                <w:color w:val="auto"/>
                <w:w w:val="89"/>
              </w:rPr>
              <w:t>7/1/17 - 7/1/18</w:t>
            </w:r>
          </w:p>
        </w:tc>
        <w:tc>
          <w:tcPr>
            <w:tcW w:w="0" w:type="dxa"/>
            <w:vAlign w:val="bottom"/>
          </w:tcPr>
          <w:p>
            <w:pPr>
              <w:spacing w:after="0"/>
              <w:rPr>
                <w:sz w:val="1"/>
                <w:szCs w:val="1"/>
                <w:color w:val="auto"/>
              </w:rPr>
            </w:pPr>
          </w:p>
        </w:tc>
      </w:tr>
      <w:tr>
        <w:trPr>
          <w:trHeight w:val="230"/>
        </w:trPr>
        <w:tc>
          <w:tcPr>
            <w:tcW w:w="3900" w:type="dxa"/>
            <w:vAlign w:val="bottom"/>
            <w:gridSpan w:val="4"/>
          </w:tcPr>
          <w:p>
            <w:pPr>
              <w:spacing w:after="0"/>
              <w:rPr>
                <w:sz w:val="20"/>
                <w:szCs w:val="20"/>
                <w:color w:val="auto"/>
              </w:rPr>
            </w:pPr>
            <w:r>
              <w:rPr>
                <w:rFonts w:ascii="Arial" w:cs="Arial" w:eastAsia="Arial" w:hAnsi="Arial"/>
                <w:sz w:val="18"/>
                <w:szCs w:val="18"/>
                <w:color w:val="auto"/>
              </w:rPr>
              <w:t>GCA Production Services, Inc.</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gridSpan w:val="5"/>
          </w:tcPr>
          <w:p>
            <w:pPr>
              <w:ind w:left="120"/>
              <w:spacing w:after="0"/>
              <w:rPr>
                <w:sz w:val="20"/>
                <w:szCs w:val="20"/>
                <w:color w:val="auto"/>
              </w:rPr>
            </w:pPr>
            <w:r>
              <w:rPr>
                <w:rFonts w:ascii="Arial" w:cs="Arial" w:eastAsia="Arial" w:hAnsi="Arial"/>
                <w:sz w:val="18"/>
                <w:szCs w:val="18"/>
                <w:color w:val="auto"/>
              </w:rPr>
              <w:t>Ohio</w:t>
            </w:r>
          </w:p>
        </w:tc>
        <w:tc>
          <w:tcPr>
            <w:tcW w:w="94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1595351-0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jc w:val="right"/>
              <w:ind w:right="1130"/>
              <w:spacing w:after="0"/>
              <w:rPr>
                <w:sz w:val="20"/>
                <w:szCs w:val="20"/>
                <w:color w:val="auto"/>
              </w:rPr>
            </w:pPr>
            <w:r>
              <w:rPr>
                <w:rFonts w:ascii="Arial" w:cs="Arial" w:eastAsia="Arial" w:hAnsi="Arial"/>
                <w:sz w:val="18"/>
                <w:szCs w:val="18"/>
                <w:color w:val="auto"/>
                <w:w w:val="89"/>
              </w:rPr>
              <w:t>7/1/17 - 7/1/18</w:t>
            </w:r>
          </w:p>
        </w:tc>
        <w:tc>
          <w:tcPr>
            <w:tcW w:w="0" w:type="dxa"/>
            <w:vAlign w:val="bottom"/>
          </w:tcPr>
          <w:p>
            <w:pPr>
              <w:spacing w:after="0"/>
              <w:rPr>
                <w:sz w:val="1"/>
                <w:szCs w:val="1"/>
                <w:color w:val="auto"/>
              </w:rPr>
            </w:pPr>
          </w:p>
        </w:tc>
      </w:tr>
      <w:tr>
        <w:trPr>
          <w:trHeight w:val="64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ONOPOLISTIC</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ORKERS</w:t>
      </w:r>
      <w:r>
        <w:rPr>
          <w:rFonts w:ascii="Arial" w:cs="Arial" w:eastAsia="Arial" w:hAnsi="Arial"/>
          <w:sz w:val="18"/>
          <w:szCs w:val="18"/>
          <w:b w:val="1"/>
          <w:bCs w:val="1"/>
          <w:color w:val="auto"/>
        </w:rPr>
        <w:t>'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ind w:left="520"/>
              <w:spacing w:after="0" w:line="191" w:lineRule="exact"/>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p>
        </w:tc>
        <w:tc>
          <w:tcPr>
            <w:tcW w:w="2280" w:type="dxa"/>
            <w:vAlign w:val="bottom"/>
            <w:tcBorders>
              <w:top w:val="single" w:sz="8" w:color="auto"/>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5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NTITY</w:t>
            </w:r>
          </w:p>
        </w:tc>
        <w:tc>
          <w:tcPr>
            <w:tcW w:w="120" w:type="dxa"/>
            <w:vAlign w:val="bottom"/>
          </w:tcPr>
          <w:p>
            <w:pPr>
              <w:spacing w:after="0"/>
              <w:rPr>
                <w:sz w:val="20"/>
                <w:szCs w:val="20"/>
                <w:color w:val="auto"/>
              </w:rPr>
            </w:pPr>
          </w:p>
        </w:tc>
        <w:tc>
          <w:tcPr>
            <w:tcW w:w="1700" w:type="dxa"/>
            <w:vAlign w:val="bottom"/>
            <w:gridSpan w:val="2"/>
          </w:tcPr>
          <w:p>
            <w:pPr>
              <w:ind w:left="5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w:t>
            </w:r>
          </w:p>
        </w:tc>
        <w:tc>
          <w:tcPr>
            <w:tcW w:w="1700" w:type="dxa"/>
            <w:vAlign w:val="bottom"/>
            <w:gridSpan w:val="2"/>
          </w:tcPr>
          <w:p>
            <w:pPr>
              <w:ind w:left="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p>
        </w:tc>
        <w:tc>
          <w:tcPr>
            <w:tcW w:w="2280" w:type="dxa"/>
            <w:vAlign w:val="bottom"/>
          </w:tcPr>
          <w:p>
            <w:pPr>
              <w:jc w:val="right"/>
              <w:ind w:right="53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ERIOD</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GCA Services Group of Northwestern States, Inc.</w:t>
            </w: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Washington</w:t>
            </w: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89786405</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right"/>
              <w:ind w:right="1030"/>
              <w:spacing w:after="0" w:line="195" w:lineRule="exact"/>
              <w:rPr>
                <w:sz w:val="20"/>
                <w:szCs w:val="20"/>
                <w:color w:val="auto"/>
              </w:rPr>
            </w:pPr>
            <w:r>
              <w:rPr>
                <w:rFonts w:ascii="Arial" w:cs="Arial" w:eastAsia="Arial" w:hAnsi="Arial"/>
                <w:sz w:val="18"/>
                <w:szCs w:val="18"/>
                <w:color w:val="auto"/>
                <w:w w:val="90"/>
              </w:rPr>
              <w:t>7/1/17 - 6/30/18</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GCA Production Services, Inc.</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1580" w:type="dxa"/>
            <w:vAlign w:val="bottom"/>
          </w:tcPr>
          <w:p>
            <w:pPr>
              <w:spacing w:after="0"/>
              <w:rPr>
                <w:sz w:val="20"/>
                <w:szCs w:val="20"/>
                <w:color w:val="auto"/>
              </w:rPr>
            </w:pPr>
            <w:r>
              <w:rPr>
                <w:rFonts w:ascii="Arial" w:cs="Arial" w:eastAsia="Arial" w:hAnsi="Arial"/>
                <w:sz w:val="18"/>
                <w:szCs w:val="18"/>
                <w:color w:val="auto"/>
              </w:rPr>
              <w:t>89786406</w:t>
            </w:r>
          </w:p>
        </w:tc>
        <w:tc>
          <w:tcPr>
            <w:tcW w:w="120" w:type="dxa"/>
            <w:vAlign w:val="bottom"/>
          </w:tcPr>
          <w:p>
            <w:pPr>
              <w:spacing w:after="0"/>
              <w:rPr>
                <w:sz w:val="18"/>
                <w:szCs w:val="18"/>
                <w:color w:val="auto"/>
              </w:rPr>
            </w:pPr>
          </w:p>
        </w:tc>
        <w:tc>
          <w:tcPr>
            <w:tcW w:w="2280" w:type="dxa"/>
            <w:vAlign w:val="bottom"/>
          </w:tcPr>
          <w:p>
            <w:pPr>
              <w:jc w:val="right"/>
              <w:ind w:right="1030"/>
              <w:spacing w:after="0"/>
              <w:rPr>
                <w:sz w:val="20"/>
                <w:szCs w:val="20"/>
                <w:color w:val="auto"/>
              </w:rPr>
            </w:pPr>
            <w:r>
              <w:rPr>
                <w:rFonts w:ascii="Arial" w:cs="Arial" w:eastAsia="Arial" w:hAnsi="Arial"/>
                <w:sz w:val="18"/>
                <w:szCs w:val="18"/>
                <w:color w:val="auto"/>
                <w:w w:val="90"/>
              </w:rPr>
              <w:t>7/1/17 - 6/30/18</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GCA Education Services, Inc.</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1580" w:type="dxa"/>
            <w:vAlign w:val="bottom"/>
          </w:tcPr>
          <w:p>
            <w:pPr>
              <w:spacing w:after="0"/>
              <w:rPr>
                <w:sz w:val="20"/>
                <w:szCs w:val="20"/>
                <w:color w:val="auto"/>
              </w:rPr>
            </w:pPr>
            <w:r>
              <w:rPr>
                <w:rFonts w:ascii="Arial" w:cs="Arial" w:eastAsia="Arial" w:hAnsi="Arial"/>
                <w:sz w:val="18"/>
                <w:szCs w:val="18"/>
                <w:color w:val="auto"/>
              </w:rPr>
              <w:t>89786407</w:t>
            </w:r>
          </w:p>
        </w:tc>
        <w:tc>
          <w:tcPr>
            <w:tcW w:w="120" w:type="dxa"/>
            <w:vAlign w:val="bottom"/>
          </w:tcPr>
          <w:p>
            <w:pPr>
              <w:spacing w:after="0"/>
              <w:rPr>
                <w:sz w:val="18"/>
                <w:szCs w:val="18"/>
                <w:color w:val="auto"/>
              </w:rPr>
            </w:pPr>
          </w:p>
        </w:tc>
        <w:tc>
          <w:tcPr>
            <w:tcW w:w="2280" w:type="dxa"/>
            <w:vAlign w:val="bottom"/>
          </w:tcPr>
          <w:p>
            <w:pPr>
              <w:jc w:val="right"/>
              <w:ind w:right="1030"/>
              <w:spacing w:after="0"/>
              <w:rPr>
                <w:sz w:val="20"/>
                <w:szCs w:val="20"/>
                <w:color w:val="auto"/>
              </w:rPr>
            </w:pPr>
            <w:r>
              <w:rPr>
                <w:rFonts w:ascii="Arial" w:cs="Arial" w:eastAsia="Arial" w:hAnsi="Arial"/>
                <w:sz w:val="18"/>
                <w:szCs w:val="18"/>
                <w:color w:val="auto"/>
                <w:w w:val="90"/>
              </w:rPr>
              <w:t>7/1/17 - 6/30/18</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GCA Services Group of Texas, LP</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1580" w:type="dxa"/>
            <w:vAlign w:val="bottom"/>
          </w:tcPr>
          <w:p>
            <w:pPr>
              <w:spacing w:after="0"/>
              <w:rPr>
                <w:sz w:val="20"/>
                <w:szCs w:val="20"/>
                <w:color w:val="auto"/>
              </w:rPr>
            </w:pPr>
            <w:r>
              <w:rPr>
                <w:rFonts w:ascii="Arial" w:cs="Arial" w:eastAsia="Arial" w:hAnsi="Arial"/>
                <w:sz w:val="18"/>
                <w:szCs w:val="18"/>
                <w:color w:val="auto"/>
              </w:rPr>
              <w:t>20262500</w:t>
            </w:r>
          </w:p>
        </w:tc>
        <w:tc>
          <w:tcPr>
            <w:tcW w:w="120" w:type="dxa"/>
            <w:vAlign w:val="bottom"/>
          </w:tcPr>
          <w:p>
            <w:pPr>
              <w:spacing w:after="0"/>
              <w:rPr>
                <w:sz w:val="18"/>
                <w:szCs w:val="18"/>
                <w:color w:val="auto"/>
              </w:rPr>
            </w:pPr>
          </w:p>
        </w:tc>
        <w:tc>
          <w:tcPr>
            <w:tcW w:w="2280" w:type="dxa"/>
            <w:vAlign w:val="bottom"/>
          </w:tcPr>
          <w:p>
            <w:pPr>
              <w:jc w:val="right"/>
              <w:ind w:right="1030"/>
              <w:spacing w:after="0"/>
              <w:rPr>
                <w:sz w:val="20"/>
                <w:szCs w:val="20"/>
                <w:color w:val="auto"/>
              </w:rPr>
            </w:pPr>
            <w:r>
              <w:rPr>
                <w:rFonts w:ascii="Arial" w:cs="Arial" w:eastAsia="Arial" w:hAnsi="Arial"/>
                <w:sz w:val="18"/>
                <w:szCs w:val="18"/>
                <w:color w:val="auto"/>
                <w:w w:val="90"/>
              </w:rPr>
              <w:t>7/1/17 - 6/30/18</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National Building Maintenance Corp.</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Puerto Rico</w:t>
            </w:r>
          </w:p>
        </w:tc>
        <w:tc>
          <w:tcPr>
            <w:tcW w:w="1580" w:type="dxa"/>
            <w:vAlign w:val="bottom"/>
          </w:tcPr>
          <w:p>
            <w:pPr>
              <w:spacing w:after="0"/>
              <w:rPr>
                <w:sz w:val="20"/>
                <w:szCs w:val="20"/>
                <w:color w:val="auto"/>
              </w:rPr>
            </w:pPr>
            <w:r>
              <w:rPr>
                <w:rFonts w:ascii="Arial" w:cs="Arial" w:eastAsia="Arial" w:hAnsi="Arial"/>
                <w:sz w:val="18"/>
                <w:szCs w:val="18"/>
                <w:color w:val="auto"/>
              </w:rPr>
              <w:t>0415000445</w:t>
            </w:r>
          </w:p>
        </w:tc>
        <w:tc>
          <w:tcPr>
            <w:tcW w:w="120" w:type="dxa"/>
            <w:vAlign w:val="bottom"/>
          </w:tcPr>
          <w:p>
            <w:pPr>
              <w:spacing w:after="0"/>
              <w:rPr>
                <w:sz w:val="20"/>
                <w:szCs w:val="20"/>
                <w:color w:val="auto"/>
              </w:rPr>
            </w:pPr>
          </w:p>
        </w:tc>
        <w:tc>
          <w:tcPr>
            <w:tcW w:w="2280" w:type="dxa"/>
            <w:vAlign w:val="bottom"/>
          </w:tcPr>
          <w:p>
            <w:pPr>
              <w:jc w:val="right"/>
              <w:ind w:right="1030"/>
              <w:spacing w:after="0"/>
              <w:rPr>
                <w:sz w:val="20"/>
                <w:szCs w:val="20"/>
                <w:color w:val="auto"/>
              </w:rPr>
            </w:pPr>
            <w:r>
              <w:rPr>
                <w:rFonts w:ascii="Arial" w:cs="Arial" w:eastAsia="Arial" w:hAnsi="Arial"/>
                <w:sz w:val="18"/>
                <w:szCs w:val="18"/>
                <w:color w:val="auto"/>
                <w:w w:val="90"/>
              </w:rPr>
              <w:t>7/1/17 - 6/30/18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Additionally,</w:t>
      </w:r>
      <w:r>
        <w:rPr>
          <w:rFonts w:ascii="Arial" w:cs="Arial" w:eastAsia="Arial" w:hAnsi="Arial"/>
          <w:sz w:val="18"/>
          <w:szCs w:val="18"/>
          <w:color w:val="auto"/>
        </w:rPr>
        <w:t xml:space="preserve"> s</w:t>
      </w:r>
      <w:r>
        <w:rPr>
          <w:rFonts w:ascii="Arial" w:cs="Arial" w:eastAsia="Arial" w:hAnsi="Arial"/>
          <w:sz w:val="18"/>
          <w:szCs w:val="18"/>
          <w:i w:val="1"/>
          <w:iCs w:val="1"/>
          <w:color w:val="auto"/>
        </w:rPr>
        <w:t>ee attached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031990" cy="100183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0018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488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246620"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031990" cy="100183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0018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4114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246620"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031990" cy="100183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0018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4497070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31990" cy="3824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031990" cy="3824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9871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246620" cy="8987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ind w:right="-1220"/>
        <w:spacing w:after="0"/>
        <w:rPr>
          <w:sz w:val="20"/>
          <w:szCs w:val="20"/>
          <w:color w:val="auto"/>
        </w:rPr>
      </w:pPr>
      <w:r>
        <w:rPr>
          <w:rFonts w:ascii="Arial" w:cs="Arial" w:eastAsia="Arial" w:hAnsi="Arial"/>
          <w:sz w:val="18"/>
          <w:szCs w:val="18"/>
          <w:b w:val="1"/>
          <w:bCs w:val="1"/>
          <w:color w:val="auto"/>
        </w:rPr>
        <w:t>Schedule 5.16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Post Closing 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47" w:name="page248"/>
    <w:bookmarkEnd w:id="247"/>
    <w:p>
      <w:pPr>
        <w:jc w:val="center"/>
        <w:ind w:right="92"/>
        <w:spacing w:after="0"/>
        <w:rPr>
          <w:sz w:val="20"/>
          <w:szCs w:val="20"/>
          <w:color w:val="auto"/>
        </w:rPr>
      </w:pPr>
      <w:r>
        <w:rPr>
          <w:rFonts w:ascii="Arial" w:cs="Arial" w:eastAsia="Arial" w:hAnsi="Arial"/>
          <w:sz w:val="18"/>
          <w:szCs w:val="18"/>
          <w:b w:val="1"/>
          <w:bCs w:val="1"/>
          <w:color w:val="auto"/>
        </w:rPr>
        <w:t>Schedule 6.01</w:t>
      </w:r>
    </w:p>
    <w:p>
      <w:pPr>
        <w:spacing w:after="0" w:line="27"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Existing Indebtedness</w:t>
      </w:r>
    </w:p>
    <w:p>
      <w:pPr>
        <w:spacing w:after="0" w:line="211" w:lineRule="exact"/>
        <w:rPr>
          <w:sz w:val="20"/>
          <w:szCs w:val="20"/>
          <w:color w:val="auto"/>
        </w:rPr>
      </w:pPr>
    </w:p>
    <w:p>
      <w:pPr>
        <w:ind w:left="328" w:hanging="328"/>
        <w:spacing w:after="0"/>
        <w:tabs>
          <w:tab w:leader="none" w:pos="32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Indebtedness under the following letters of credit, which are backstopped by the letter of credit identified on Schedule 2.06 as of the Closing Date:</w:t>
      </w:r>
    </w:p>
    <w:p>
      <w:pPr>
        <w:spacing w:after="0" w:line="248" w:lineRule="exact"/>
        <w:rPr>
          <w:rFonts w:ascii="Arial" w:cs="Arial" w:eastAsia="Arial" w:hAnsi="Arial"/>
          <w:sz w:val="16"/>
          <w:szCs w:val="16"/>
          <w:color w:val="auto"/>
        </w:rPr>
      </w:pPr>
    </w:p>
    <w:p>
      <w:pPr>
        <w:ind w:left="968" w:right="280" w:hanging="320"/>
        <w:spacing w:after="0" w:line="277" w:lineRule="auto"/>
        <w:tabs>
          <w:tab w:leader="none" w:pos="96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Irrevocable Letter of Credit No. SB-02276, dated March 1, 2016, as amended June 3, 2016, issued by Barclays Bank PLC, New York Branch in favor of ACE American Insurance Company.</w:t>
      </w:r>
    </w:p>
    <w:p>
      <w:pPr>
        <w:spacing w:after="0" w:line="170" w:lineRule="exact"/>
        <w:rPr>
          <w:rFonts w:ascii="Arial" w:cs="Arial" w:eastAsia="Arial" w:hAnsi="Arial"/>
          <w:sz w:val="18"/>
          <w:szCs w:val="18"/>
          <w:color w:val="auto"/>
        </w:rPr>
      </w:pPr>
    </w:p>
    <w:p>
      <w:pPr>
        <w:ind w:left="968" w:right="280" w:hanging="320"/>
        <w:spacing w:after="0" w:line="277" w:lineRule="auto"/>
        <w:tabs>
          <w:tab w:leader="none" w:pos="96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Irrevocable Letter of Credit No. SB-02277, dated March 1, 2016, as amended June 7, 2016, issued by Barclays Bank PLC, New York Branch in favor of ACE American Insurance Company.</w:t>
      </w:r>
    </w:p>
    <w:p>
      <w:pPr>
        <w:spacing w:after="0" w:line="170" w:lineRule="exact"/>
        <w:rPr>
          <w:rFonts w:ascii="Arial" w:cs="Arial" w:eastAsia="Arial" w:hAnsi="Arial"/>
          <w:sz w:val="18"/>
          <w:szCs w:val="18"/>
          <w:color w:val="auto"/>
        </w:rPr>
      </w:pPr>
    </w:p>
    <w:p>
      <w:pPr>
        <w:ind w:left="968" w:right="280" w:hanging="320"/>
        <w:spacing w:after="0" w:line="277" w:lineRule="auto"/>
        <w:tabs>
          <w:tab w:leader="none" w:pos="96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Irrevocable Letter of Credit No. SB-02278, dated March 1, 2016, as amended June 8, 2016, issued by Barclays Bank PLC, New York Branch in favor of The Travelers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391795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8"/>
          </w:cols>
          <w:pgMar w:left="572" w:top="905" w:right="459" w:bottom="1440" w:gutter="0" w:footer="0" w:header="0"/>
        </w:sectPr>
      </w:pPr>
    </w:p>
    <w:bookmarkStart w:id="248" w:name="page249"/>
    <w:bookmarkEnd w:id="248"/>
    <w:p>
      <w:pPr>
        <w:ind w:left="5180"/>
        <w:spacing w:after="0"/>
        <w:rPr>
          <w:sz w:val="20"/>
          <w:szCs w:val="20"/>
          <w:color w:val="auto"/>
        </w:rPr>
      </w:pPr>
      <w:r>
        <w:rPr>
          <w:rFonts w:ascii="Arial" w:cs="Arial" w:eastAsia="Arial" w:hAnsi="Arial"/>
          <w:sz w:val="18"/>
          <w:szCs w:val="18"/>
          <w:b w:val="1"/>
          <w:bCs w:val="1"/>
          <w:color w:val="auto"/>
        </w:rPr>
        <w:t>Schedule 6.02</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Existing Liens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7"/>
              </w:rPr>
              <w:t>UCC File No. &amp;</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Date (if</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620"/>
              <w:spacing w:after="0"/>
              <w:rPr>
                <w:sz w:val="20"/>
                <w:szCs w:val="20"/>
                <w:color w:val="auto"/>
              </w:rPr>
            </w:pPr>
            <w:r>
              <w:rPr>
                <w:rFonts w:ascii="Arial" w:cs="Arial" w:eastAsia="Arial" w:hAnsi="Arial"/>
                <w:sz w:val="18"/>
                <w:szCs w:val="18"/>
                <w:b w:val="1"/>
                <w:bCs w:val="1"/>
                <w:color w:val="auto"/>
              </w:rPr>
              <w:t>Collateral /</w:t>
            </w:r>
          </w:p>
        </w:tc>
      </w:tr>
      <w:tr>
        <w:trPr>
          <w:trHeight w:val="234"/>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Debtor</w:t>
            </w:r>
          </w:p>
        </w:tc>
        <w:tc>
          <w:tcPr>
            <w:tcW w:w="120" w:type="dxa"/>
            <w:vAlign w:val="bottom"/>
          </w:tcPr>
          <w:p>
            <w:pPr>
              <w:spacing w:after="0"/>
              <w:rPr>
                <w:sz w:val="20"/>
                <w:szCs w:val="20"/>
                <w:color w:val="auto"/>
              </w:rPr>
            </w:pPr>
          </w:p>
        </w:tc>
        <w:tc>
          <w:tcPr>
            <w:tcW w:w="21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Jurisdiction</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applicable)</w:t>
            </w:r>
          </w:p>
        </w:tc>
        <w:tc>
          <w:tcPr>
            <w:tcW w:w="120" w:type="dxa"/>
            <w:vAlign w:val="bottom"/>
          </w:tcPr>
          <w:p>
            <w:pPr>
              <w:spacing w:after="0"/>
              <w:rPr>
                <w:sz w:val="20"/>
                <w:szCs w:val="20"/>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Secured Party</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Amount</w:t>
            </w:r>
          </w:p>
        </w:tc>
      </w:tr>
      <w:tr>
        <w:trPr>
          <w:trHeight w:val="411"/>
        </w:trPr>
        <w:tc>
          <w:tcPr>
            <w:tcW w:w="2300" w:type="dxa"/>
            <w:vAlign w:val="bottom"/>
          </w:tcPr>
          <w:p>
            <w:pPr>
              <w:spacing w:after="0"/>
              <w:rPr>
                <w:sz w:val="20"/>
                <w:szCs w:val="20"/>
                <w:color w:val="auto"/>
              </w:rPr>
            </w:pPr>
            <w:r>
              <w:rPr>
                <w:rFonts w:ascii="Arial" w:cs="Arial" w:eastAsia="Arial" w:hAnsi="Arial"/>
                <w:sz w:val="18"/>
                <w:szCs w:val="18"/>
                <w:color w:val="auto"/>
              </w:rPr>
              <w:t>ABM Building Services, LLC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20154616453</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Sterling National Bank</w:t>
            </w:r>
          </w:p>
        </w:tc>
        <w:tc>
          <w:tcPr>
            <w:tcW w:w="2160" w:type="dxa"/>
            <w:vAlign w:val="bottom"/>
          </w:tcPr>
          <w:p>
            <w:pPr>
              <w:spacing w:after="0"/>
              <w:rPr>
                <w:sz w:val="20"/>
                <w:szCs w:val="20"/>
                <w:color w:val="auto"/>
              </w:rPr>
            </w:pPr>
            <w:r>
              <w:rPr>
                <w:rFonts w:ascii="Arial" w:cs="Arial" w:eastAsia="Arial" w:hAnsi="Arial"/>
                <w:sz w:val="18"/>
                <w:szCs w:val="18"/>
                <w:color w:val="auto"/>
              </w:rPr>
              <w:t>Leased Equipment.</w:t>
            </w:r>
          </w:p>
        </w:tc>
      </w:tr>
      <w:tr>
        <w:trPr>
          <w:trHeight w:val="230"/>
        </w:trPr>
        <w:tc>
          <w:tcPr>
            <w:tcW w:w="2300" w:type="dxa"/>
            <w:vAlign w:val="bottom"/>
          </w:tcPr>
          <w:p>
            <w:pPr>
              <w:spacing w:after="0"/>
              <w:rPr>
                <w:sz w:val="20"/>
                <w:szCs w:val="20"/>
                <w:color w:val="auto"/>
              </w:rPr>
            </w:pP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09/18/2015</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ABM Building Services, LLC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20162524468</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Lease Corporation of</w:t>
            </w:r>
          </w:p>
        </w:tc>
        <w:tc>
          <w:tcPr>
            <w:tcW w:w="2160" w:type="dxa"/>
            <w:vAlign w:val="bottom"/>
          </w:tcPr>
          <w:p>
            <w:pPr>
              <w:spacing w:after="0"/>
              <w:rPr>
                <w:sz w:val="20"/>
                <w:szCs w:val="20"/>
                <w:color w:val="auto"/>
              </w:rPr>
            </w:pPr>
            <w:r>
              <w:rPr>
                <w:rFonts w:ascii="Arial" w:cs="Arial" w:eastAsia="Arial" w:hAnsi="Arial"/>
                <w:sz w:val="18"/>
                <w:szCs w:val="18"/>
                <w:color w:val="auto"/>
              </w:rPr>
              <w:t>Leased Equipment.</w:t>
            </w:r>
          </w:p>
        </w:tc>
      </w:tr>
      <w:tr>
        <w:trPr>
          <w:trHeight w:val="230"/>
        </w:trPr>
        <w:tc>
          <w:tcPr>
            <w:tcW w:w="2300" w:type="dxa"/>
            <w:vAlign w:val="bottom"/>
          </w:tcPr>
          <w:p>
            <w:pPr>
              <w:spacing w:after="0"/>
              <w:rPr>
                <w:sz w:val="20"/>
                <w:szCs w:val="20"/>
                <w:color w:val="auto"/>
              </w:rPr>
            </w:pP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04/28/2016</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America</w:t>
            </w:r>
          </w:p>
        </w:tc>
        <w:tc>
          <w:tcPr>
            <w:tcW w:w="2160" w:type="dxa"/>
            <w:vAlign w:val="bottom"/>
          </w:tcPr>
          <w:p>
            <w:pPr>
              <w:spacing w:after="0"/>
              <w:rPr>
                <w:sz w:val="20"/>
                <w:szCs w:val="20"/>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9"/>
              </w:rPr>
              <w:t>ABM Building Solutions, LLC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52515535</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Cummings Properties, LLC</w:t>
            </w:r>
          </w:p>
        </w:tc>
        <w:tc>
          <w:tcPr>
            <w:tcW w:w="2160" w:type="dxa"/>
            <w:vAlign w:val="bottom"/>
          </w:tcPr>
          <w:p>
            <w:pPr>
              <w:spacing w:after="0"/>
              <w:rPr>
                <w:sz w:val="20"/>
                <w:szCs w:val="20"/>
                <w:color w:val="auto"/>
              </w:rPr>
            </w:pPr>
            <w:r>
              <w:rPr>
                <w:rFonts w:ascii="Arial" w:cs="Arial" w:eastAsia="Arial" w:hAnsi="Arial"/>
                <w:sz w:val="18"/>
                <w:szCs w:val="18"/>
                <w:color w:val="auto"/>
                <w:w w:val="98"/>
              </w:rPr>
              <w:t>Items of property located at</w:t>
            </w:r>
          </w:p>
        </w:tc>
      </w:tr>
      <w:tr>
        <w:trPr>
          <w:trHeight w:val="216"/>
        </w:trPr>
        <w:tc>
          <w:tcPr>
            <w:tcW w:w="2300" w:type="dxa"/>
            <w:vAlign w:val="bottom"/>
          </w:tcPr>
          <w:p>
            <w:pPr>
              <w:spacing w:after="0"/>
              <w:rPr>
                <w:sz w:val="18"/>
                <w:szCs w:val="18"/>
                <w:color w:val="auto"/>
              </w:rPr>
            </w:pP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08/12/2005</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all premises leased by</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Continuation filed</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secured party to Debtor.</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7"/>
              </w:rPr>
              <w:t>05/03/2010 and 06/01/2015</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2"/>
              </w:rPr>
              <w:t>Amendment filed 03/23/2012</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and 09/11/2014</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9"/>
              </w:rPr>
              <w:t>ABM Industries Incorporated</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NY – County Clerk’s Office</w:t>
            </w:r>
          </w:p>
        </w:tc>
        <w:tc>
          <w:tcPr>
            <w:tcW w:w="2160" w:type="dxa"/>
            <w:vAlign w:val="bottom"/>
          </w:tcPr>
          <w:p>
            <w:pPr>
              <w:spacing w:after="0"/>
              <w:rPr>
                <w:sz w:val="20"/>
                <w:szCs w:val="20"/>
                <w:color w:val="auto"/>
              </w:rPr>
            </w:pPr>
            <w:r>
              <w:rPr>
                <w:rFonts w:ascii="Arial" w:cs="Arial" w:eastAsia="Arial" w:hAnsi="Arial"/>
                <w:sz w:val="18"/>
                <w:szCs w:val="18"/>
                <w:color w:val="auto"/>
              </w:rPr>
              <w:t>n/a</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Workers Compensation</w:t>
            </w:r>
          </w:p>
        </w:tc>
        <w:tc>
          <w:tcPr>
            <w:tcW w:w="2160" w:type="dxa"/>
            <w:vAlign w:val="bottom"/>
          </w:tcPr>
          <w:p>
            <w:pPr>
              <w:spacing w:after="0"/>
              <w:rPr>
                <w:sz w:val="20"/>
                <w:szCs w:val="20"/>
                <w:color w:val="auto"/>
              </w:rPr>
            </w:pPr>
            <w:r>
              <w:rPr>
                <w:rFonts w:ascii="Arial" w:cs="Arial" w:eastAsia="Arial" w:hAnsi="Arial"/>
                <w:sz w:val="18"/>
                <w:szCs w:val="18"/>
                <w:color w:val="auto"/>
              </w:rPr>
              <w:t>$33,500</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Board of NYS</w:t>
            </w:r>
          </w:p>
        </w:tc>
        <w:tc>
          <w:tcPr>
            <w:tcW w:w="2160" w:type="dxa"/>
            <w:vAlign w:val="bottom"/>
          </w:tcPr>
          <w:p>
            <w:pPr>
              <w:spacing w:after="0"/>
              <w:rPr>
                <w:sz w:val="20"/>
                <w:szCs w:val="20"/>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9"/>
              </w:rPr>
              <w:t>ABM Industries Incorporated</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NY – County Clerk’s Office</w:t>
            </w:r>
          </w:p>
        </w:tc>
        <w:tc>
          <w:tcPr>
            <w:tcW w:w="2160" w:type="dxa"/>
            <w:vAlign w:val="bottom"/>
          </w:tcPr>
          <w:p>
            <w:pPr>
              <w:spacing w:after="0"/>
              <w:rPr>
                <w:sz w:val="20"/>
                <w:szCs w:val="20"/>
                <w:color w:val="auto"/>
              </w:rPr>
            </w:pPr>
            <w:r>
              <w:rPr>
                <w:rFonts w:ascii="Arial" w:cs="Arial" w:eastAsia="Arial" w:hAnsi="Arial"/>
                <w:sz w:val="18"/>
                <w:szCs w:val="18"/>
                <w:color w:val="auto"/>
              </w:rPr>
              <w:t>n/a</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w w:val="99"/>
              </w:rPr>
              <w:t>NYC Department of Finance</w:t>
            </w:r>
          </w:p>
        </w:tc>
        <w:tc>
          <w:tcPr>
            <w:tcW w:w="2160" w:type="dxa"/>
            <w:vAlign w:val="bottom"/>
          </w:tcPr>
          <w:p>
            <w:pPr>
              <w:spacing w:after="0"/>
              <w:rPr>
                <w:sz w:val="20"/>
                <w:szCs w:val="20"/>
                <w:color w:val="auto"/>
              </w:rPr>
            </w:pPr>
            <w:r>
              <w:rPr>
                <w:rFonts w:ascii="Arial" w:cs="Arial" w:eastAsia="Arial" w:hAnsi="Arial"/>
                <w:sz w:val="18"/>
                <w:szCs w:val="18"/>
                <w:color w:val="auto"/>
              </w:rPr>
              <w:t>$83.73</w:t>
            </w: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9"/>
              </w:rPr>
              <w:t>ABM Building Solutions, LLC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20172976915</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Canadian Solar (USA) Inc.</w:t>
            </w:r>
          </w:p>
        </w:tc>
        <w:tc>
          <w:tcPr>
            <w:tcW w:w="2160" w:type="dxa"/>
            <w:vAlign w:val="bottom"/>
          </w:tcPr>
          <w:p>
            <w:pPr>
              <w:spacing w:after="0"/>
              <w:rPr>
                <w:sz w:val="20"/>
                <w:szCs w:val="20"/>
                <w:color w:val="auto"/>
              </w:rPr>
            </w:pPr>
            <w:r>
              <w:rPr>
                <w:rFonts w:ascii="Arial" w:cs="Arial" w:eastAsia="Arial" w:hAnsi="Arial"/>
                <w:sz w:val="18"/>
                <w:szCs w:val="18"/>
                <w:color w:val="auto"/>
              </w:rPr>
              <w:t>Leased Equipment.</w:t>
            </w:r>
          </w:p>
        </w:tc>
      </w:tr>
      <w:tr>
        <w:trPr>
          <w:trHeight w:val="230"/>
        </w:trPr>
        <w:tc>
          <w:tcPr>
            <w:tcW w:w="2300" w:type="dxa"/>
            <w:vAlign w:val="bottom"/>
          </w:tcPr>
          <w:p>
            <w:pPr>
              <w:spacing w:after="0"/>
              <w:rPr>
                <w:sz w:val="20"/>
                <w:szCs w:val="20"/>
                <w:color w:val="auto"/>
              </w:rPr>
            </w:pP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05/05/2017</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GCA Services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63716537</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Dell Financial Services</w:t>
            </w:r>
          </w:p>
        </w:tc>
        <w:tc>
          <w:tcPr>
            <w:tcW w:w="2160" w:type="dxa"/>
            <w:vAlign w:val="bottom"/>
          </w:tcPr>
          <w:p>
            <w:pPr>
              <w:spacing w:after="0"/>
              <w:rPr>
                <w:sz w:val="20"/>
                <w:szCs w:val="20"/>
                <w:color w:val="auto"/>
              </w:rPr>
            </w:pPr>
            <w:r>
              <w:rPr>
                <w:rFonts w:ascii="Arial" w:cs="Arial" w:eastAsia="Arial" w:hAnsi="Arial"/>
                <w:sz w:val="18"/>
                <w:szCs w:val="18"/>
                <w:color w:val="auto"/>
              </w:rPr>
              <w:t>Leased Equipment.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Group, Inc.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10/25/2006</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L.L.C.</w:t>
            </w: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Continuation filed</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09/19/2011</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GCA Services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20071993814</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NMHG Financial Services,</w:t>
            </w:r>
          </w:p>
        </w:tc>
        <w:tc>
          <w:tcPr>
            <w:tcW w:w="2160" w:type="dxa"/>
            <w:vAlign w:val="bottom"/>
          </w:tcPr>
          <w:p>
            <w:pPr>
              <w:spacing w:after="0"/>
              <w:rPr>
                <w:sz w:val="20"/>
                <w:szCs w:val="20"/>
                <w:color w:val="auto"/>
              </w:rPr>
            </w:pPr>
            <w:r>
              <w:rPr>
                <w:rFonts w:ascii="Arial" w:cs="Arial" w:eastAsia="Arial" w:hAnsi="Arial"/>
                <w:sz w:val="18"/>
                <w:szCs w:val="18"/>
                <w:color w:val="auto"/>
              </w:rPr>
              <w:t>Leased Equipment.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Group, Inc.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05/29/2007</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Continuation filed</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03/06/2012</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GCA Services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20140511592</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Deutsche Bank AG, acting</w:t>
            </w:r>
          </w:p>
        </w:tc>
        <w:tc>
          <w:tcPr>
            <w:tcW w:w="2160" w:type="dxa"/>
            <w:vAlign w:val="bottom"/>
          </w:tcPr>
          <w:p>
            <w:pPr>
              <w:spacing w:after="0"/>
              <w:rPr>
                <w:sz w:val="20"/>
                <w:szCs w:val="20"/>
                <w:color w:val="auto"/>
              </w:rPr>
            </w:pPr>
            <w:r>
              <w:rPr>
                <w:rFonts w:ascii="Arial" w:cs="Arial" w:eastAsia="Arial" w:hAnsi="Arial"/>
                <w:sz w:val="18"/>
                <w:szCs w:val="18"/>
                <w:color w:val="auto"/>
              </w:rPr>
              <w:t>Items of property</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Group, Inc.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02/07/2014</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by and through its New</w:t>
            </w:r>
          </w:p>
        </w:tc>
        <w:tc>
          <w:tcPr>
            <w:tcW w:w="2160" w:type="dxa"/>
            <w:vAlign w:val="bottom"/>
          </w:tcPr>
          <w:p>
            <w:pPr>
              <w:spacing w:after="0"/>
              <w:rPr>
                <w:sz w:val="20"/>
                <w:szCs w:val="20"/>
                <w:color w:val="auto"/>
              </w:rPr>
            </w:pPr>
            <w:r>
              <w:rPr>
                <w:rFonts w:ascii="Arial" w:cs="Arial" w:eastAsia="Arial" w:hAnsi="Arial"/>
                <w:sz w:val="18"/>
                <w:szCs w:val="18"/>
                <w:color w:val="auto"/>
              </w:rPr>
              <w:t>subject to Supplier</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York Branch</w:t>
            </w:r>
          </w:p>
        </w:tc>
        <w:tc>
          <w:tcPr>
            <w:tcW w:w="2160" w:type="dxa"/>
            <w:vAlign w:val="bottom"/>
          </w:tcPr>
          <w:p>
            <w:pPr>
              <w:spacing w:after="0"/>
              <w:rPr>
                <w:sz w:val="20"/>
                <w:szCs w:val="20"/>
                <w:color w:val="auto"/>
              </w:rPr>
            </w:pPr>
            <w:r>
              <w:rPr>
                <w:rFonts w:ascii="Arial" w:cs="Arial" w:eastAsia="Arial" w:hAnsi="Arial"/>
                <w:sz w:val="18"/>
                <w:szCs w:val="18"/>
                <w:color w:val="auto"/>
              </w:rPr>
              <w:t>Financing Agreement</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dated 02/06/2014.</w:t>
            </w: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GCA Services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 - Secretary of</w:t>
            </w:r>
          </w:p>
        </w:tc>
        <w:tc>
          <w:tcPr>
            <w:tcW w:w="2160" w:type="dxa"/>
            <w:vAlign w:val="bottom"/>
          </w:tcPr>
          <w:p>
            <w:pPr>
              <w:spacing w:after="0"/>
              <w:rPr>
                <w:sz w:val="20"/>
                <w:szCs w:val="20"/>
                <w:color w:val="auto"/>
              </w:rPr>
            </w:pPr>
            <w:r>
              <w:rPr>
                <w:rFonts w:ascii="Arial" w:cs="Arial" w:eastAsia="Arial" w:hAnsi="Arial"/>
                <w:sz w:val="18"/>
                <w:szCs w:val="18"/>
                <w:color w:val="auto"/>
              </w:rPr>
              <w:t>20161006707</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Deere Credit, Inc.</w:t>
            </w:r>
          </w:p>
        </w:tc>
        <w:tc>
          <w:tcPr>
            <w:tcW w:w="2160" w:type="dxa"/>
            <w:vAlign w:val="bottom"/>
          </w:tcPr>
          <w:p>
            <w:pPr>
              <w:spacing w:after="0"/>
              <w:rPr>
                <w:sz w:val="20"/>
                <w:szCs w:val="20"/>
                <w:color w:val="auto"/>
              </w:rPr>
            </w:pPr>
            <w:r>
              <w:rPr>
                <w:rFonts w:ascii="Arial" w:cs="Arial" w:eastAsia="Arial" w:hAnsi="Arial"/>
                <w:sz w:val="18"/>
                <w:szCs w:val="18"/>
                <w:color w:val="auto"/>
              </w:rPr>
              <w:t>Leased Equipment</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Group, Inc.</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20"/>
                <w:szCs w:val="20"/>
                <w:color w:val="auto"/>
              </w:rPr>
            </w:pPr>
            <w:r>
              <w:rPr>
                <w:rFonts w:ascii="Arial" w:cs="Arial" w:eastAsia="Arial" w:hAnsi="Arial"/>
                <w:sz w:val="18"/>
                <w:szCs w:val="18"/>
                <w:color w:val="auto"/>
              </w:rPr>
              <w:t>filed 02/19/2016</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648"/>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49" w:name="page250"/>
    <w:bookmarkEnd w:id="249"/>
    <w:p>
      <w:pPr>
        <w:jc w:val="center"/>
        <w:ind w:right="-1220"/>
        <w:spacing w:after="0"/>
        <w:rPr>
          <w:sz w:val="20"/>
          <w:szCs w:val="20"/>
          <w:color w:val="auto"/>
        </w:rPr>
      </w:pPr>
      <w:r>
        <w:rPr>
          <w:rFonts w:ascii="Arial" w:cs="Arial" w:eastAsia="Arial" w:hAnsi="Arial"/>
          <w:sz w:val="18"/>
          <w:szCs w:val="18"/>
          <w:b w:val="1"/>
          <w:bCs w:val="1"/>
          <w:color w:val="auto"/>
        </w:rPr>
        <w:t>Schedule 6.04</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Existing Investments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250" w:name="page251"/>
    <w:bookmarkEnd w:id="250"/>
    <w:p>
      <w:pPr>
        <w:jc w:val="center"/>
        <w:ind w:right="-1220"/>
        <w:spacing w:after="0"/>
        <w:rPr>
          <w:sz w:val="20"/>
          <w:szCs w:val="20"/>
          <w:color w:val="auto"/>
        </w:rPr>
      </w:pPr>
      <w:r>
        <w:rPr>
          <w:rFonts w:ascii="Arial" w:cs="Arial" w:eastAsia="Arial" w:hAnsi="Arial"/>
          <w:sz w:val="18"/>
          <w:szCs w:val="18"/>
          <w:b w:val="1"/>
          <w:bCs w:val="1"/>
          <w:color w:val="auto"/>
        </w:rPr>
        <w:t>Schedule 6.09</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Transactions with Affiliates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51" w:name="page252"/>
    <w:bookmarkEnd w:id="251"/>
    <w:p>
      <w:pPr>
        <w:jc w:val="center"/>
        <w:ind w:right="-1200"/>
        <w:spacing w:after="0"/>
        <w:rPr>
          <w:sz w:val="20"/>
          <w:szCs w:val="20"/>
          <w:color w:val="auto"/>
        </w:rPr>
      </w:pPr>
      <w:r>
        <w:rPr>
          <w:rFonts w:ascii="Arial" w:cs="Arial" w:eastAsia="Arial" w:hAnsi="Arial"/>
          <w:sz w:val="18"/>
          <w:szCs w:val="18"/>
          <w:b w:val="1"/>
          <w:bCs w:val="1"/>
          <w:color w:val="auto"/>
        </w:rPr>
        <w:t>Schedule 6.10</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Existing Restrictions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252" w:name="page253"/>
    <w:bookmarkEnd w:id="252"/>
    <w:p>
      <w:pPr>
        <w:jc w:val="center"/>
        <w:ind w:right="-1200"/>
        <w:spacing w:after="0"/>
        <w:rPr>
          <w:sz w:val="20"/>
          <w:szCs w:val="20"/>
          <w:color w:val="auto"/>
        </w:rPr>
      </w:pPr>
      <w:r>
        <w:rPr>
          <w:rFonts w:ascii="Arial" w:cs="Arial" w:eastAsia="Arial" w:hAnsi="Arial"/>
          <w:sz w:val="18"/>
          <w:szCs w:val="18"/>
          <w:b w:val="1"/>
          <w:bCs w:val="1"/>
          <w:color w:val="auto"/>
        </w:rPr>
        <w:t>Schedule 9.01</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Administrative Agent’s Office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Plaza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901 Main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TX1-492-14-11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75202-3735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Armando Gonzalez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972-338-3808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armando.a.gonzalez@bankofamerica.com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ABM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 Assignor (as defined below) and the Assignee (as defined below). Capitalized terms used but not defined herein shall have the meanings given to them in the Credit Agreement identified below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receipt of a copy of which is hereby acknowledged by the Assignee. The Standard Terms and Conditions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For an agreed consideration, the Assignor hereby irrevocably sells and assigns to the Assignee, and the Assignee hereby irrevocably purchases and assumes from the Assignor, subject to and in accordance with the Standard Terms and Conditions referred to above and the Credit Agreement, as of the Effective Date (as defined below), (a)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facilities identified below (including any Letters of Credit and Swingline Loans under such facilities and any Guarantees)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rights and obligations sold and assigned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(including the Standard Terms and Conditions), without representation or warranty by the Assignor.</w:t>
      </w:r>
    </w:p>
    <w:p>
      <w:pPr>
        <w:spacing w:after="0" w:line="169"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Assignor: ____________________________________________________</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Assignee:____________________________________________________</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[and is [a Lender] [an Affiliate/Approved Fund of [Identify Lender]]]</w:t>
      </w:r>
      <w:r>
        <w:rPr>
          <w:rFonts w:ascii="Arial" w:cs="Arial" w:eastAsia="Arial" w:hAnsi="Arial"/>
          <w:sz w:val="30"/>
          <w:szCs w:val="30"/>
          <w:color w:val="auto"/>
          <w:vertAlign w:val="superscript"/>
        </w:rPr>
        <w:t>1</w:t>
      </w:r>
    </w:p>
    <w:p>
      <w:pPr>
        <w:spacing w:after="0" w:line="113"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Borrowers: ABM Industries Incorporated, a Delaware corporation, Omni Serv Limited, a company incorporated and registered in England as a private company limited by shares and the other Borrowers from time to time party thereto</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Administrative Agent: Bank of America, N.A., as the Administrative Agent under the Credit Agreement</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Credit Agreement: The Credit Agreement dated as of September 1, 2017, among the Borrowers, the Lenders party thereto, the Administrative Agent and the other Persons from time to time party thereto, as amended, supplemented or otherwise modified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4" w:lineRule="exact"/>
        <w:rPr>
          <w:sz w:val="20"/>
          <w:szCs w:val="20"/>
          <w:color w:val="auto"/>
        </w:rPr>
      </w:pPr>
    </w:p>
    <w:p>
      <w:pPr>
        <w:ind w:left="780" w:hanging="383"/>
        <w:spacing w:after="0"/>
        <w:tabs>
          <w:tab w:leader="none" w:pos="780" w:val="left"/>
        </w:tabs>
        <w:numPr>
          <w:ilvl w:val="0"/>
          <w:numId w:val="236"/>
        </w:numPr>
        <w:rPr>
          <w:rFonts w:ascii="Arial" w:cs="Arial" w:eastAsia="Arial" w:hAnsi="Arial"/>
          <w:sz w:val="30"/>
          <w:szCs w:val="30"/>
          <w:color w:val="auto"/>
          <w:vertAlign w:val="superscript"/>
        </w:rPr>
      </w:pPr>
      <w:r>
        <w:rPr>
          <w:rFonts w:ascii="Arial" w:cs="Arial" w:eastAsia="Arial" w:hAnsi="Arial"/>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4" w:name="page255"/>
    <w:bookmarkEnd w:id="254"/>
    <w:p>
      <w:pPr>
        <w:ind w:left="1300" w:hanging="644"/>
        <w:spacing w:after="0"/>
        <w:tabs>
          <w:tab w:leader="none" w:pos="1300" w:val="left"/>
        </w:tabs>
        <w:numPr>
          <w:ilvl w:val="0"/>
          <w:numId w:val="237"/>
        </w:numPr>
        <w:rPr>
          <w:rFonts w:ascii="Arial" w:cs="Arial" w:eastAsia="Arial" w:hAnsi="Arial"/>
          <w:sz w:val="36"/>
          <w:szCs w:val="36"/>
          <w:color w:val="auto"/>
          <w:vertAlign w:val="superscript"/>
        </w:rPr>
      </w:pPr>
      <w:r>
        <w:rPr>
          <w:rFonts w:ascii="Arial" w:cs="Arial" w:eastAsia="Arial" w:hAnsi="Arial"/>
          <w:sz w:val="18"/>
          <w:szCs w:val="18"/>
          <w:color w:val="auto"/>
        </w:rPr>
        <w:t>Assigned Interest:</w:t>
      </w:r>
      <w:r>
        <w:rPr>
          <w:rFonts w:ascii="Arial" w:cs="Arial" w:eastAsia="Arial" w:hAnsi="Arial"/>
          <w:sz w:val="30"/>
          <w:szCs w:val="30"/>
          <w:color w:val="auto"/>
          <w:vertAlign w:val="superscript"/>
        </w:rPr>
        <w:t>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Aggregate Amount of</w:t>
            </w:r>
          </w:p>
        </w:tc>
        <w:tc>
          <w:tcPr>
            <w:tcW w:w="10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Assigned of</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Commitment/Loans</w:t>
            </w:r>
          </w:p>
        </w:tc>
        <w:tc>
          <w:tcPr>
            <w:tcW w:w="186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Commitment/Loans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CUSIP</w:t>
            </w:r>
          </w:p>
        </w:tc>
      </w:tr>
      <w:tr>
        <w:trPr>
          <w:trHeight w:val="270"/>
        </w:trPr>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7"/>
              </w:rPr>
              <w:t>Facility Assigned</w:t>
            </w: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all Lenders</w:t>
            </w:r>
          </w:p>
        </w:tc>
        <w:tc>
          <w:tcPr>
            <w:tcW w:w="100" w:type="dxa"/>
            <w:vAlign w:val="bottom"/>
          </w:tcPr>
          <w:p>
            <w:pPr>
              <w:spacing w:after="0"/>
              <w:rPr>
                <w:sz w:val="23"/>
                <w:szCs w:val="23"/>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Assigned</w:t>
            </w:r>
          </w:p>
        </w:tc>
        <w:tc>
          <w:tcPr>
            <w:tcW w:w="118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4"/>
              </w:rPr>
              <w:t>Loans</w:t>
            </w:r>
            <w:r>
              <w:rPr>
                <w:rFonts w:ascii="Arial" w:cs="Arial" w:eastAsia="Arial" w:hAnsi="Arial"/>
                <w:sz w:val="30"/>
                <w:szCs w:val="30"/>
                <w:b w:val="1"/>
                <w:bCs w:val="1"/>
                <w:color w:val="auto"/>
                <w:w w:val="84"/>
                <w:vertAlign w:val="superscript"/>
              </w:rPr>
              <w:t>3</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r>
      <w:tr>
        <w:trPr>
          <w:trHeight w:val="210"/>
        </w:trPr>
        <w:tc>
          <w:tcPr>
            <w:tcW w:w="316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w w:val="97"/>
              </w:rPr>
              <w:t>[Incremental] Term Commitments/Loans</w:t>
            </w: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45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6780" w:type="dxa"/>
            <w:vAlign w:val="bottom"/>
            <w:gridSpan w:val="10"/>
          </w:tcPr>
          <w:p>
            <w:pPr>
              <w:spacing w:after="0" w:line="201" w:lineRule="exact"/>
              <w:rPr>
                <w:sz w:val="20"/>
                <w:szCs w:val="20"/>
                <w:color w:val="auto"/>
              </w:rPr>
            </w:pPr>
            <w:r>
              <w:rPr>
                <w:rFonts w:ascii="Arial" w:cs="Arial" w:eastAsia="Arial" w:hAnsi="Arial"/>
                <w:sz w:val="18"/>
                <w:szCs w:val="18"/>
                <w:color w:val="auto"/>
              </w:rPr>
              <w:t>[Incremental] Dollar Tranche /Multicurrency Tranche Revolving</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w w:val="99"/>
              </w:rPr>
              <w:t>Commitments/Loans</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3"/>
          </w:tcPr>
          <w:p>
            <w:pPr>
              <w:jc w:val="right"/>
              <w:ind w:right="14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w:t>
            </w:r>
            <w:r>
              <w:rPr>
                <w:rFonts w:ascii="Arial" w:cs="Arial" w:eastAsia="Arial" w:hAnsi="Arial"/>
                <w:sz w:val="29"/>
                <w:szCs w:val="29"/>
                <w:color w:val="auto"/>
                <w:vertAlign w:val="superscript"/>
              </w:rPr>
              <w:t>4</w:t>
            </w: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500" w:type="dxa"/>
            <w:vAlign w:val="bottom"/>
            <w:gridSpan w:val="3"/>
            <w:shd w:val="clear" w:color="auto" w:fill="CCEEFF"/>
          </w:tcPr>
          <w:p>
            <w:pPr>
              <w:jc w:val="right"/>
              <w:ind w:right="145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392"/>
        </w:trPr>
        <w:tc>
          <w:tcPr>
            <w:tcW w:w="1140" w:type="dxa"/>
            <w:vAlign w:val="bottom"/>
            <w:gridSpan w:val="2"/>
          </w:tcPr>
          <w:p>
            <w:pPr>
              <w:spacing w:after="0"/>
              <w:rPr>
                <w:sz w:val="20"/>
                <w:szCs w:val="20"/>
                <w:color w:val="auto"/>
              </w:rPr>
            </w:pPr>
            <w:r>
              <w:rPr>
                <w:rFonts w:ascii="Arial" w:cs="Arial" w:eastAsia="Arial" w:hAnsi="Arial"/>
                <w:sz w:val="18"/>
                <w:szCs w:val="18"/>
                <w:color w:val="auto"/>
                <w:w w:val="95"/>
              </w:rPr>
              <w:t>Effective Date:</w:t>
            </w:r>
          </w:p>
        </w:tc>
        <w:tc>
          <w:tcPr>
            <w:tcW w:w="520" w:type="dxa"/>
            <w:vAlign w:val="bottom"/>
          </w:tcPr>
          <w:p>
            <w:pPr>
              <w:spacing w:after="0"/>
              <w:rPr>
                <w:sz w:val="24"/>
                <w:szCs w:val="2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 20</w:t>
            </w:r>
          </w:p>
        </w:tc>
        <w:tc>
          <w:tcPr>
            <w:tcW w:w="8260" w:type="dxa"/>
            <w:vAlign w:val="bottom"/>
            <w:gridSpan w:val="12"/>
          </w:tcPr>
          <w:p>
            <w:pPr>
              <w:ind w:left="40"/>
              <w:spacing w:after="0"/>
              <w:rPr>
                <w:sz w:val="20"/>
                <w:szCs w:val="20"/>
                <w:color w:val="auto"/>
              </w:rPr>
            </w:pPr>
            <w:r>
              <w:rPr>
                <w:rFonts w:ascii="Arial" w:cs="Arial" w:eastAsia="Arial" w:hAnsi="Arial"/>
                <w:sz w:val="18"/>
                <w:szCs w:val="18"/>
                <w:color w:val="auto"/>
                <w:w w:val="98"/>
              </w:rPr>
              <w:t>[TO BE INSERTED BY ADMINISTRATIVE AGENT AND WHICH SHALL BE THE EFFECTIVE DATE OF</w:t>
            </w:r>
          </w:p>
        </w:tc>
      </w:tr>
      <w:tr>
        <w:trPr>
          <w:trHeight w:val="20"/>
        </w:trPr>
        <w:tc>
          <w:tcPr>
            <w:tcW w:w="1140" w:type="dxa"/>
            <w:vAlign w:val="bottom"/>
            <w:gridSpan w:val="2"/>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80" w:type="dxa"/>
            <w:vAlign w:val="bottom"/>
            <w:gridSpan w:val="10"/>
          </w:tcPr>
          <w:p>
            <w:pPr>
              <w:spacing w:after="0"/>
              <w:rPr>
                <w:sz w:val="20"/>
                <w:szCs w:val="20"/>
                <w:color w:val="auto"/>
              </w:rPr>
            </w:pPr>
            <w:r>
              <w:rPr>
                <w:rFonts w:ascii="Arial" w:cs="Arial" w:eastAsia="Arial" w:hAnsi="Arial"/>
                <w:sz w:val="18"/>
                <w:szCs w:val="18"/>
                <w:color w:val="auto"/>
              </w:rPr>
              <w:t>RECORDATION OF TRANSFER IN THE REGISTER THEREFOR]</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The Assignee, if not already a Lender, agrees to deliver to the Administrative Agent a completed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18097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9" w:lineRule="exact"/>
        <w:rPr>
          <w:sz w:val="20"/>
          <w:szCs w:val="20"/>
          <w:color w:val="auto"/>
        </w:rPr>
      </w:pPr>
    </w:p>
    <w:p>
      <w:pPr>
        <w:ind w:firstLine="397"/>
        <w:spacing w:after="0" w:line="194" w:lineRule="auto"/>
        <w:tabs>
          <w:tab w:leader="none" w:pos="912" w:val="left"/>
        </w:tabs>
        <w:numPr>
          <w:ilvl w:val="0"/>
          <w:numId w:val="238"/>
        </w:numPr>
        <w:rPr>
          <w:rFonts w:ascii="Arial" w:cs="Arial" w:eastAsia="Arial" w:hAnsi="Arial"/>
          <w:sz w:val="30"/>
          <w:szCs w:val="30"/>
          <w:color w:val="auto"/>
          <w:vertAlign w:val="superscript"/>
        </w:rPr>
      </w:pPr>
      <w:r>
        <w:rPr>
          <w:rFonts w:ascii="Arial" w:cs="Arial" w:eastAsia="Arial" w:hAnsi="Arial"/>
          <w:sz w:val="18"/>
          <w:szCs w:val="18"/>
          <w:color w:val="auto"/>
        </w:rPr>
        <w:t xml:space="preserve">Must comply with the minimum assignment amount set forth in </w:t>
      </w:r>
      <w:r>
        <w:rPr>
          <w:rFonts w:ascii="Arial" w:cs="Arial" w:eastAsia="Arial" w:hAnsi="Arial"/>
          <w:sz w:val="18"/>
          <w:szCs w:val="18"/>
          <w:u w:val="single" w:color="auto"/>
          <w:color w:val="auto"/>
        </w:rPr>
        <w:t>Section 9.04(b)(ii)(A)</w:t>
      </w:r>
      <w:r>
        <w:rPr>
          <w:rFonts w:ascii="Arial" w:cs="Arial" w:eastAsia="Arial" w:hAnsi="Arial"/>
          <w:sz w:val="18"/>
          <w:szCs w:val="18"/>
          <w:color w:val="auto"/>
        </w:rPr>
        <w:t xml:space="preserve"> of the Credit Agreement, to the extent such minimum assignment amounts are applicable.</w:t>
      </w:r>
    </w:p>
    <w:p>
      <w:pPr>
        <w:spacing w:after="0" w:line="243" w:lineRule="exact"/>
        <w:rPr>
          <w:sz w:val="20"/>
          <w:szCs w:val="20"/>
          <w:color w:val="auto"/>
        </w:rPr>
      </w:pPr>
    </w:p>
    <w:p>
      <w:pPr>
        <w:ind w:firstLine="397"/>
        <w:spacing w:after="0" w:line="194" w:lineRule="auto"/>
        <w:tabs>
          <w:tab w:leader="none" w:pos="850" w:val="left"/>
        </w:tabs>
        <w:numPr>
          <w:ilvl w:val="0"/>
          <w:numId w:val="239"/>
        </w:numPr>
        <w:rPr>
          <w:rFonts w:ascii="Arial" w:cs="Arial" w:eastAsia="Arial" w:hAnsi="Arial"/>
          <w:sz w:val="30"/>
          <w:szCs w:val="30"/>
          <w:color w:val="auto"/>
          <w:vertAlign w:val="superscript"/>
        </w:rPr>
      </w:pPr>
      <w:r>
        <w:rPr>
          <w:rFonts w:ascii="Arial" w:cs="Arial" w:eastAsia="Arial" w:hAnsi="Arial"/>
          <w:sz w:val="18"/>
          <w:szCs w:val="18"/>
          <w:color w:val="auto"/>
        </w:rPr>
        <w:t>Set forth, to at least nine decimals, as a percentage of the Commitments/Loans of all Term Lenders, Revolving Lenders, Incremental Lenders or Refinancing Lenders of any Series, as applicable.</w:t>
      </w:r>
    </w:p>
    <w:p>
      <w:pPr>
        <w:spacing w:after="0" w:line="243" w:lineRule="exact"/>
        <w:rPr>
          <w:sz w:val="20"/>
          <w:szCs w:val="20"/>
          <w:color w:val="auto"/>
        </w:rPr>
      </w:pPr>
    </w:p>
    <w:p>
      <w:pPr>
        <w:jc w:val="both"/>
        <w:ind w:firstLine="397"/>
        <w:spacing w:after="0" w:line="209" w:lineRule="auto"/>
        <w:tabs>
          <w:tab w:leader="none" w:pos="779" w:val="left"/>
        </w:tabs>
        <w:numPr>
          <w:ilvl w:val="0"/>
          <w:numId w:val="240"/>
        </w:numPr>
        <w:rPr>
          <w:rFonts w:ascii="Arial" w:cs="Arial" w:eastAsia="Arial" w:hAnsi="Arial"/>
          <w:sz w:val="30"/>
          <w:szCs w:val="30"/>
          <w:color w:val="auto"/>
          <w:vertAlign w:val="superscript"/>
        </w:rPr>
      </w:pPr>
      <w:r>
        <w:rPr>
          <w:rFonts w:ascii="Arial" w:cs="Arial" w:eastAsia="Arial" w:hAnsi="Arial"/>
          <w:sz w:val="18"/>
          <w:szCs w:val="18"/>
          <w:color w:val="auto"/>
        </w:rPr>
        <w:t xml:space="preserve">In the event Incremental Commitments/Loans or Refinancing Commitments/Loans of any Series are established under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of the Credit Agreement, as applicable, refer to the Series of such Incremental Commitments/Loans or Refinancing Commitments/Loans assigned, as applicable.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jc w:val="right"/>
        <w:ind w:right="1699"/>
        <w:spacing w:after="0"/>
        <w:rPr>
          <w:sz w:val="20"/>
          <w:szCs w:val="20"/>
          <w:color w:val="auto"/>
        </w:rPr>
      </w:pPr>
      <w:r>
        <w:rPr>
          <w:rFonts w:ascii="Arial" w:cs="Arial" w:eastAsia="Arial" w:hAnsi="Arial"/>
          <w:sz w:val="18"/>
          <w:szCs w:val="18"/>
          <w:color w:val="auto"/>
        </w:rPr>
        <w:t>[NAME OF ASSIGNOR], as Assignor</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OF ASSIGNEE], as Assignee</w:t>
      </w:r>
    </w:p>
    <w:p>
      <w:pPr>
        <w:spacing w:after="0" w:line="24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Accepted: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31813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as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31813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Issuing Lender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31813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 as Issuing Lender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31813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Swingline Lender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31813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0" w:lineRule="exact"/>
        <w:rPr>
          <w:sz w:val="20"/>
          <w:szCs w:val="20"/>
          <w:color w:val="auto"/>
        </w:rPr>
      </w:pPr>
    </w:p>
    <w:p>
      <w:pPr>
        <w:ind w:left="780" w:hanging="383"/>
        <w:spacing w:after="0"/>
        <w:tabs>
          <w:tab w:leader="none" w:pos="780" w:val="left"/>
        </w:tabs>
        <w:numPr>
          <w:ilvl w:val="0"/>
          <w:numId w:val="241"/>
        </w:numPr>
        <w:rPr>
          <w:rFonts w:ascii="Arial" w:cs="Arial" w:eastAsia="Arial" w:hAnsi="Arial"/>
          <w:sz w:val="26"/>
          <w:szCs w:val="26"/>
          <w:color w:val="auto"/>
          <w:vertAlign w:val="superscript"/>
        </w:rPr>
      </w:pPr>
      <w:r>
        <w:rPr>
          <w:rFonts w:ascii="Arial" w:cs="Arial" w:eastAsia="Arial" w:hAnsi="Arial"/>
          <w:sz w:val="16"/>
          <w:szCs w:val="16"/>
          <w:color w:val="auto"/>
        </w:rPr>
        <w:t xml:space="preserve">To be included only if the consent of the Administrative Agent is required by </w:t>
      </w:r>
      <w:r>
        <w:rPr>
          <w:rFonts w:ascii="Arial" w:cs="Arial" w:eastAsia="Arial" w:hAnsi="Arial"/>
          <w:sz w:val="16"/>
          <w:szCs w:val="16"/>
          <w:u w:val="single" w:color="auto"/>
          <w:color w:val="auto"/>
        </w:rPr>
        <w:t>Section 9.04(b)(i)(B)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9.04(b)(ii)(A)</w:t>
      </w:r>
      <w:r>
        <w:rPr>
          <w:rFonts w:ascii="Arial" w:cs="Arial" w:eastAsia="Arial" w:hAnsi="Arial"/>
          <w:sz w:val="16"/>
          <w:szCs w:val="16"/>
          <w:color w:val="auto"/>
        </w:rPr>
        <w:t xml:space="preserve"> of the Credit Agreement.</w:t>
      </w:r>
    </w:p>
    <w:p>
      <w:pPr>
        <w:spacing w:after="0" w:line="128" w:lineRule="exact"/>
        <w:rPr>
          <w:sz w:val="20"/>
          <w:szCs w:val="20"/>
          <w:color w:val="auto"/>
        </w:rPr>
      </w:pPr>
    </w:p>
    <w:p>
      <w:pPr>
        <w:ind w:left="780" w:hanging="383"/>
        <w:spacing w:after="0"/>
        <w:tabs>
          <w:tab w:leader="none" w:pos="780" w:val="left"/>
        </w:tabs>
        <w:numPr>
          <w:ilvl w:val="0"/>
          <w:numId w:val="242"/>
        </w:numPr>
        <w:rPr>
          <w:rFonts w:ascii="Arial" w:cs="Arial" w:eastAsia="Arial" w:hAnsi="Arial"/>
          <w:sz w:val="30"/>
          <w:szCs w:val="30"/>
          <w:color w:val="auto"/>
          <w:vertAlign w:val="superscript"/>
        </w:rPr>
      </w:pPr>
      <w:r>
        <w:rPr>
          <w:rFonts w:ascii="Arial" w:cs="Arial" w:eastAsia="Arial" w:hAnsi="Arial"/>
          <w:sz w:val="18"/>
          <w:szCs w:val="18"/>
          <w:color w:val="auto"/>
        </w:rPr>
        <w:t xml:space="preserve">To be included only if the consent of the Company is required by </w:t>
      </w:r>
      <w:r>
        <w:rPr>
          <w:rFonts w:ascii="Arial" w:cs="Arial" w:eastAsia="Arial" w:hAnsi="Arial"/>
          <w:sz w:val="18"/>
          <w:szCs w:val="18"/>
          <w:u w:val="single" w:color="auto"/>
          <w:color w:val="auto"/>
        </w:rPr>
        <w:t>Section 9.04(b)(i)(A)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9.04(b)(ii)(A)</w:t>
      </w:r>
      <w:r>
        <w:rPr>
          <w:rFonts w:ascii="Arial" w:cs="Arial" w:eastAsia="Arial" w:hAnsi="Arial"/>
          <w:sz w:val="18"/>
          <w:szCs w:val="18"/>
          <w:color w:val="auto"/>
        </w:rPr>
        <w:t xml:space="preserve"> of the Credit Agreement.</w:t>
      </w:r>
    </w:p>
    <w:p>
      <w:pPr>
        <w:spacing w:after="0" w:line="128" w:lineRule="exact"/>
        <w:rPr>
          <w:sz w:val="20"/>
          <w:szCs w:val="20"/>
          <w:color w:val="auto"/>
        </w:rPr>
      </w:pPr>
    </w:p>
    <w:p>
      <w:pPr>
        <w:ind w:left="820" w:hanging="423"/>
        <w:spacing w:after="0"/>
        <w:tabs>
          <w:tab w:leader="none" w:pos="820" w:val="left"/>
        </w:tabs>
        <w:numPr>
          <w:ilvl w:val="0"/>
          <w:numId w:val="243"/>
        </w:numPr>
        <w:rPr>
          <w:rFonts w:ascii="Arial" w:cs="Arial" w:eastAsia="Arial" w:hAnsi="Arial"/>
          <w:sz w:val="30"/>
          <w:szCs w:val="30"/>
          <w:color w:val="auto"/>
          <w:vertAlign w:val="superscript"/>
        </w:rPr>
      </w:pPr>
      <w:r>
        <w:rPr>
          <w:rFonts w:ascii="Arial" w:cs="Arial" w:eastAsia="Arial" w:hAnsi="Arial"/>
          <w:sz w:val="18"/>
          <w:szCs w:val="18"/>
          <w:color w:val="auto"/>
        </w:rPr>
        <w:t xml:space="preserve">To be included only if the consent of Issuing Lender is required by </w:t>
      </w:r>
      <w:r>
        <w:rPr>
          <w:rFonts w:ascii="Arial" w:cs="Arial" w:eastAsia="Arial" w:hAnsi="Arial"/>
          <w:sz w:val="18"/>
          <w:szCs w:val="18"/>
          <w:u w:val="single" w:color="auto"/>
          <w:color w:val="auto"/>
        </w:rPr>
        <w:t>Section 9.04(b)(i)(C)</w:t>
      </w:r>
    </w:p>
    <w:p>
      <w:pPr>
        <w:spacing w:after="0" w:line="242" w:lineRule="exact"/>
        <w:rPr>
          <w:sz w:val="20"/>
          <w:szCs w:val="20"/>
          <w:color w:val="auto"/>
        </w:rPr>
      </w:pPr>
    </w:p>
    <w:p>
      <w:pPr>
        <w:ind w:left="5680" w:right="3580" w:hanging="5283"/>
        <w:spacing w:after="0" w:line="618" w:lineRule="auto"/>
        <w:tabs>
          <w:tab w:leader="none" w:pos="833" w:val="left"/>
        </w:tabs>
        <w:numPr>
          <w:ilvl w:val="0"/>
          <w:numId w:val="244"/>
        </w:numPr>
        <w:rPr>
          <w:rFonts w:ascii="Arial" w:cs="Arial" w:eastAsia="Arial" w:hAnsi="Arial"/>
          <w:sz w:val="30"/>
          <w:szCs w:val="30"/>
          <w:color w:val="auto"/>
          <w:vertAlign w:val="superscript"/>
        </w:rPr>
      </w:pPr>
      <w:r>
        <w:rPr>
          <w:rFonts w:ascii="Arial" w:cs="Arial" w:eastAsia="Arial" w:hAnsi="Arial"/>
          <w:sz w:val="18"/>
          <w:szCs w:val="18"/>
          <w:color w:val="auto"/>
        </w:rPr>
        <w:t xml:space="preserve">To be included only if the consent of Swingline Lender is required by </w:t>
      </w:r>
      <w:r>
        <w:rPr>
          <w:rFonts w:ascii="Arial" w:cs="Arial" w:eastAsia="Arial" w:hAnsi="Arial"/>
          <w:sz w:val="18"/>
          <w:szCs w:val="18"/>
          <w:u w:val="single" w:color="auto"/>
          <w:color w:val="auto"/>
        </w:rPr>
        <w:t>Section 9.04(b)(i)(C)</w:t>
      </w:r>
      <w:r>
        <w:rPr>
          <w:rFonts w:ascii="Arial" w:cs="Arial" w:eastAsia="Arial" w:hAnsi="Arial"/>
          <w:sz w:val="18"/>
          <w:szCs w:val="18"/>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939" w:right="67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ANNEX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11" w:lineRule="exact"/>
        <w:rPr>
          <w:sz w:val="20"/>
          <w:szCs w:val="20"/>
          <w:color w:val="auto"/>
        </w:rPr>
      </w:pPr>
    </w:p>
    <w:p>
      <w:pPr>
        <w:ind w:left="1480" w:hanging="175"/>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(iv) it is not a Defaulting Lender and (v) it has examined the DQ List and the Assignee is not a Disqualified Lender unless the Borrower has consented to such assignment to the Assignee, in which case the Assignee will not be considered a Disqualified Lender for the purpose of this Assignment and Assumption and (b) assumes no responsibility with respect to</w:t>
      </w:r>
    </w:p>
    <w:p>
      <w:pPr>
        <w:spacing w:after="0" w:line="2" w:lineRule="exact"/>
        <w:rPr>
          <w:sz w:val="20"/>
          <w:szCs w:val="20"/>
          <w:color w:val="auto"/>
        </w:rPr>
      </w:pPr>
    </w:p>
    <w:p>
      <w:pPr>
        <w:jc w:val="both"/>
        <w:ind w:firstLine="8"/>
        <w:spacing w:after="0" w:line="281" w:lineRule="auto"/>
        <w:tabs>
          <w:tab w:leader="none" w:pos="23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statements, warranties or representations made in or in connection with the Credit Agreement or any other Loan Document, other than statements made by it herein, (ii) the execution, legality, validity, enforceability, genuineness, sufficiency or value of the Loan Documents or any Collateral thereunder,</w:t>
      </w:r>
    </w:p>
    <w:p>
      <w:pPr>
        <w:spacing w:after="0" w:line="1" w:lineRule="exact"/>
        <w:rPr>
          <w:rFonts w:ascii="Arial" w:cs="Arial" w:eastAsia="Arial" w:hAnsi="Arial"/>
          <w:sz w:val="16"/>
          <w:szCs w:val="16"/>
          <w:color w:val="auto"/>
        </w:rPr>
      </w:pPr>
    </w:p>
    <w:p>
      <w:pPr>
        <w:jc w:val="both"/>
        <w:ind w:firstLine="8"/>
        <w:spacing w:after="0" w:line="255" w:lineRule="auto"/>
        <w:tabs>
          <w:tab w:leader="none" w:pos="31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financial condition of the Borrowers, any Subsidiary or any Affiliate of any Borrower or any other Person obligated in respect of any Loan Document or (iv) the performance or observance by the Borrowers, any Subsidiary or any Affiliate of any Borrower or any other Person of any of their respective obligations under any Loan Document.</w:t>
      </w:r>
    </w:p>
    <w:p>
      <w:pPr>
        <w:spacing w:after="0" w:line="19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jc w:val="both"/>
        <w:ind w:firstLine="8"/>
        <w:spacing w:after="0" w:line="284" w:lineRule="auto"/>
        <w:tabs>
          <w:tab w:leader="none" w:pos="27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it satisfies the requirements, if any, specified in the Credit Agreement that are required to be satisfied by it in order to acquire the Assigned Interest and become a Lender (including, for the avoidance of doubt, Section 9.04(e)),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thereof (or, prior to the first such delivery, the financial statements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Assignor or any other Lender, (v) attached to this Assignment and Assumption is any documentation required to be delivered by it pursuant to the terms of the Credit Agreement (including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thereof), duly completed and executed by the Assignee, and (vi) it has examined the DQ List and the Assignee is not a Disqualified Lender unless the Borrower has consented to such assignment to the Assignee, in which case the Assignee will not be considered a Disqualified Lender for the purpose of this Assignment and Assumption;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The Assignee represents and warrants as of the Effective Date to the Administrative Agent, the Assignor and the respective Affiliates of each, and not, for the avoidance of doubt, for the benefit of the Borrower or any other Loan Party, that the Assignee is not and will not be (1) an employee benefit plan subject to Title I of ERISA, (2) a plan or account subject to Section 4975 of the Code; (3) an entity deemed to hold “plan assets” of any such plans or accounts for purposes of ERISA or the Code; or (4) a “governmental plan” within the meaning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8" w:name="page259"/>
    <w:bookmarkEnd w:id="258"/>
    <w:p>
      <w:pPr>
        <w:jc w:val="both"/>
        <w:ind w:left="-1200" w:firstLine="1305"/>
        <w:spacing w:after="0" w:line="264" w:lineRule="auto"/>
        <w:tabs>
          <w:tab w:leader="none" w:pos="29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left="-1200" w:firstLine="1305"/>
        <w:spacing w:after="0" w:line="255" w:lineRule="auto"/>
        <w:tabs>
          <w:tab w:leader="none" w:pos="29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successors and assigns. This Assignment and Assumption may be executed in any number of counterparts (and by different parties hereto on different counterparts), each of which shall constitute an original, but all of which when taken together shall constitute a single contract. Delivery of an executed counterpart of a signature page of this Assignment and Assumption by facsimile or other electronic imaging shall be effective as delivery of a manually executed counterpart of this Assignment and Assumption. This Assignment and Assumption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423545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t>EXHIBIT B-1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211" w:lineRule="exact"/>
        <w:rPr>
          <w:sz w:val="20"/>
          <w:szCs w:val="20"/>
          <w:color w:val="auto"/>
        </w:rPr>
      </w:pPr>
    </w:p>
    <w:p>
      <w:pPr>
        <w:ind w:left="10960"/>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This notice constitutes a Borrowing Request and the undersigned hereby gives you notice,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of the Credit Agreement, that it requests a Borrowing under the Credit Agreement, and in connection therewith specifies the following information with respect to such Borrowing:</w:t>
      </w:r>
    </w:p>
    <w:p>
      <w:pPr>
        <w:spacing w:after="0" w:line="181" w:lineRule="exact"/>
        <w:rPr>
          <w:sz w:val="20"/>
          <w:szCs w:val="20"/>
          <w:color w:val="auto"/>
        </w:rPr>
      </w:pPr>
    </w:p>
    <w:p>
      <w:pPr>
        <w:ind w:left="1620" w:hanging="315"/>
        <w:spacing w:after="0"/>
        <w:tabs>
          <w:tab w:leader="none" w:pos="1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Name of Borrower: [ABM Industries Incorporated][Omni Serv Limited][_____]</w:t>
      </w:r>
    </w:p>
    <w:p>
      <w:pPr>
        <w:spacing w:after="0" w:line="216" w:lineRule="exact"/>
        <w:rPr>
          <w:rFonts w:ascii="Arial" w:cs="Arial" w:eastAsia="Arial" w:hAnsi="Arial"/>
          <w:sz w:val="18"/>
          <w:szCs w:val="18"/>
          <w:color w:val="auto"/>
        </w:rPr>
      </w:pPr>
    </w:p>
    <w:p>
      <w:pPr>
        <w:ind w:left="1620" w:hanging="315"/>
        <w:spacing w:after="0"/>
        <w:tabs>
          <w:tab w:leader="none" w:pos="1620" w:val="left"/>
        </w:tabs>
        <w:numPr>
          <w:ilvl w:val="0"/>
          <w:numId w:val="250"/>
        </w:numPr>
        <w:rPr>
          <w:rFonts w:ascii="Arial" w:cs="Arial" w:eastAsia="Arial" w:hAnsi="Arial"/>
          <w:sz w:val="35"/>
          <w:szCs w:val="35"/>
          <w:color w:val="auto"/>
          <w:vertAlign w:val="superscript"/>
        </w:rPr>
      </w:pPr>
      <w:r>
        <w:rPr>
          <w:rFonts w:ascii="Arial" w:cs="Arial" w:eastAsia="Arial" w:hAnsi="Arial"/>
          <w:sz w:val="18"/>
          <w:szCs w:val="18"/>
          <w:color w:val="auto"/>
        </w:rPr>
        <w:t>Class of Borrowing:</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____________________________________</w:t>
      </w:r>
    </w:p>
    <w:p>
      <w:pPr>
        <w:spacing w:after="0" w:line="81" w:lineRule="exact"/>
        <w:rPr>
          <w:rFonts w:ascii="Arial" w:cs="Arial" w:eastAsia="Arial" w:hAnsi="Arial"/>
          <w:sz w:val="35"/>
          <w:szCs w:val="35"/>
          <w:color w:val="auto"/>
          <w:vertAlign w:val="superscript"/>
        </w:rPr>
      </w:pPr>
    </w:p>
    <w:p>
      <w:pPr>
        <w:ind w:left="1620" w:hanging="315"/>
        <w:spacing w:after="0"/>
        <w:tabs>
          <w:tab w:leader="none" w:pos="1620" w:val="left"/>
        </w:tabs>
        <w:numPr>
          <w:ilvl w:val="0"/>
          <w:numId w:val="250"/>
        </w:numPr>
        <w:rPr>
          <w:rFonts w:ascii="Arial" w:cs="Arial" w:eastAsia="Arial" w:hAnsi="Arial"/>
          <w:sz w:val="34"/>
          <w:szCs w:val="34"/>
          <w:color w:val="auto"/>
          <w:vertAlign w:val="superscript"/>
        </w:rPr>
      </w:pPr>
      <w:r>
        <w:rPr>
          <w:rFonts w:ascii="Arial" w:cs="Arial" w:eastAsia="Arial" w:hAnsi="Arial"/>
          <w:sz w:val="17"/>
          <w:szCs w:val="17"/>
          <w:color w:val="auto"/>
        </w:rPr>
        <w:t>Aggregate principal amount of Borrowing :</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_________________</w:t>
      </w:r>
    </w:p>
    <w:p>
      <w:pPr>
        <w:spacing w:after="0" w:line="78" w:lineRule="exact"/>
        <w:rPr>
          <w:rFonts w:ascii="Arial" w:cs="Arial" w:eastAsia="Arial" w:hAnsi="Arial"/>
          <w:sz w:val="34"/>
          <w:szCs w:val="34"/>
          <w:color w:val="auto"/>
          <w:vertAlign w:val="superscript"/>
        </w:rPr>
      </w:pPr>
    </w:p>
    <w:p>
      <w:pPr>
        <w:ind w:left="1620" w:hanging="315"/>
        <w:spacing w:after="0"/>
        <w:tabs>
          <w:tab w:leader="none" w:pos="1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Date of Borrowing (which is a Business Day): ________________</w:t>
      </w:r>
    </w:p>
    <w:p>
      <w:pPr>
        <w:spacing w:after="0" w:line="216" w:lineRule="exact"/>
        <w:rPr>
          <w:rFonts w:ascii="Arial" w:cs="Arial" w:eastAsia="Arial" w:hAnsi="Arial"/>
          <w:sz w:val="18"/>
          <w:szCs w:val="18"/>
          <w:color w:val="auto"/>
        </w:rPr>
      </w:pPr>
    </w:p>
    <w:p>
      <w:pPr>
        <w:ind w:left="1620" w:hanging="315"/>
        <w:spacing w:after="0"/>
        <w:tabs>
          <w:tab w:leader="none" w:pos="1620" w:val="left"/>
        </w:tabs>
        <w:numPr>
          <w:ilvl w:val="0"/>
          <w:numId w:val="250"/>
        </w:numPr>
        <w:rPr>
          <w:rFonts w:ascii="Arial" w:cs="Arial" w:eastAsia="Arial" w:hAnsi="Arial"/>
          <w:sz w:val="35"/>
          <w:szCs w:val="35"/>
          <w:color w:val="auto"/>
          <w:vertAlign w:val="superscript"/>
        </w:rPr>
      </w:pPr>
      <w:r>
        <w:rPr>
          <w:rFonts w:ascii="Arial" w:cs="Arial" w:eastAsia="Arial" w:hAnsi="Arial"/>
          <w:sz w:val="18"/>
          <w:szCs w:val="18"/>
          <w:color w:val="auto"/>
        </w:rPr>
        <w:t>Type of Borrowing:</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____________________________________</w:t>
      </w:r>
    </w:p>
    <w:p>
      <w:pPr>
        <w:spacing w:after="0" w:line="77" w:lineRule="exact"/>
        <w:rPr>
          <w:rFonts w:ascii="Arial" w:cs="Arial" w:eastAsia="Arial" w:hAnsi="Arial"/>
          <w:sz w:val="35"/>
          <w:szCs w:val="35"/>
          <w:color w:val="auto"/>
          <w:vertAlign w:val="superscript"/>
        </w:rPr>
      </w:pPr>
    </w:p>
    <w:p>
      <w:pPr>
        <w:ind w:left="1620" w:hanging="315"/>
        <w:spacing w:after="0" w:line="229" w:lineRule="auto"/>
        <w:tabs>
          <w:tab w:leader="none" w:pos="1620" w:val="left"/>
        </w:tabs>
        <w:numPr>
          <w:ilvl w:val="0"/>
          <w:numId w:val="250"/>
        </w:numPr>
        <w:rPr>
          <w:rFonts w:ascii="Arial" w:cs="Arial" w:eastAsia="Arial" w:hAnsi="Arial"/>
          <w:sz w:val="36"/>
          <w:szCs w:val="36"/>
          <w:color w:val="auto"/>
          <w:vertAlign w:val="superscript"/>
        </w:rPr>
      </w:pPr>
      <w:r>
        <w:rPr>
          <w:rFonts w:ascii="Arial" w:cs="Arial" w:eastAsia="Arial" w:hAnsi="Arial"/>
          <w:sz w:val="18"/>
          <w:szCs w:val="18"/>
          <w:color w:val="auto"/>
        </w:rPr>
        <w:t>Interest Period and the last day thereof:</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_____________________</w:t>
      </w:r>
    </w:p>
    <w:p>
      <w:pPr>
        <w:spacing w:after="0" w:line="83" w:lineRule="exact"/>
        <w:rPr>
          <w:rFonts w:ascii="Arial" w:cs="Arial" w:eastAsia="Arial" w:hAnsi="Arial"/>
          <w:sz w:val="36"/>
          <w:szCs w:val="36"/>
          <w:color w:val="auto"/>
          <w:vertAlign w:val="superscript"/>
        </w:rPr>
      </w:pPr>
    </w:p>
    <w:p>
      <w:pPr>
        <w:ind w:left="1620" w:hanging="315"/>
        <w:spacing w:after="0"/>
        <w:tabs>
          <w:tab w:leader="none" w:pos="1620" w:val="left"/>
        </w:tabs>
        <w:numPr>
          <w:ilvl w:val="0"/>
          <w:numId w:val="250"/>
        </w:numPr>
        <w:rPr>
          <w:rFonts w:ascii="Arial" w:cs="Arial" w:eastAsia="Arial" w:hAnsi="Arial"/>
          <w:sz w:val="32"/>
          <w:szCs w:val="32"/>
          <w:color w:val="auto"/>
          <w:vertAlign w:val="superscript"/>
        </w:rPr>
      </w:pPr>
      <w:r>
        <w:rPr>
          <w:rFonts w:ascii="Arial" w:cs="Arial" w:eastAsia="Arial" w:hAnsi="Arial"/>
          <w:sz w:val="17"/>
          <w:szCs w:val="17"/>
          <w:color w:val="auto"/>
        </w:rPr>
        <w:t>Requested currency of Borrowing</w:t>
      </w:r>
      <w:r>
        <w:rPr>
          <w:rFonts w:ascii="Arial" w:cs="Arial" w:eastAsia="Arial" w:hAnsi="Arial"/>
          <w:sz w:val="27"/>
          <w:szCs w:val="27"/>
          <w:color w:val="auto"/>
          <w:vertAlign w:val="superscript"/>
        </w:rPr>
        <w:t>5</w:t>
      </w:r>
      <w:r>
        <w:rPr>
          <w:rFonts w:ascii="Arial" w:cs="Arial" w:eastAsia="Arial" w:hAnsi="Arial"/>
          <w:sz w:val="17"/>
          <w:szCs w:val="17"/>
          <w:color w:val="auto"/>
        </w:rPr>
        <w:t>: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21780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65" w:lineRule="exact"/>
        <w:rPr>
          <w:sz w:val="20"/>
          <w:szCs w:val="20"/>
          <w:color w:val="auto"/>
        </w:rPr>
      </w:pPr>
    </w:p>
    <w:p>
      <w:pPr>
        <w:ind w:firstLine="397"/>
        <w:spacing w:after="0" w:line="194" w:lineRule="auto"/>
        <w:tabs>
          <w:tab w:leader="none" w:pos="912" w:val="left"/>
        </w:tabs>
        <w:numPr>
          <w:ilvl w:val="0"/>
          <w:numId w:val="251"/>
        </w:numPr>
        <w:rPr>
          <w:rFonts w:ascii="Arial" w:cs="Arial" w:eastAsia="Arial" w:hAnsi="Arial"/>
          <w:sz w:val="30"/>
          <w:szCs w:val="30"/>
          <w:color w:val="auto"/>
          <w:vertAlign w:val="superscript"/>
        </w:rPr>
      </w:pPr>
      <w:r>
        <w:rPr>
          <w:rFonts w:ascii="Arial" w:cs="Arial" w:eastAsia="Arial" w:hAnsi="Arial"/>
          <w:sz w:val="18"/>
          <w:szCs w:val="18"/>
          <w:color w:val="auto"/>
        </w:rPr>
        <w:t>Specify Term Loan Borrowing, Dollar Tranche Revolving Borrowing, Multicurrency Tranche Revolving Borrowing, Incremental Borrowing or Refinancing Borrowing, and if an Incremental Borrowing, specify the Series.</w:t>
      </w:r>
    </w:p>
    <w:p>
      <w:pPr>
        <w:spacing w:after="0" w:line="128" w:lineRule="exact"/>
        <w:rPr>
          <w:sz w:val="20"/>
          <w:szCs w:val="20"/>
          <w:color w:val="auto"/>
        </w:rPr>
      </w:pPr>
    </w:p>
    <w:p>
      <w:pPr>
        <w:ind w:left="840" w:hanging="443"/>
        <w:spacing w:after="0"/>
        <w:tabs>
          <w:tab w:leader="none" w:pos="840" w:val="left"/>
        </w:tabs>
        <w:numPr>
          <w:ilvl w:val="0"/>
          <w:numId w:val="252"/>
        </w:numPr>
        <w:rPr>
          <w:rFonts w:ascii="Arial" w:cs="Arial" w:eastAsia="Arial" w:hAnsi="Arial"/>
          <w:sz w:val="30"/>
          <w:szCs w:val="30"/>
          <w:color w:val="auto"/>
          <w:vertAlign w:val="superscript"/>
        </w:rPr>
      </w:pPr>
      <w:r>
        <w:rPr>
          <w:rFonts w:ascii="Arial" w:cs="Arial" w:eastAsia="Arial" w:hAnsi="Arial"/>
          <w:sz w:val="18"/>
          <w:szCs w:val="18"/>
          <w:color w:val="auto"/>
        </w:rPr>
        <w:t xml:space="preserve">Must comply with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of the Credit Agreement.</w:t>
      </w:r>
    </w:p>
    <w:p>
      <w:pPr>
        <w:spacing w:after="0" w:line="242" w:lineRule="exact"/>
        <w:rPr>
          <w:sz w:val="20"/>
          <w:szCs w:val="20"/>
          <w:color w:val="auto"/>
        </w:rPr>
      </w:pPr>
    </w:p>
    <w:p>
      <w:pPr>
        <w:jc w:val="both"/>
        <w:ind w:firstLine="397"/>
        <w:spacing w:after="0" w:line="209" w:lineRule="auto"/>
        <w:tabs>
          <w:tab w:leader="none" w:pos="925" w:val="left"/>
        </w:tabs>
        <w:numPr>
          <w:ilvl w:val="0"/>
          <w:numId w:val="253"/>
        </w:numPr>
        <w:rPr>
          <w:rFonts w:ascii="Arial" w:cs="Arial" w:eastAsia="Arial" w:hAnsi="Arial"/>
          <w:sz w:val="30"/>
          <w:szCs w:val="30"/>
          <w:color w:val="auto"/>
          <w:vertAlign w:val="superscript"/>
        </w:rPr>
      </w:pPr>
      <w:r>
        <w:rPr>
          <w:rFonts w:ascii="Arial" w:cs="Arial" w:eastAsia="Arial" w:hAnsi="Arial"/>
          <w:sz w:val="18"/>
          <w:szCs w:val="18"/>
          <w:color w:val="auto"/>
        </w:rPr>
        <w:t>Specify Eurocurrency or Base Rate Borrowing and, in the case of a Revolving Loan Borrowing in Dollars, whether such Borrowing is to be a Dollar Tranche Revolving Borrowing or a Multicurrency Tranche Revolving Borrowing. If no election as to the Type of Borrowing is specified, then the requested Borrowing shall be a Base Rate Borrowing.</w:t>
      </w:r>
    </w:p>
    <w:p>
      <w:pPr>
        <w:spacing w:after="0" w:line="244" w:lineRule="exact"/>
        <w:rPr>
          <w:sz w:val="20"/>
          <w:szCs w:val="20"/>
          <w:color w:val="auto"/>
        </w:rPr>
      </w:pPr>
    </w:p>
    <w:p>
      <w:pPr>
        <w:jc w:val="both"/>
        <w:ind w:firstLine="397"/>
        <w:spacing w:after="0" w:line="218" w:lineRule="auto"/>
        <w:tabs>
          <w:tab w:leader="none" w:pos="858" w:val="left"/>
        </w:tabs>
        <w:numPr>
          <w:ilvl w:val="0"/>
          <w:numId w:val="254"/>
        </w:numPr>
        <w:rPr>
          <w:rFonts w:ascii="Arial" w:cs="Arial" w:eastAsia="Arial" w:hAnsi="Arial"/>
          <w:sz w:val="30"/>
          <w:szCs w:val="30"/>
          <w:color w:val="auto"/>
          <w:vertAlign w:val="superscript"/>
        </w:rPr>
      </w:pPr>
      <w:r>
        <w:rPr>
          <w:rFonts w:ascii="Arial" w:cs="Arial" w:eastAsia="Arial" w:hAnsi="Arial"/>
          <w:sz w:val="18"/>
          <w:szCs w:val="18"/>
          <w:color w:val="auto"/>
        </w:rPr>
        <w:t>Applicable to Eurocurrency Borrowings, shall be subject to the definition of “Interest Period” and can be a period of one week or one, two, three or six months (in each case, subject to availability for the interest rate applicable the relevant currency) or such other period that is twelve months or less requested by the applicable Borrower and consented to by all the Lenders. If an Interest Period is not specified, then the applicable Borrower shall be deemed to have selected an Interest Period of one 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0" w:name="page261"/>
    <w:bookmarkEnd w:id="260"/>
    <w:p>
      <w:pPr>
        <w:ind w:left="1300"/>
        <w:spacing w:after="0"/>
        <w:rPr>
          <w:sz w:val="20"/>
          <w:szCs w:val="20"/>
          <w:color w:val="auto"/>
        </w:rPr>
      </w:pPr>
      <w:r>
        <w:rPr>
          <w:rFonts w:ascii="Arial" w:cs="Arial" w:eastAsia="Arial" w:hAnsi="Arial"/>
          <w:sz w:val="18"/>
          <w:szCs w:val="18"/>
          <w:color w:val="auto"/>
        </w:rPr>
        <w:t>(H) Applicable Funding Account: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 of Bank]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(Account No.:_________________________________________)</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undersigned represents and warrants that the conditions specified in Section 4.02 of the Credit Agreement shall be satisfied on and as of the date of the Borrowing requested herein.]</w:t>
      </w:r>
      <w:r>
        <w:rPr>
          <w:rFonts w:ascii="Arial" w:cs="Arial" w:eastAsia="Arial" w:hAnsi="Arial"/>
          <w:sz w:val="30"/>
          <w:szCs w:val="30"/>
          <w:color w:val="auto"/>
          <w:vertAlign w:val="superscript"/>
        </w:rPr>
        <w:t>6</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[ABM INDUSTRIES INCORPORATED, as the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[OMNI SERV LIMITED, as a 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 as a Borrower]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780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58" w:lineRule="exact"/>
        <w:rPr>
          <w:sz w:val="20"/>
          <w:szCs w:val="20"/>
          <w:color w:val="auto"/>
        </w:rPr>
      </w:pPr>
    </w:p>
    <w:p>
      <w:pPr>
        <w:ind w:right="140" w:firstLine="397"/>
        <w:spacing w:after="0" w:line="194" w:lineRule="auto"/>
        <w:tabs>
          <w:tab w:leader="none" w:pos="509" w:val="left"/>
        </w:tabs>
        <w:numPr>
          <w:ilvl w:val="0"/>
          <w:numId w:val="255"/>
        </w:numPr>
        <w:rPr>
          <w:rFonts w:ascii="Arial" w:cs="Arial" w:eastAsia="Arial" w:hAnsi="Arial"/>
          <w:sz w:val="30"/>
          <w:szCs w:val="30"/>
          <w:color w:val="auto"/>
          <w:vertAlign w:val="superscript"/>
        </w:rPr>
      </w:pPr>
      <w:r>
        <w:rPr>
          <w:rFonts w:ascii="Arial" w:cs="Arial" w:eastAsia="Arial" w:hAnsi="Arial"/>
          <w:sz w:val="18"/>
          <w:szCs w:val="18"/>
          <w:color w:val="auto"/>
        </w:rPr>
        <w:t>Applicable to Eurocurrency Borrowings. If no election as to the currency of Borrowing is specified, then the requested Borrowing shall be made in Dollars made under the Dollar Tranche Revolving Commitments.</w:t>
      </w:r>
    </w:p>
    <w:p>
      <w:pPr>
        <w:spacing w:after="0" w:line="128" w:lineRule="exact"/>
        <w:rPr>
          <w:sz w:val="20"/>
          <w:szCs w:val="20"/>
          <w:color w:val="auto"/>
        </w:rPr>
      </w:pPr>
    </w:p>
    <w:p>
      <w:pPr>
        <w:ind w:left="520" w:hanging="123"/>
        <w:spacing w:after="0"/>
        <w:tabs>
          <w:tab w:leader="none" w:pos="520" w:val="left"/>
        </w:tabs>
        <w:numPr>
          <w:ilvl w:val="0"/>
          <w:numId w:val="256"/>
        </w:numPr>
        <w:rPr>
          <w:rFonts w:ascii="Arial" w:cs="Arial" w:eastAsia="Arial" w:hAnsi="Arial"/>
          <w:sz w:val="30"/>
          <w:szCs w:val="30"/>
          <w:color w:val="auto"/>
          <w:vertAlign w:val="superscript"/>
        </w:rPr>
      </w:pPr>
      <w:r>
        <w:rPr>
          <w:rFonts w:ascii="Arial" w:cs="Arial" w:eastAsia="Arial" w:hAnsi="Arial"/>
          <w:sz w:val="18"/>
          <w:szCs w:val="18"/>
          <w:color w:val="auto"/>
        </w:rPr>
        <w:t>Applicable to Borrowings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8" w:right="4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EXHIBIT B-2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SWINGLINE BORROWING</w:t>
      </w:r>
    </w:p>
    <w:p>
      <w:pPr>
        <w:spacing w:after="0" w:line="229"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subsidiaries of the Company from time to time party thereto as Designated Borrowers (each a “</w:t>
      </w:r>
      <w:r>
        <w:rPr>
          <w:rFonts w:ascii="Arial" w:cs="Arial" w:eastAsia="Arial" w:hAnsi="Arial"/>
          <w:sz w:val="17"/>
          <w:szCs w:val="17"/>
          <w:u w:val="single" w:color="auto"/>
          <w:color w:val="auto"/>
        </w:rPr>
        <w:t>Designated Borrower</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the Lenders party thereto, Bank of America, N.A., as Administrative Agent and certain other Persons from time to time party thereto. Capitalized terms used but not otherwise defined herein shall have the meanings specified in the Credit Agreement.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of the Credit Agreement, the undersigned hereby requests a Swingline Loan under the Credit Agreement and in that connection sets forth below the information relating to such Swingline Loan (the “</w:t>
      </w:r>
      <w:r>
        <w:rPr>
          <w:rFonts w:ascii="Arial" w:cs="Arial" w:eastAsia="Arial" w:hAnsi="Arial"/>
          <w:sz w:val="17"/>
          <w:szCs w:val="17"/>
          <w:u w:val="single" w:color="auto"/>
          <w:color w:val="auto"/>
        </w:rPr>
        <w:t>Proposed Loan</w:t>
      </w:r>
      <w:r>
        <w:rPr>
          <w:rFonts w:ascii="Arial" w:cs="Arial" w:eastAsia="Arial" w:hAnsi="Arial"/>
          <w:sz w:val="17"/>
          <w:szCs w:val="17"/>
          <w:color w:val="auto"/>
        </w:rPr>
        <w:t xml:space="preserve">”), as required by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of the Credit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Borrower in respect of Swingline Loans: ABM Industries Incorporated</w:t>
      </w:r>
    </w:p>
    <w:p>
      <w:pPr>
        <w:spacing w:after="0" w:line="205" w:lineRule="exact"/>
        <w:rPr>
          <w:sz w:val="20"/>
          <w:szCs w:val="20"/>
          <w:color w:val="auto"/>
        </w:rPr>
      </w:pPr>
    </w:p>
    <w:p>
      <w:pPr>
        <w:ind w:left="1960" w:hanging="655"/>
        <w:spacing w:after="0"/>
        <w:tabs>
          <w:tab w:leader="none" w:pos="1960" w:val="left"/>
        </w:tabs>
        <w:numPr>
          <w:ilvl w:val="0"/>
          <w:numId w:val="257"/>
        </w:numPr>
        <w:rPr>
          <w:rFonts w:ascii="Arial" w:cs="Arial" w:eastAsia="Arial" w:hAnsi="Arial"/>
          <w:sz w:val="36"/>
          <w:szCs w:val="36"/>
          <w:color w:val="auto"/>
          <w:vertAlign w:val="superscript"/>
        </w:rPr>
      </w:pPr>
      <w:r>
        <w:rPr>
          <w:rFonts w:ascii="Arial" w:cs="Arial" w:eastAsia="Arial" w:hAnsi="Arial"/>
          <w:sz w:val="18"/>
          <w:szCs w:val="18"/>
          <w:color w:val="auto"/>
        </w:rPr>
        <w:t>The aggregate amount of the Proposed Loan is US$_____________.</w:t>
      </w:r>
      <w:r>
        <w:rPr>
          <w:rFonts w:ascii="Arial" w:cs="Arial" w:eastAsia="Arial" w:hAnsi="Arial"/>
          <w:sz w:val="30"/>
          <w:szCs w:val="30"/>
          <w:color w:val="auto"/>
          <w:vertAlign w:val="superscript"/>
        </w:rPr>
        <w:t>1</w:t>
      </w:r>
    </w:p>
    <w:p>
      <w:pPr>
        <w:spacing w:after="0" w:line="77" w:lineRule="exact"/>
        <w:rPr>
          <w:rFonts w:ascii="Arial" w:cs="Arial" w:eastAsia="Arial" w:hAnsi="Arial"/>
          <w:sz w:val="36"/>
          <w:szCs w:val="36"/>
          <w:color w:val="auto"/>
          <w:vertAlign w:val="superscript"/>
        </w:rPr>
      </w:pPr>
    </w:p>
    <w:p>
      <w:pPr>
        <w:ind w:left="1960" w:hanging="655"/>
        <w:spacing w:after="0" w:line="229" w:lineRule="auto"/>
        <w:tabs>
          <w:tab w:leader="none" w:pos="1960" w:val="left"/>
        </w:tabs>
        <w:numPr>
          <w:ilvl w:val="0"/>
          <w:numId w:val="257"/>
        </w:numPr>
        <w:rPr>
          <w:rFonts w:ascii="Arial" w:cs="Arial" w:eastAsia="Arial" w:hAnsi="Arial"/>
          <w:sz w:val="36"/>
          <w:szCs w:val="36"/>
          <w:color w:val="auto"/>
          <w:vertAlign w:val="superscript"/>
        </w:rPr>
      </w:pPr>
      <w:r>
        <w:rPr>
          <w:rFonts w:ascii="Arial" w:cs="Arial" w:eastAsia="Arial" w:hAnsi="Arial"/>
          <w:sz w:val="18"/>
          <w:szCs w:val="18"/>
          <w:color w:val="auto"/>
        </w:rPr>
        <w:t>The date of the Proposed Loan is _____________.</w:t>
      </w:r>
      <w:r>
        <w:rPr>
          <w:rFonts w:ascii="Arial" w:cs="Arial" w:eastAsia="Arial" w:hAnsi="Arial"/>
          <w:sz w:val="30"/>
          <w:szCs w:val="30"/>
          <w:color w:val="auto"/>
          <w:vertAlign w:val="superscript"/>
        </w:rPr>
        <w:t>2</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Loan:</w:t>
      </w:r>
    </w:p>
    <w:p>
      <w:pPr>
        <w:spacing w:after="0" w:line="225" w:lineRule="exact"/>
        <w:rPr>
          <w:sz w:val="20"/>
          <w:szCs w:val="20"/>
          <w:color w:val="auto"/>
        </w:rPr>
      </w:pPr>
    </w:p>
    <w:p>
      <w:pPr>
        <w:jc w:val="both"/>
        <w:ind w:left="340" w:firstLine="965"/>
        <w:spacing w:after="0" w:line="279" w:lineRule="auto"/>
        <w:tabs>
          <w:tab w:leader="none" w:pos="156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Each of the representations and warranties made by any Loan Party in or pursuant to the Loan Documents is true and correct (i) in the case of representations and warranties qualified as to materiality or Material Adverse Effect, in all respects and (ii) otherwise, in all material respects, in each case on and as of the date hereof, except in the case of any such representation and warranty that specifically relates to an earlier date, in which case such representation and warranty was true and correct on and as of such earlier date.</w:t>
      </w:r>
    </w:p>
    <w:p>
      <w:pPr>
        <w:spacing w:after="0" w:line="171" w:lineRule="exact"/>
        <w:rPr>
          <w:rFonts w:ascii="Arial" w:cs="Arial" w:eastAsia="Arial" w:hAnsi="Arial"/>
          <w:sz w:val="17"/>
          <w:szCs w:val="17"/>
          <w:color w:val="auto"/>
        </w:rPr>
      </w:pPr>
    </w:p>
    <w:p>
      <w:pPr>
        <w:ind w:left="1580" w:hanging="275"/>
        <w:spacing w:after="0"/>
        <w:tabs>
          <w:tab w:leader="none" w:pos="15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No Default or Event of Default has occurred, shall have occurred and be continuing as of the date hereof or after giving effect to the</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Proposed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780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44" w:lineRule="exact"/>
        <w:rPr>
          <w:sz w:val="20"/>
          <w:szCs w:val="20"/>
          <w:color w:val="auto"/>
        </w:rPr>
      </w:pPr>
    </w:p>
    <w:p>
      <w:pPr>
        <w:ind w:left="520" w:hanging="123"/>
        <w:spacing w:after="0"/>
        <w:tabs>
          <w:tab w:leader="none" w:pos="520" w:val="left"/>
        </w:tabs>
        <w:numPr>
          <w:ilvl w:val="0"/>
          <w:numId w:val="259"/>
        </w:numPr>
        <w:rPr>
          <w:rFonts w:ascii="Arial" w:cs="Arial" w:eastAsia="Arial" w:hAnsi="Arial"/>
          <w:sz w:val="30"/>
          <w:szCs w:val="30"/>
          <w:color w:val="auto"/>
          <w:vertAlign w:val="superscript"/>
        </w:rPr>
      </w:pPr>
      <w:r>
        <w:rPr>
          <w:rFonts w:ascii="Arial" w:cs="Arial" w:eastAsia="Arial" w:hAnsi="Arial"/>
          <w:sz w:val="18"/>
          <w:szCs w:val="18"/>
          <w:color w:val="auto"/>
        </w:rPr>
        <w:t>To be an amount equal to $500,000 or a whole multiple of $100,000 in excess thereof</w:t>
      </w:r>
    </w:p>
    <w:p>
      <w:pPr>
        <w:spacing w:after="0" w:line="128" w:lineRule="exact"/>
        <w:rPr>
          <w:sz w:val="20"/>
          <w:szCs w:val="20"/>
          <w:color w:val="auto"/>
        </w:rPr>
      </w:pPr>
    </w:p>
    <w:p>
      <w:pPr>
        <w:ind w:left="520" w:hanging="123"/>
        <w:spacing w:after="0"/>
        <w:tabs>
          <w:tab w:leader="none" w:pos="520" w:val="left"/>
        </w:tabs>
        <w:numPr>
          <w:ilvl w:val="0"/>
          <w:numId w:val="260"/>
        </w:numPr>
        <w:rPr>
          <w:rFonts w:ascii="Arial" w:cs="Arial" w:eastAsia="Arial" w:hAnsi="Arial"/>
          <w:sz w:val="30"/>
          <w:szCs w:val="30"/>
          <w:color w:val="auto"/>
          <w:vertAlign w:val="superscript"/>
        </w:rPr>
      </w:pPr>
      <w:r>
        <w:rPr>
          <w:rFonts w:ascii="Arial" w:cs="Arial" w:eastAsia="Arial" w:hAnsi="Arial"/>
          <w:sz w:val="18"/>
          <w:szCs w:val="18"/>
          <w:color w:val="auto"/>
        </w:rPr>
        <w:t>To be a Business Day during the Revolving Commitment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2" w:name="page263"/>
    <w:bookmarkEnd w:id="262"/>
    <w:p>
      <w:pPr>
        <w:ind w:left="43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ABM INDUSTRIES INCORPORATED, as the Company</w:t>
      </w:r>
    </w:p>
    <w:p>
      <w:pPr>
        <w:spacing w:after="0" w:line="24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2"/>
          </w:tcPr>
          <w:p>
            <w:pPr>
              <w:ind w:left="1000"/>
              <w:spacing w:after="0"/>
              <w:rPr>
                <w:sz w:val="20"/>
                <w:szCs w:val="20"/>
                <w:color w:val="auto"/>
              </w:rPr>
            </w:pPr>
            <w:r>
              <w:rPr>
                <w:rFonts w:ascii="Arial" w:cs="Arial" w:eastAsia="Arial" w:hAnsi="Arial"/>
                <w:sz w:val="18"/>
                <w:szCs w:val="18"/>
                <w:color w:val="auto"/>
                <w:w w:val="97"/>
              </w:rPr>
              <w:t>EXHIBIT C</w:t>
            </w:r>
          </w:p>
        </w:tc>
      </w:tr>
      <w:tr>
        <w:trPr>
          <w:trHeight w:val="596"/>
        </w:trPr>
        <w:tc>
          <w:tcPr>
            <w:tcW w:w="940" w:type="dxa"/>
            <w:vAlign w:val="bottom"/>
          </w:tcPr>
          <w:p>
            <w:pPr>
              <w:spacing w:after="0"/>
              <w:rPr>
                <w:sz w:val="24"/>
                <w:szCs w:val="24"/>
                <w:color w:val="auto"/>
              </w:rPr>
            </w:pPr>
          </w:p>
        </w:tc>
        <w:tc>
          <w:tcPr>
            <w:tcW w:w="10480" w:type="dxa"/>
            <w:vAlign w:val="bottom"/>
            <w:gridSpan w:val="5"/>
          </w:tcPr>
          <w:p>
            <w:pPr>
              <w:ind w:left="2800"/>
              <w:spacing w:after="0"/>
              <w:rPr>
                <w:sz w:val="20"/>
                <w:szCs w:val="20"/>
                <w:color w:val="auto"/>
              </w:rPr>
            </w:pPr>
            <w:r>
              <w:rPr>
                <w:rFonts w:ascii="Arial" w:cs="Arial" w:eastAsia="Arial" w:hAnsi="Arial"/>
                <w:sz w:val="18"/>
                <w:szCs w:val="18"/>
                <w:b w:val="1"/>
                <w:bCs w:val="1"/>
                <w:color w:val="auto"/>
              </w:rPr>
              <w:t>[FORM OF] NOTICE OF LOAN PREPAYMENT</w:t>
            </w:r>
            <w:r>
              <w:rPr>
                <w:rFonts w:ascii="Arial" w:cs="Arial" w:eastAsia="Arial" w:hAnsi="Arial"/>
                <w:sz w:val="30"/>
                <w:szCs w:val="30"/>
                <w:color w:val="auto"/>
                <w:vertAlign w:val="superscript"/>
              </w:rPr>
              <w:t>1</w:t>
            </w:r>
          </w:p>
        </w:tc>
      </w:tr>
      <w:tr>
        <w:trPr>
          <w:trHeight w:val="309"/>
        </w:trPr>
        <w:tc>
          <w:tcPr>
            <w:tcW w:w="940" w:type="dxa"/>
            <w:vAlign w:val="bottom"/>
          </w:tcPr>
          <w:p>
            <w:pPr>
              <w:spacing w:after="0"/>
              <w:rPr>
                <w:sz w:val="20"/>
                <w:szCs w:val="20"/>
                <w:color w:val="auto"/>
              </w:rPr>
            </w:pPr>
            <w:r>
              <w:rPr>
                <w:rFonts w:ascii="Arial" w:cs="Arial" w:eastAsia="Arial" w:hAnsi="Arial"/>
                <w:sz w:val="18"/>
                <w:szCs w:val="18"/>
                <w:color w:val="auto"/>
              </w:rPr>
              <w:t>TO:</w:t>
            </w:r>
          </w:p>
        </w:tc>
        <w:tc>
          <w:tcPr>
            <w:tcW w:w="10480" w:type="dxa"/>
            <w:vAlign w:val="bottom"/>
            <w:gridSpan w:val="5"/>
          </w:tcPr>
          <w:p>
            <w:pPr>
              <w:ind w:left="360"/>
              <w:spacing w:after="0"/>
              <w:rPr>
                <w:sz w:val="20"/>
                <w:szCs w:val="20"/>
                <w:color w:val="auto"/>
              </w:rPr>
            </w:pPr>
            <w:r>
              <w:rPr>
                <w:rFonts w:ascii="Arial" w:cs="Arial" w:eastAsia="Arial" w:hAnsi="Arial"/>
                <w:sz w:val="18"/>
                <w:szCs w:val="18"/>
                <w:color w:val="auto"/>
              </w:rPr>
              <w:t>Bank of America, N.A., as [Administrative Agent][Swingline Lender]</w:t>
            </w: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RE:</w:t>
            </w:r>
          </w:p>
        </w:tc>
        <w:tc>
          <w:tcPr>
            <w:tcW w:w="10480" w:type="dxa"/>
            <w:vAlign w:val="bottom"/>
            <w:gridSpan w:val="5"/>
          </w:tcPr>
          <w:p>
            <w:pPr>
              <w:ind w:left="360"/>
              <w:spacing w:after="0"/>
              <w:rPr>
                <w:sz w:val="20"/>
                <w:szCs w:val="20"/>
                <w:color w:val="auto"/>
              </w:rPr>
            </w:pPr>
            <w:r>
              <w:rPr>
                <w:rFonts w:ascii="Arial" w:cs="Arial" w:eastAsia="Arial" w:hAnsi="Arial"/>
                <w:sz w:val="18"/>
                <w:szCs w:val="18"/>
                <w:color w:val="auto"/>
                <w:w w:val="90"/>
              </w:rPr>
              <w:t>Credit Agreement (as amended, modified, supplemented, extended, increased and restated from time to time, the “Credit Agreement”) dated</w:t>
            </w:r>
          </w:p>
        </w:tc>
      </w:tr>
      <w:tr>
        <w:trPr>
          <w:trHeight w:val="20"/>
        </w:trPr>
        <w:tc>
          <w:tcPr>
            <w:tcW w:w="9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480" w:type="dxa"/>
            <w:vAlign w:val="bottom"/>
            <w:gridSpan w:val="5"/>
          </w:tcPr>
          <w:p>
            <w:pPr>
              <w:ind w:left="360"/>
              <w:spacing w:after="0" w:line="196" w:lineRule="exact"/>
              <w:rPr>
                <w:sz w:val="20"/>
                <w:szCs w:val="20"/>
                <w:color w:val="auto"/>
              </w:rPr>
            </w:pPr>
            <w:r>
              <w:rPr>
                <w:rFonts w:ascii="Arial" w:cs="Arial" w:eastAsia="Arial" w:hAnsi="Arial"/>
                <w:sz w:val="18"/>
                <w:szCs w:val="18"/>
                <w:color w:val="auto"/>
                <w:w w:val="96"/>
              </w:rPr>
              <w:t>as of September 1, 2017, among ABM Industries Incorporated, a Delaware corporation (the “Company”), the Designated Borrowers</w:t>
            </w:r>
          </w:p>
        </w:tc>
      </w:tr>
      <w:tr>
        <w:trPr>
          <w:trHeight w:val="20"/>
        </w:trPr>
        <w:tc>
          <w:tcPr>
            <w:tcW w:w="9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2"/>
        </w:trPr>
        <w:tc>
          <w:tcPr>
            <w:tcW w:w="940" w:type="dxa"/>
            <w:vAlign w:val="bottom"/>
          </w:tcPr>
          <w:p>
            <w:pPr>
              <w:spacing w:after="0"/>
              <w:rPr>
                <w:sz w:val="19"/>
                <w:szCs w:val="19"/>
                <w:color w:val="auto"/>
              </w:rPr>
            </w:pPr>
          </w:p>
        </w:tc>
        <w:tc>
          <w:tcPr>
            <w:tcW w:w="10480" w:type="dxa"/>
            <w:vAlign w:val="bottom"/>
            <w:gridSpan w:val="5"/>
          </w:tcPr>
          <w:p>
            <w:pPr>
              <w:ind w:left="360"/>
              <w:spacing w:after="0"/>
              <w:rPr>
                <w:sz w:val="20"/>
                <w:szCs w:val="20"/>
                <w:color w:val="auto"/>
              </w:rPr>
            </w:pPr>
            <w:r>
              <w:rPr>
                <w:rFonts w:ascii="Arial" w:cs="Arial" w:eastAsia="Arial" w:hAnsi="Arial"/>
                <w:sz w:val="18"/>
                <w:szCs w:val="18"/>
                <w:color w:val="auto"/>
                <w:w w:val="97"/>
              </w:rPr>
              <w:t>identified therein, the Lenders identified therein and Bank of America, N.A., as Administrative Agent, Issuing Lender and Swingline</w:t>
            </w:r>
          </w:p>
        </w:tc>
      </w:tr>
      <w:tr>
        <w:trPr>
          <w:trHeight w:val="230"/>
        </w:trPr>
        <w:tc>
          <w:tcPr>
            <w:tcW w:w="940" w:type="dxa"/>
            <w:vAlign w:val="bottom"/>
          </w:tcPr>
          <w:p>
            <w:pPr>
              <w:spacing w:after="0"/>
              <w:rPr>
                <w:sz w:val="20"/>
                <w:szCs w:val="20"/>
                <w:color w:val="auto"/>
              </w:rPr>
            </w:pPr>
          </w:p>
        </w:tc>
        <w:tc>
          <w:tcPr>
            <w:tcW w:w="10480" w:type="dxa"/>
            <w:vAlign w:val="bottom"/>
            <w:gridSpan w:val="5"/>
          </w:tcPr>
          <w:p>
            <w:pPr>
              <w:ind w:left="360"/>
              <w:spacing w:after="0"/>
              <w:rPr>
                <w:sz w:val="20"/>
                <w:szCs w:val="20"/>
                <w:color w:val="auto"/>
              </w:rPr>
            </w:pPr>
            <w:r>
              <w:rPr>
                <w:rFonts w:ascii="Arial" w:cs="Arial" w:eastAsia="Arial" w:hAnsi="Arial"/>
                <w:sz w:val="18"/>
                <w:szCs w:val="18"/>
                <w:color w:val="auto"/>
              </w:rPr>
              <w:t>Lender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DATE :</w:t>
            </w:r>
          </w:p>
        </w:tc>
        <w:tc>
          <w:tcPr>
            <w:tcW w:w="10480" w:type="dxa"/>
            <w:vAlign w:val="bottom"/>
            <w:gridSpan w:val="5"/>
          </w:tcPr>
          <w:p>
            <w:pPr>
              <w:ind w:left="36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and not otherwise defined shall have the meanings set forth in the Credit Agreement.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Borrower hereby notifies the Administrative Agent that on </w:t>
      </w:r>
      <w:r>
        <w:rPr>
          <w:rFonts w:ascii="Arial" w:cs="Arial" w:eastAsia="Arial" w:hAnsi="Arial"/>
          <w:sz w:val="16"/>
          <w:szCs w:val="16"/>
          <w:b w:val="1"/>
          <w:bCs w:val="1"/>
          <w:color w:val="auto"/>
        </w:rPr>
        <w:t>_____________</w:t>
      </w:r>
      <w:r>
        <w:rPr>
          <w:rFonts w:ascii="Arial" w:cs="Arial" w:eastAsia="Arial" w:hAnsi="Arial"/>
          <w:sz w:val="26"/>
          <w:szCs w:val="26"/>
          <w:b w:val="1"/>
          <w:bCs w:val="1"/>
          <w:color w:val="auto"/>
          <w:vertAlign w:val="superscript"/>
        </w:rPr>
        <w:t>2</w:t>
      </w:r>
      <w:r>
        <w:rPr>
          <w:rFonts w:ascii="Arial" w:cs="Arial" w:eastAsia="Arial" w:hAnsi="Arial"/>
          <w:sz w:val="16"/>
          <w:szCs w:val="16"/>
          <w:color w:val="auto"/>
        </w:rPr>
        <w:t xml:space="preserve"> pursuant to the terms of Section 2.12 (Prepayment of</w:t>
      </w:r>
    </w:p>
    <w:p>
      <w:pPr>
        <w:spacing w:after="0"/>
        <w:rPr>
          <w:sz w:val="20"/>
          <w:szCs w:val="20"/>
          <w:color w:val="auto"/>
        </w:rPr>
      </w:pPr>
      <w:r>
        <w:rPr>
          <w:rFonts w:ascii="Arial" w:cs="Arial" w:eastAsia="Arial" w:hAnsi="Arial"/>
          <w:sz w:val="18"/>
          <w:szCs w:val="18"/>
          <w:color w:val="auto"/>
        </w:rPr>
        <w:t>Loans) of the Credit Agreement, the undersigned Borrower intends to prepay/repay the following Loans as more specifically set forth below:</w:t>
      </w:r>
    </w:p>
    <w:p>
      <w:pPr>
        <w:spacing w:after="0" w:line="209" w:lineRule="exact"/>
        <w:rPr>
          <w:sz w:val="20"/>
          <w:szCs w:val="20"/>
          <w:color w:val="auto"/>
        </w:rPr>
      </w:pPr>
    </w:p>
    <w:p>
      <w:pPr>
        <w:ind w:left="220" w:hanging="212"/>
        <w:spacing w:after="0"/>
        <w:tabs>
          <w:tab w:leader="none" w:pos="22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[Optional][Mandatory] prepayment of [Dollar Tranche/Multicurrency Tranche Revolving][Term Loans] in the following amount(s):</w:t>
      </w:r>
    </w:p>
    <w:p>
      <w:pPr>
        <w:sectPr>
          <w:pgSz w:w="11900" w:h="16838" w:orient="portrait"/>
          <w:cols w:equalWidth="0" w:num="1">
            <w:col w:w="11420"/>
          </w:cols>
          <w:pgMar w:left="240" w:top="909" w:right="239" w:bottom="1440" w:gutter="0" w:footer="0" w:header="0"/>
        </w:sectPr>
      </w:pPr>
    </w:p>
    <w:p>
      <w:pPr>
        <w:spacing w:after="0" w:line="193" w:lineRule="exact"/>
        <w:rPr>
          <w:sz w:val="20"/>
          <w:szCs w:val="20"/>
          <w:color w:val="auto"/>
        </w:rPr>
      </w:pPr>
    </w:p>
    <w:p>
      <w:pPr>
        <w:ind w:left="660"/>
        <w:spacing w:after="0" w:line="207" w:lineRule="exact"/>
        <w:tabs>
          <w:tab w:leader="none" w:pos="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Eurocurrency Rate Loans:</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the following currency:</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applicable Interest Period: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w:t>
      </w:r>
      <w:r>
        <w:rPr>
          <w:rFonts w:ascii="Arial" w:cs="Arial" w:eastAsia="Arial" w:hAnsi="Arial"/>
          <w:sz w:val="15"/>
          <w:szCs w:val="15"/>
          <w:color w:val="auto"/>
        </w:rPr>
        <w:t>3</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3200" w:space="520"/>
            <w:col w:w="7700"/>
          </w:cols>
          <w:pgMar w:left="240" w:top="909" w:right="239" w:bottom="1440" w:gutter="0" w:footer="0" w:header="0"/>
          <w:type w:val="continuous"/>
        </w:sectPr>
      </w:pPr>
    </w:p>
    <w:p>
      <w:pPr>
        <w:spacing w:after="0" w:line="1" w:lineRule="exact"/>
        <w:rPr>
          <w:sz w:val="20"/>
          <w:szCs w:val="20"/>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Base Rate Loans: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$___</w:t>
      </w:r>
      <w:r>
        <w:rPr>
          <w:rFonts w:ascii="Arial" w:cs="Arial" w:eastAsia="Arial" w:hAnsi="Arial"/>
          <w:sz w:val="13"/>
          <w:szCs w:val="13"/>
          <w:color w:val="auto"/>
        </w:rPr>
        <w:t>4</w:t>
      </w:r>
    </w:p>
    <w:p>
      <w:pPr>
        <w:spacing w:after="0" w:line="236" w:lineRule="exact"/>
        <w:rPr>
          <w:sz w:val="20"/>
          <w:szCs w:val="20"/>
          <w:color w:val="auto"/>
        </w:rPr>
      </w:pPr>
    </w:p>
    <w:p>
      <w:pPr>
        <w:sectPr>
          <w:pgSz w:w="11900" w:h="16838" w:orient="portrait"/>
          <w:cols w:equalWidth="0" w:num="3">
            <w:col w:w="820" w:space="160"/>
            <w:col w:w="2080" w:space="720"/>
            <w:col w:w="7640"/>
          </w:cols>
          <w:pgMar w:left="240" w:top="909" w:right="239" w:bottom="1440" w:gutter="0" w:footer="0" w:header="0"/>
          <w:type w:val="continuous"/>
        </w:sectPr>
      </w:pPr>
    </w:p>
    <w:p>
      <w:pPr>
        <w:spacing w:after="0" w:line="63" w:lineRule="exact"/>
        <w:rPr>
          <w:sz w:val="20"/>
          <w:szCs w:val="20"/>
          <w:color w:val="auto"/>
        </w:rPr>
      </w:pPr>
    </w:p>
    <w:p>
      <w:pPr>
        <w:ind w:left="340" w:hanging="332"/>
        <w:spacing w:after="0"/>
        <w:tabs>
          <w:tab w:leader="none" w:pos="340" w:val="left"/>
        </w:tabs>
        <w:numPr>
          <w:ilvl w:val="0"/>
          <w:numId w:val="262"/>
        </w:numPr>
        <w:rPr>
          <w:rFonts w:ascii="MS PGothic" w:cs="MS PGothic" w:eastAsia="MS PGothic" w:hAnsi="MS PGothic"/>
          <w:sz w:val="36"/>
          <w:szCs w:val="36"/>
          <w:color w:val="auto"/>
          <w:vertAlign w:val="superscript"/>
        </w:rPr>
      </w:pPr>
      <w:r>
        <w:rPr>
          <w:rFonts w:ascii="Arial" w:cs="Arial" w:eastAsia="Arial" w:hAnsi="Arial"/>
          <w:sz w:val="18"/>
          <w:szCs w:val="18"/>
          <w:color w:val="auto"/>
        </w:rPr>
        <w:t>[Optional][Mandatory] prepayment of Swingline Loans in the following amount: $___</w:t>
      </w:r>
      <w:r>
        <w:rPr>
          <w:rFonts w:ascii="Arial" w:cs="Arial" w:eastAsia="Arial" w:hAnsi="Arial"/>
          <w:sz w:val="30"/>
          <w:szCs w:val="30"/>
          <w:color w:val="auto"/>
          <w:vertAlign w:val="superscript"/>
        </w:rPr>
        <w:t>5</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[Set forth on Exhibit A hereto is a reasonably detailed calculation of the above mentioned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prepayment.]</w:t>
      </w:r>
    </w:p>
    <w:p>
      <w:pPr>
        <w:spacing w:after="0" w:line="20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2" w:lineRule="exact"/>
        <w:rPr>
          <w:sz w:val="20"/>
          <w:szCs w:val="20"/>
          <w:color w:val="auto"/>
        </w:rPr>
      </w:pPr>
    </w:p>
    <w:p>
      <w:pPr>
        <w:ind w:left="520" w:hanging="123"/>
        <w:spacing w:after="0"/>
        <w:tabs>
          <w:tab w:leader="none" w:pos="520" w:val="left"/>
        </w:tabs>
        <w:numPr>
          <w:ilvl w:val="0"/>
          <w:numId w:val="263"/>
        </w:numPr>
        <w:rPr>
          <w:rFonts w:ascii="Arial" w:cs="Arial" w:eastAsia="Arial" w:hAnsi="Arial"/>
          <w:sz w:val="30"/>
          <w:szCs w:val="30"/>
          <w:color w:val="auto"/>
          <w:vertAlign w:val="superscript"/>
        </w:rPr>
      </w:pPr>
      <w:r>
        <w:rPr>
          <w:rFonts w:ascii="Arial" w:cs="Arial" w:eastAsia="Arial" w:hAnsi="Arial"/>
          <w:sz w:val="18"/>
          <w:szCs w:val="18"/>
          <w:color w:val="auto"/>
        </w:rPr>
        <w:t>Minimum notice requirements set forth in Section 2.12 of the Credit Agreement.</w:t>
      </w:r>
    </w:p>
    <w:p>
      <w:pPr>
        <w:spacing w:after="0" w:line="42" w:lineRule="exact"/>
        <w:rPr>
          <w:rFonts w:ascii="Arial" w:cs="Arial" w:eastAsia="Arial" w:hAnsi="Arial"/>
          <w:sz w:val="30"/>
          <w:szCs w:val="30"/>
          <w:color w:val="auto"/>
          <w:vertAlign w:val="superscript"/>
        </w:rPr>
      </w:pPr>
    </w:p>
    <w:p>
      <w:pPr>
        <w:ind w:left="400"/>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Specify date of such prepayment.</w:t>
      </w:r>
    </w:p>
    <w:p>
      <w:pPr>
        <w:spacing w:after="0" w:line="25" w:lineRule="exact"/>
        <w:rPr>
          <w:sz w:val="20"/>
          <w:szCs w:val="20"/>
          <w:color w:val="auto"/>
        </w:rPr>
      </w:pPr>
    </w:p>
    <w:p>
      <w:pPr>
        <w:ind w:right="160" w:firstLine="397"/>
        <w:spacing w:after="0" w:line="209" w:lineRule="auto"/>
        <w:tabs>
          <w:tab w:leader="none" w:pos="509" w:val="left"/>
        </w:tabs>
        <w:numPr>
          <w:ilvl w:val="0"/>
          <w:numId w:val="264"/>
        </w:numPr>
        <w:rPr>
          <w:rFonts w:ascii="Arial" w:cs="Arial" w:eastAsia="Arial" w:hAnsi="Arial"/>
          <w:sz w:val="30"/>
          <w:szCs w:val="30"/>
          <w:color w:val="auto"/>
          <w:vertAlign w:val="superscript"/>
        </w:rPr>
      </w:pPr>
      <w:r>
        <w:rPr>
          <w:rFonts w:ascii="Arial" w:cs="Arial" w:eastAsia="Arial" w:hAnsi="Arial"/>
          <w:sz w:val="18"/>
          <w:szCs w:val="18"/>
          <w:color w:val="auto"/>
        </w:rPr>
        <w:t>Any prepayment of Eurocurrency Rate Loans shall be in a principal amount of $5,000,000 (or if denominated in an Alternative Currency, 5,000,000 units of such currency) or a whole multiple of $1,000,000 (or if denominated in an Alternative Currency, 1,000,000 units of such currency) in excess thereof (or if less, the entire principal amount thereof outstanding).</w:t>
      </w:r>
    </w:p>
    <w:p>
      <w:pPr>
        <w:spacing w:after="0" w:line="28" w:lineRule="exact"/>
        <w:rPr>
          <w:sz w:val="20"/>
          <w:szCs w:val="20"/>
          <w:color w:val="auto"/>
        </w:rPr>
      </w:pPr>
    </w:p>
    <w:p>
      <w:pPr>
        <w:ind w:right="240" w:firstLine="397"/>
        <w:spacing w:after="0" w:line="194" w:lineRule="auto"/>
        <w:tabs>
          <w:tab w:leader="none" w:pos="509" w:val="left"/>
        </w:tabs>
        <w:numPr>
          <w:ilvl w:val="0"/>
          <w:numId w:val="265"/>
        </w:numPr>
        <w:rPr>
          <w:rFonts w:ascii="Arial" w:cs="Arial" w:eastAsia="Arial" w:hAnsi="Arial"/>
          <w:sz w:val="30"/>
          <w:szCs w:val="30"/>
          <w:color w:val="auto"/>
          <w:vertAlign w:val="superscript"/>
        </w:rPr>
      </w:pPr>
      <w:r>
        <w:rPr>
          <w:rFonts w:ascii="Arial" w:cs="Arial" w:eastAsia="Arial" w:hAnsi="Arial"/>
          <w:sz w:val="18"/>
          <w:szCs w:val="18"/>
          <w:color w:val="auto"/>
        </w:rPr>
        <w:t>Any prepayment of Base Rate Loans shall be in a principal amount of $1,000,000 or a whole multiple of $1,000,000 in excess thereof (or if less, the entire principal amount thereof outstanding).</w:t>
      </w:r>
    </w:p>
    <w:p>
      <w:pPr>
        <w:spacing w:after="0" w:line="27" w:lineRule="exact"/>
        <w:rPr>
          <w:sz w:val="20"/>
          <w:szCs w:val="20"/>
          <w:color w:val="auto"/>
        </w:rPr>
      </w:pPr>
    </w:p>
    <w:p>
      <w:pPr>
        <w:ind w:right="40" w:firstLine="397"/>
        <w:spacing w:after="0" w:line="194" w:lineRule="auto"/>
        <w:tabs>
          <w:tab w:leader="none" w:pos="509" w:val="left"/>
        </w:tabs>
        <w:numPr>
          <w:ilvl w:val="0"/>
          <w:numId w:val="266"/>
        </w:numPr>
        <w:rPr>
          <w:rFonts w:ascii="Arial" w:cs="Arial" w:eastAsia="Arial" w:hAnsi="Arial"/>
          <w:sz w:val="30"/>
          <w:szCs w:val="30"/>
          <w:color w:val="auto"/>
          <w:vertAlign w:val="superscript"/>
        </w:rPr>
      </w:pPr>
      <w:r>
        <w:rPr>
          <w:rFonts w:ascii="Arial" w:cs="Arial" w:eastAsia="Arial" w:hAnsi="Arial"/>
          <w:sz w:val="18"/>
          <w:szCs w:val="18"/>
          <w:color w:val="auto"/>
        </w:rPr>
        <w:t>Any prepayment of Swingline Loans shall be in a principal amount of $100,000 or a whole multiple of $100,000 in excess thereof (or if less, the entire principal amount thereof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264" w:name="page265"/>
    <w:bookmarkEnd w:id="264"/>
    <w:p>
      <w:pPr>
        <w:ind w:left="4520"/>
        <w:spacing w:after="0"/>
        <w:rPr>
          <w:sz w:val="20"/>
          <w:szCs w:val="20"/>
          <w:color w:val="auto"/>
        </w:rPr>
      </w:pPr>
      <w:r>
        <w:rPr>
          <w:rFonts w:ascii="Arial" w:cs="Arial" w:eastAsia="Arial" w:hAnsi="Arial"/>
          <w:sz w:val="18"/>
          <w:szCs w:val="18"/>
          <w:b w:val="1"/>
          <w:bCs w:val="1"/>
          <w:color w:val="auto"/>
        </w:rPr>
        <w:t>[BORROWER NAME]</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[Jurisdiction and Type of Organization]</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441960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form of this Compliance Certificate has been prepared for convenience only, and is not to affect, or to be taken into consideration in interpreting, the terms of the Credit Agreement referred to below. The obligations of the Borrowers and the other Loan Parties under the Credit Agreement are as set forth in the Credit Agreement, and nothing in this Compliance Certificate, or the form hereof, shall modify such obligations or constitute a waiver of compliance therewith in accordance with the terms of the Credit Agreement. In the event of any conflict between the terms of this Compliance Certificate and the terms of the Credit Agreement, the terms of the Credit Agreement shall govern and control, and the terms of this Compliance Certificate are to be modified accordingly.]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hereby certifies, on behalf of the Company solely in his or her capacity as a Financial Officer of the Company and not in a personal capacity, as follows:</w:t>
      </w:r>
    </w:p>
    <w:p>
      <w:pPr>
        <w:spacing w:after="0" w:line="170" w:lineRule="exact"/>
        <w:rPr>
          <w:sz w:val="20"/>
          <w:szCs w:val="20"/>
          <w:color w:val="auto"/>
        </w:rPr>
      </w:pPr>
    </w:p>
    <w:p>
      <w:pPr>
        <w:ind w:left="1340" w:hanging="684"/>
        <w:spacing w:after="0"/>
        <w:tabs>
          <w:tab w:leader="none" w:pos="13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 am a Financial Officer of the Company.</w:t>
      </w:r>
    </w:p>
    <w:p>
      <w:pPr>
        <w:spacing w:after="0" w:line="225" w:lineRule="exact"/>
        <w:rPr>
          <w:rFonts w:ascii="Arial" w:cs="Arial" w:eastAsia="Arial" w:hAnsi="Arial"/>
          <w:sz w:val="18"/>
          <w:szCs w:val="18"/>
          <w:color w:val="auto"/>
        </w:rPr>
      </w:pPr>
    </w:p>
    <w:p>
      <w:pPr>
        <w:jc w:val="both"/>
        <w:ind w:firstLine="656"/>
        <w:spacing w:after="0" w:line="291" w:lineRule="auto"/>
        <w:tabs>
          <w:tab w:leader="none" w:pos="164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are (a) the audited consolidated balance sheet and statements of income, comprehensive income, shareholders’ equity and cash flows required to be delivered by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of the Credit Agreement as of the end of and for the fiscal year ended [●]</w:t>
      </w:r>
    </w:p>
    <w:p>
      <w:pPr>
        <w:jc w:val="both"/>
        <w:spacing w:after="0" w:line="224" w:lineRule="auto"/>
        <w:rPr>
          <w:sz w:val="20"/>
          <w:szCs w:val="20"/>
          <w:color w:val="auto"/>
        </w:rPr>
      </w:pPr>
      <w:r>
        <w:rPr>
          <w:rFonts w:ascii="Arial" w:cs="Arial" w:eastAsia="Arial" w:hAnsi="Arial"/>
          <w:sz w:val="18"/>
          <w:szCs w:val="18"/>
          <w:color w:val="auto"/>
        </w:rPr>
        <w:t>setting forth in comparative form the figures for the previous fiscal year, all reported on by KPMG LLP</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related narrative report containing management’s discussion and analysis of the financial position and financial performance for such fiscal year and (b) reasonably detailed calculations for purposes of determining compliance with the financial maintenance covenants contained in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of the Credit Agreement by calculation thereof as of the end of the fiscal period covered by such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firstLine="705"/>
        <w:spacing w:after="0" w:line="289" w:lineRule="auto"/>
        <w:tabs>
          <w:tab w:leader="none" w:pos="140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are (a) the unaudited consolidated balance sheet and statements of income and cash flows required to be delivered by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of the Credit Agreement as of the end of and for the fiscal quarter ended [●] and the then elapsed portion of such fiscal year, setting forth in each case in comparative form the figures for the corresponding period or periods of (or, in the case of the balance sheet, as of the end of) the previous fiscal year, and related narrative report containing management’s discussion and analysis of the financial position and financial performance for such fiscal quarter and (b) reasonably detailed calculations for purposes of determining compliance with the financial maintenance covenants contained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6.13</w:t>
      </w:r>
      <w:r>
        <w:rPr>
          <w:rFonts w:ascii="Arial" w:cs="Arial" w:eastAsia="Arial" w:hAnsi="Arial"/>
          <w:sz w:val="16"/>
          <w:szCs w:val="16"/>
          <w:color w:val="auto"/>
        </w:rPr>
        <w:t xml:space="preserve"> of the Credit Agreement by calculation thereof as of the end of the fiscal period covered by such financial statements. The financial statements referred to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present fairly in all material respects the financial condition, results of operations and cash flows of the Company and its Subsidiaries (including its Unrestricted Subsidiaries) on a consolidated basis as of the end of and for such fiscal quarter and such portion of the fiscal year in accordance with GAAP, subject to normal year-end audit adjustments and the absence of certain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1780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0" w:lineRule="exact"/>
        <w:rPr>
          <w:sz w:val="20"/>
          <w:szCs w:val="20"/>
          <w:color w:val="auto"/>
        </w:rPr>
      </w:pPr>
    </w:p>
    <w:p>
      <w:pPr>
        <w:ind w:left="520" w:hanging="123"/>
        <w:spacing w:after="0"/>
        <w:tabs>
          <w:tab w:leader="none" w:pos="520" w:val="left"/>
        </w:tabs>
        <w:numPr>
          <w:ilvl w:val="0"/>
          <w:numId w:val="269"/>
        </w:numPr>
        <w:rPr>
          <w:rFonts w:ascii="Arial" w:cs="Arial" w:eastAsia="Arial" w:hAnsi="Arial"/>
          <w:sz w:val="30"/>
          <w:szCs w:val="30"/>
          <w:color w:val="auto"/>
          <w:vertAlign w:val="superscript"/>
        </w:rPr>
      </w:pPr>
      <w:r>
        <w:rPr>
          <w:rFonts w:ascii="Arial" w:cs="Arial" w:eastAsia="Arial" w:hAnsi="Arial"/>
          <w:sz w:val="18"/>
          <w:szCs w:val="18"/>
          <w:color w:val="auto"/>
        </w:rPr>
        <w:t>An independent registered public accounting firm of recognized national standing may be substituted for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jc w:val="both"/>
        <w:ind w:firstLine="697"/>
        <w:spacing w:after="0" w:line="264" w:lineRule="auto"/>
        <w:rPr>
          <w:sz w:val="20"/>
          <w:szCs w:val="20"/>
          <w:color w:val="auto"/>
        </w:rPr>
      </w:pPr>
      <w:r>
        <w:rPr>
          <w:rFonts w:ascii="Arial" w:cs="Arial" w:eastAsia="Arial" w:hAnsi="Arial"/>
          <w:sz w:val="18"/>
          <w:szCs w:val="18"/>
          <w:color w:val="auto"/>
        </w:rPr>
        <w:t xml:space="preserve">[3.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is a completed Supplemental Perfection Certificate, setting forth the information required pursuant to the Supplemental Perfection Certificate and indicating any changes in such information from [the most recently delivered Supplemental Perfection Certificate] / [the Perfection Certificate delivered on the Closing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[3. I hereby certify that there has been no change in any information set forth in [the most recently delivered Supplemental Perfection Certificate] / [the Perfection Certificate delivered on the Closing Date].]</w:t>
      </w:r>
      <w:r>
        <w:rPr>
          <w:rFonts w:ascii="Arial" w:cs="Arial" w:eastAsia="Arial" w:hAnsi="Arial"/>
          <w:sz w:val="30"/>
          <w:szCs w:val="30"/>
          <w:color w:val="auto"/>
          <w:vertAlign w:val="superscript"/>
        </w:rPr>
        <w:t>2</w:t>
      </w:r>
    </w:p>
    <w:p>
      <w:pPr>
        <w:spacing w:after="0" w:line="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[3][4]. I have reviewed the terms of the Credit Agreement and I have made, or have caused to be made under my supervision, a review in reasonable detail of the transactions and condition of the Company and its Subsidiaries during the accounting period covered by the attached financial statements. The foregoing examination did not disclose, and I have no knowledge of (a) the existence or occurrence of any condition or event that constitutes a Default, except as set forth in a separate attachment, if any, to this Compliance Certificate, specifying the details thereof and the action that the Company has taken or proposes to take with respect thereto or (b) any change in GAAP or in the application thereof since the date of the consolidated balance sheet [most recently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5.01(b)</w:t>
      </w:r>
      <w:r>
        <w:rPr>
          <w:rFonts w:ascii="Arial" w:cs="Arial" w:eastAsia="Arial" w:hAnsi="Arial"/>
          <w:sz w:val="17"/>
          <w:szCs w:val="17"/>
          <w:color w:val="auto"/>
        </w:rPr>
        <w:t xml:space="preserve"> of the Credit Agreement] / [referred to in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of the Credit Agreement] that is required to be disclosed in the financial statements that are delivered concurrently with this Compliance Certificate [except as set forth in [a separate attachment to this certificate][note [●] to the financial statements attached hereto]].</w:t>
      </w:r>
    </w:p>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 xml:space="preserve">[4][5]. Attached as </w:t>
      </w:r>
      <w:r>
        <w:rPr>
          <w:rFonts w:ascii="Arial" w:cs="Arial" w:eastAsia="Arial" w:hAnsi="Arial"/>
          <w:sz w:val="17"/>
          <w:szCs w:val="17"/>
          <w:u w:val="single" w:color="auto"/>
          <w:color w:val="auto"/>
        </w:rPr>
        <w:t>Schedule [II][III]</w:t>
      </w:r>
      <w:r>
        <w:rPr>
          <w:rFonts w:ascii="Arial" w:cs="Arial" w:eastAsia="Arial" w:hAnsi="Arial"/>
          <w:sz w:val="17"/>
          <w:szCs w:val="17"/>
          <w:color w:val="auto"/>
        </w:rPr>
        <w:t xml:space="preserve"> hereto is the name of each Subsidiary, if any, that (a) is a Loan Party as of the date of this Certificate but has not been identified as a Loan Party, as the case may be, in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of the Credit Agreement or in any prior Compliance Certificate or (b) has previously been identified as a Loan Party but has ceased to be a Loan Party as a result of its status as an Excluded Subsidiary.</w:t>
      </w:r>
      <w:r>
        <w:rPr>
          <w:rFonts w:ascii="Arial" w:cs="Arial" w:eastAsia="Arial" w:hAnsi="Arial"/>
          <w:sz w:val="28"/>
          <w:szCs w:val="28"/>
          <w:color w:val="auto"/>
          <w:vertAlign w:val="superscript"/>
        </w:rPr>
        <w:t>[4]</w:t>
      </w:r>
    </w:p>
    <w:p>
      <w:pPr>
        <w:spacing w:after="0" w:line="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 xml:space="preserve">The foregoing certifications are made and delivered on [●], pursuant to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of the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4" w:lineRule="exact"/>
        <w:rPr>
          <w:sz w:val="20"/>
          <w:szCs w:val="20"/>
          <w:color w:val="auto"/>
        </w:rPr>
      </w:pPr>
    </w:p>
    <w:p>
      <w:pPr>
        <w:ind w:left="520" w:hanging="123"/>
        <w:spacing w:after="0"/>
        <w:tabs>
          <w:tab w:leader="none" w:pos="520" w:val="left"/>
        </w:tabs>
        <w:numPr>
          <w:ilvl w:val="0"/>
          <w:numId w:val="270"/>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 one of the options for this paragraph 3 only at the time of delivery of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of the Credit Agreement.</w:t>
      </w:r>
    </w:p>
    <w:p>
      <w:pPr>
        <w:spacing w:after="0" w:line="128" w:lineRule="exact"/>
        <w:rPr>
          <w:sz w:val="20"/>
          <w:szCs w:val="20"/>
          <w:color w:val="auto"/>
        </w:rPr>
      </w:pPr>
    </w:p>
    <w:p>
      <w:pPr>
        <w:ind w:left="520" w:hanging="123"/>
        <w:spacing w:after="0"/>
        <w:tabs>
          <w:tab w:leader="none" w:pos="520" w:val="left"/>
        </w:tabs>
        <w:numPr>
          <w:ilvl w:val="0"/>
          <w:numId w:val="271"/>
        </w:numPr>
        <w:rPr>
          <w:rFonts w:ascii="Arial" w:cs="Arial" w:eastAsia="Arial" w:hAnsi="Arial"/>
          <w:sz w:val="30"/>
          <w:szCs w:val="30"/>
          <w:color w:val="auto"/>
          <w:vertAlign w:val="superscript"/>
        </w:rPr>
      </w:pPr>
      <w:r>
        <w:rPr>
          <w:rFonts w:ascii="Arial" w:cs="Arial" w:eastAsia="Arial" w:hAnsi="Arial"/>
          <w:sz w:val="18"/>
          <w:szCs w:val="18"/>
          <w:color w:val="auto"/>
        </w:rPr>
        <w:t>Include only at the time of delivery of financial statements pursuant to Section 5.01(a)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7" w:name="page268"/>
    <w:bookmarkEnd w:id="267"/>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ABM INDUSTRIES INCORPORATED</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t>EXHIBIT 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INTEREST ELECTION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the Lenders party thereto, Bank of America, N.A., as Administrative Agent and certain other Persons from time to time party thereto. Capitalized terms used but not otherwise defined herein shall have the meanings specified in the Credit Agreement. This notice constitutes an Interest Election Request and the undersigned Borrower hereby gives you notice,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of the Credit Agreement, that it requests the [conversion] / [continuation] of a Borrowing under the Credit Agreement, and in that connection such Borrower specifies the following information with respect to such Borrowing and each resulting Borrowing:</w:t>
      </w:r>
    </w:p>
    <w:p>
      <w:pPr>
        <w:spacing w:after="0" w:line="192" w:lineRule="exact"/>
        <w:rPr>
          <w:sz w:val="20"/>
          <w:szCs w:val="20"/>
          <w:color w:val="auto"/>
        </w:rPr>
      </w:pPr>
    </w:p>
    <w:p>
      <w:pPr>
        <w:ind w:left="980" w:hanging="324"/>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Borrowing to which this request applies:</w:t>
      </w:r>
    </w:p>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840" w:type="dxa"/>
            <w:vAlign w:val="bottom"/>
          </w:tcPr>
          <w:p>
            <w:pPr>
              <w:ind w:left="740"/>
              <w:spacing w:after="0"/>
              <w:rPr>
                <w:sz w:val="20"/>
                <w:szCs w:val="20"/>
                <w:color w:val="auto"/>
              </w:rPr>
            </w:pPr>
            <w:r>
              <w:rPr>
                <w:rFonts w:ascii="Arial" w:cs="Arial" w:eastAsia="Arial" w:hAnsi="Arial"/>
                <w:sz w:val="18"/>
                <w:szCs w:val="18"/>
                <w:color w:val="auto"/>
              </w:rPr>
              <w:t>Borrower:</w:t>
            </w:r>
          </w:p>
        </w:tc>
        <w:tc>
          <w:tcPr>
            <w:tcW w:w="4840" w:type="dxa"/>
            <w:vAlign w:val="bottom"/>
          </w:tcPr>
          <w:p>
            <w:pPr>
              <w:ind w:left="500"/>
              <w:spacing w:after="0"/>
              <w:rPr>
                <w:sz w:val="20"/>
                <w:szCs w:val="20"/>
                <w:color w:val="auto"/>
              </w:rPr>
            </w:pPr>
            <w:r>
              <w:rPr>
                <w:rFonts w:ascii="Arial" w:cs="Arial" w:eastAsia="Arial" w:hAnsi="Arial"/>
                <w:sz w:val="18"/>
                <w:szCs w:val="18"/>
                <w:color w:val="auto"/>
                <w:w w:val="94"/>
              </w:rPr>
              <w:t>[ABM Industries Incorporated][Omni Serv Limited][_____]</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2840" w:type="dxa"/>
            <w:vAlign w:val="bottom"/>
          </w:tcPr>
          <w:p>
            <w:pPr>
              <w:ind w:left="740"/>
              <w:spacing w:after="0" w:line="256" w:lineRule="exact"/>
              <w:rPr>
                <w:sz w:val="20"/>
                <w:szCs w:val="20"/>
                <w:color w:val="auto"/>
              </w:rPr>
            </w:pPr>
            <w:r>
              <w:rPr>
                <w:rFonts w:ascii="Arial" w:cs="Arial" w:eastAsia="Arial" w:hAnsi="Arial"/>
                <w:sz w:val="18"/>
                <w:szCs w:val="18"/>
                <w:color w:val="auto"/>
              </w:rPr>
              <w:t>Class:</w:t>
            </w:r>
            <w:r>
              <w:rPr>
                <w:rFonts w:ascii="Arial" w:cs="Arial" w:eastAsia="Arial" w:hAnsi="Arial"/>
                <w:sz w:val="29"/>
                <w:szCs w:val="29"/>
                <w:color w:val="auto"/>
                <w:vertAlign w:val="superscript"/>
              </w:rPr>
              <w:t>1</w:t>
            </w:r>
          </w:p>
        </w:tc>
        <w:tc>
          <w:tcPr>
            <w:tcW w:w="4840" w:type="dxa"/>
            <w:vAlign w:val="bottom"/>
          </w:tcPr>
          <w:p>
            <w:pPr>
              <w:ind w:left="500"/>
              <w:spacing w:after="0"/>
              <w:rPr>
                <w:sz w:val="20"/>
                <w:szCs w:val="20"/>
                <w:color w:val="auto"/>
              </w:rPr>
            </w:pPr>
            <w:r>
              <w:rPr>
                <w:rFonts w:ascii="Arial" w:cs="Arial" w:eastAsia="Arial" w:hAnsi="Arial"/>
                <w:sz w:val="18"/>
                <w:szCs w:val="18"/>
                <w:color w:val="auto"/>
              </w:rPr>
              <w:t>_______________________________</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840" w:type="dxa"/>
            <w:vAlign w:val="bottom"/>
          </w:tcPr>
          <w:p>
            <w:pPr>
              <w:ind w:left="740"/>
              <w:spacing w:after="0"/>
              <w:rPr>
                <w:sz w:val="20"/>
                <w:szCs w:val="20"/>
                <w:color w:val="auto"/>
              </w:rPr>
            </w:pPr>
            <w:r>
              <w:rPr>
                <w:rFonts w:ascii="Arial" w:cs="Arial" w:eastAsia="Arial" w:hAnsi="Arial"/>
                <w:sz w:val="18"/>
                <w:szCs w:val="18"/>
                <w:color w:val="auto"/>
              </w:rPr>
              <w:t>Principal Amount:</w:t>
            </w:r>
          </w:p>
        </w:tc>
        <w:tc>
          <w:tcPr>
            <w:tcW w:w="4840" w:type="dxa"/>
            <w:vAlign w:val="bottom"/>
          </w:tcPr>
          <w:p>
            <w:pPr>
              <w:ind w:left="500"/>
              <w:spacing w:after="0"/>
              <w:rPr>
                <w:sz w:val="20"/>
                <w:szCs w:val="20"/>
                <w:color w:val="auto"/>
              </w:rPr>
            </w:pPr>
            <w:r>
              <w:rPr>
                <w:rFonts w:ascii="Arial" w:cs="Arial" w:eastAsia="Arial" w:hAnsi="Arial"/>
                <w:sz w:val="18"/>
                <w:szCs w:val="18"/>
                <w:color w:val="auto"/>
              </w:rPr>
              <w:t>_______________________________</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2840" w:type="dxa"/>
            <w:vAlign w:val="bottom"/>
          </w:tcPr>
          <w:p>
            <w:pPr>
              <w:ind w:left="740"/>
              <w:spacing w:after="0" w:line="256" w:lineRule="exact"/>
              <w:rPr>
                <w:sz w:val="20"/>
                <w:szCs w:val="20"/>
                <w:color w:val="auto"/>
              </w:rPr>
            </w:pPr>
            <w:r>
              <w:rPr>
                <w:rFonts w:ascii="Arial" w:cs="Arial" w:eastAsia="Arial" w:hAnsi="Arial"/>
                <w:sz w:val="18"/>
                <w:szCs w:val="18"/>
                <w:color w:val="auto"/>
              </w:rPr>
              <w:t>Type:</w:t>
            </w:r>
            <w:r>
              <w:rPr>
                <w:rFonts w:ascii="Arial" w:cs="Arial" w:eastAsia="Arial" w:hAnsi="Arial"/>
                <w:sz w:val="29"/>
                <w:szCs w:val="29"/>
                <w:color w:val="auto"/>
                <w:vertAlign w:val="superscript"/>
              </w:rPr>
              <w:t>2</w:t>
            </w:r>
          </w:p>
        </w:tc>
        <w:tc>
          <w:tcPr>
            <w:tcW w:w="4840" w:type="dxa"/>
            <w:vAlign w:val="bottom"/>
          </w:tcPr>
          <w:p>
            <w:pPr>
              <w:ind w:left="500"/>
              <w:spacing w:after="0"/>
              <w:rPr>
                <w:sz w:val="20"/>
                <w:szCs w:val="20"/>
                <w:color w:val="auto"/>
              </w:rPr>
            </w:pPr>
            <w:r>
              <w:rPr>
                <w:rFonts w:ascii="Arial" w:cs="Arial" w:eastAsia="Arial" w:hAnsi="Arial"/>
                <w:sz w:val="18"/>
                <w:szCs w:val="18"/>
                <w:color w:val="auto"/>
              </w:rPr>
              <w:t>_______________________________</w:t>
            </w:r>
          </w:p>
        </w:tc>
        <w:tc>
          <w:tcPr>
            <w:tcW w:w="0" w:type="dxa"/>
            <w:vAlign w:val="bottom"/>
          </w:tcPr>
          <w:p>
            <w:pPr>
              <w:spacing w:after="0"/>
              <w:rPr>
                <w:sz w:val="1"/>
                <w:szCs w:val="1"/>
                <w:color w:val="auto"/>
              </w:rPr>
            </w:pPr>
          </w:p>
        </w:tc>
      </w:tr>
      <w:tr>
        <w:trPr>
          <w:trHeight w:val="394"/>
        </w:trPr>
        <w:tc>
          <w:tcPr>
            <w:tcW w:w="220" w:type="dxa"/>
            <w:vAlign w:val="bottom"/>
          </w:tcPr>
          <w:p>
            <w:pPr>
              <w:spacing w:after="0"/>
              <w:rPr>
                <w:sz w:val="24"/>
                <w:szCs w:val="24"/>
                <w:color w:val="auto"/>
              </w:rPr>
            </w:pPr>
          </w:p>
        </w:tc>
        <w:tc>
          <w:tcPr>
            <w:tcW w:w="2840" w:type="dxa"/>
            <w:vAlign w:val="bottom"/>
          </w:tcPr>
          <w:p>
            <w:pPr>
              <w:ind w:left="740"/>
              <w:spacing w:after="0"/>
              <w:rPr>
                <w:sz w:val="20"/>
                <w:szCs w:val="20"/>
                <w:color w:val="auto"/>
              </w:rPr>
            </w:pPr>
            <w:r>
              <w:rPr>
                <w:rFonts w:ascii="Arial" w:cs="Arial" w:eastAsia="Arial" w:hAnsi="Arial"/>
                <w:sz w:val="18"/>
                <w:szCs w:val="18"/>
                <w:color w:val="auto"/>
              </w:rPr>
              <w:t>Interest Period:</w:t>
            </w:r>
            <w:r>
              <w:rPr>
                <w:rFonts w:ascii="Arial" w:cs="Arial" w:eastAsia="Arial" w:hAnsi="Arial"/>
                <w:sz w:val="30"/>
                <w:szCs w:val="30"/>
                <w:color w:val="auto"/>
                <w:vertAlign w:val="superscript"/>
              </w:rPr>
              <w:t>3</w:t>
            </w:r>
          </w:p>
        </w:tc>
        <w:tc>
          <w:tcPr>
            <w:tcW w:w="4840" w:type="dxa"/>
            <w:vAlign w:val="bottom"/>
          </w:tcPr>
          <w:p>
            <w:pPr>
              <w:ind w:left="500"/>
              <w:spacing w:after="0"/>
              <w:rPr>
                <w:sz w:val="20"/>
                <w:szCs w:val="20"/>
                <w:color w:val="auto"/>
              </w:rPr>
            </w:pPr>
            <w:r>
              <w:rPr>
                <w:rFonts w:ascii="Arial" w:cs="Arial" w:eastAsia="Arial" w:hAnsi="Arial"/>
                <w:sz w:val="18"/>
                <w:szCs w:val="18"/>
                <w:color w:val="auto"/>
              </w:rPr>
              <w:t>_______________________________</w:t>
            </w:r>
          </w:p>
        </w:tc>
        <w:tc>
          <w:tcPr>
            <w:tcW w:w="0" w:type="dxa"/>
            <w:vAlign w:val="bottom"/>
          </w:tcPr>
          <w:p>
            <w:pPr>
              <w:spacing w:after="0"/>
              <w:rPr>
                <w:sz w:val="1"/>
                <w:szCs w:val="1"/>
                <w:color w:val="auto"/>
              </w:rPr>
            </w:pPr>
          </w:p>
        </w:tc>
      </w:tr>
      <w:tr>
        <w:trPr>
          <w:trHeight w:val="473"/>
        </w:trPr>
        <w:tc>
          <w:tcPr>
            <w:tcW w:w="2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840" w:type="dxa"/>
            <w:vAlign w:val="bottom"/>
          </w:tcPr>
          <w:p>
            <w:pPr>
              <w:ind w:left="100"/>
              <w:spacing w:after="0"/>
              <w:rPr>
                <w:sz w:val="20"/>
                <w:szCs w:val="20"/>
                <w:color w:val="auto"/>
              </w:rPr>
            </w:pPr>
            <w:r>
              <w:rPr>
                <w:rFonts w:ascii="Arial" w:cs="Arial" w:eastAsia="Arial" w:hAnsi="Arial"/>
                <w:sz w:val="18"/>
                <w:szCs w:val="18"/>
                <w:color w:val="auto"/>
              </w:rPr>
              <w:t>Effective date of this election:</w:t>
            </w:r>
            <w:r>
              <w:rPr>
                <w:rFonts w:ascii="Arial" w:cs="Arial" w:eastAsia="Arial" w:hAnsi="Arial"/>
                <w:sz w:val="30"/>
                <w:szCs w:val="30"/>
                <w:color w:val="auto"/>
                <w:vertAlign w:val="superscript"/>
              </w:rPr>
              <w:t>4</w:t>
            </w:r>
          </w:p>
        </w:tc>
        <w:tc>
          <w:tcPr>
            <w:tcW w:w="4840" w:type="dxa"/>
            <w:vAlign w:val="bottom"/>
          </w:tcPr>
          <w:p>
            <w:pPr>
              <w:ind w:left="500"/>
              <w:spacing w:after="0"/>
              <w:rPr>
                <w:sz w:val="20"/>
                <w:szCs w:val="20"/>
                <w:color w:val="auto"/>
              </w:rPr>
            </w:pPr>
            <w:r>
              <w:rPr>
                <w:rFonts w:ascii="Arial" w:cs="Arial" w:eastAsia="Arial" w:hAnsi="Arial"/>
                <w:sz w:val="18"/>
                <w:szCs w:val="18"/>
                <w:color w:val="auto"/>
              </w:rPr>
              <w:t>_______________________________</w:t>
            </w:r>
          </w:p>
        </w:tc>
        <w:tc>
          <w:tcPr>
            <w:tcW w:w="0" w:type="dxa"/>
            <w:vAlign w:val="bottom"/>
          </w:tcPr>
          <w:p>
            <w:pPr>
              <w:spacing w:after="0"/>
              <w:rPr>
                <w:sz w:val="1"/>
                <w:szCs w:val="1"/>
                <w:color w:val="auto"/>
              </w:rPr>
            </w:pPr>
          </w:p>
        </w:tc>
      </w:tr>
      <w:tr>
        <w:trPr>
          <w:trHeight w:val="339"/>
        </w:trPr>
        <w:tc>
          <w:tcPr>
            <w:tcW w:w="22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2840" w:type="dxa"/>
            <w:vAlign w:val="bottom"/>
          </w:tcPr>
          <w:p>
            <w:pPr>
              <w:ind w:left="100"/>
              <w:spacing w:after="0" w:line="338" w:lineRule="exact"/>
              <w:rPr>
                <w:sz w:val="20"/>
                <w:szCs w:val="20"/>
                <w:color w:val="auto"/>
              </w:rPr>
            </w:pPr>
            <w:r>
              <w:rPr>
                <w:rFonts w:ascii="Arial" w:cs="Arial" w:eastAsia="Arial" w:hAnsi="Arial"/>
                <w:sz w:val="18"/>
                <w:szCs w:val="18"/>
                <w:color w:val="auto"/>
              </w:rPr>
              <w:t>Resulting Borrowing[s]</w:t>
            </w:r>
            <w:r>
              <w:rPr>
                <w:rFonts w:ascii="Arial" w:cs="Arial" w:eastAsia="Arial" w:hAnsi="Arial"/>
                <w:sz w:val="30"/>
                <w:szCs w:val="30"/>
                <w:color w:val="auto"/>
                <w:vertAlign w:val="superscript"/>
              </w:rPr>
              <w:t>5</w:t>
            </w:r>
          </w:p>
        </w:tc>
        <w:tc>
          <w:tcPr>
            <w:tcW w:w="4840" w:type="dxa"/>
            <w:vAlign w:val="bottom"/>
            <w:vMerge w:val="restart"/>
          </w:tcPr>
          <w:p>
            <w:pPr>
              <w:ind w:left="500"/>
              <w:spacing w:after="0"/>
              <w:rPr>
                <w:sz w:val="20"/>
                <w:szCs w:val="20"/>
                <w:color w:val="auto"/>
              </w:rPr>
            </w:pPr>
            <w:r>
              <w:rPr>
                <w:rFonts w:ascii="Arial" w:cs="Arial" w:eastAsia="Arial" w:hAnsi="Arial"/>
                <w:sz w:val="18"/>
                <w:szCs w:val="18"/>
                <w:color w:val="auto"/>
              </w:rPr>
              <w:t>_______________________________</w:t>
            </w:r>
          </w:p>
        </w:tc>
        <w:tc>
          <w:tcPr>
            <w:tcW w:w="0" w:type="dxa"/>
            <w:vAlign w:val="bottom"/>
          </w:tcPr>
          <w:p>
            <w:pPr>
              <w:spacing w:after="0"/>
              <w:rPr>
                <w:sz w:val="1"/>
                <w:szCs w:val="1"/>
                <w:color w:val="auto"/>
              </w:rPr>
            </w:pPr>
          </w:p>
        </w:tc>
      </w:tr>
      <w:tr>
        <w:trPr>
          <w:trHeight w:val="390"/>
        </w:trPr>
        <w:tc>
          <w:tcPr>
            <w:tcW w:w="220" w:type="dxa"/>
            <w:vAlign w:val="bottom"/>
          </w:tcPr>
          <w:p>
            <w:pPr>
              <w:spacing w:after="0"/>
              <w:rPr>
                <w:sz w:val="24"/>
                <w:szCs w:val="24"/>
                <w:color w:val="auto"/>
              </w:rPr>
            </w:pPr>
          </w:p>
        </w:tc>
        <w:tc>
          <w:tcPr>
            <w:tcW w:w="2840" w:type="dxa"/>
            <w:vAlign w:val="bottom"/>
          </w:tcPr>
          <w:p>
            <w:pPr>
              <w:ind w:left="740"/>
              <w:spacing w:after="0"/>
              <w:rPr>
                <w:sz w:val="20"/>
                <w:szCs w:val="20"/>
                <w:color w:val="auto"/>
              </w:rPr>
            </w:pPr>
            <w:r>
              <w:rPr>
                <w:rFonts w:ascii="Arial" w:cs="Arial" w:eastAsia="Arial" w:hAnsi="Arial"/>
                <w:sz w:val="18"/>
                <w:szCs w:val="18"/>
                <w:color w:val="auto"/>
              </w:rPr>
              <w:t>Class:</w:t>
            </w:r>
            <w:r>
              <w:rPr>
                <w:rFonts w:ascii="Arial" w:cs="Arial" w:eastAsia="Arial" w:hAnsi="Arial"/>
                <w:sz w:val="30"/>
                <w:szCs w:val="30"/>
                <w:color w:val="auto"/>
                <w:vertAlign w:val="superscript"/>
              </w:rPr>
              <w:t>6</w:t>
            </w:r>
          </w:p>
        </w:tc>
        <w:tc>
          <w:tcPr>
            <w:tcW w:w="4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1780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6" w:lineRule="exact"/>
        <w:rPr>
          <w:sz w:val="20"/>
          <w:szCs w:val="20"/>
          <w:color w:val="auto"/>
        </w:rPr>
      </w:pPr>
    </w:p>
    <w:p>
      <w:pPr>
        <w:ind w:firstLine="397"/>
        <w:spacing w:after="0" w:line="194" w:lineRule="auto"/>
        <w:tabs>
          <w:tab w:leader="none" w:pos="865" w:val="left"/>
        </w:tabs>
        <w:numPr>
          <w:ilvl w:val="0"/>
          <w:numId w:val="273"/>
        </w:numPr>
        <w:rPr>
          <w:rFonts w:ascii="Arial" w:cs="Arial" w:eastAsia="Arial" w:hAnsi="Arial"/>
          <w:sz w:val="30"/>
          <w:szCs w:val="30"/>
          <w:color w:val="auto"/>
          <w:vertAlign w:val="superscript"/>
        </w:rPr>
      </w:pPr>
      <w:r>
        <w:rPr>
          <w:rFonts w:ascii="Arial" w:cs="Arial" w:eastAsia="Arial" w:hAnsi="Arial"/>
          <w:sz w:val="18"/>
          <w:szCs w:val="18"/>
          <w:color w:val="auto"/>
        </w:rPr>
        <w:t>Specify Term Loan Borrowing, Dollar Tranche/Multicurrency Tranche Revolving Borrowing, Incremental Borrowing or Refinancing Borrowing, and if an Incremental Borrowing, specify the Series.</w:t>
      </w:r>
    </w:p>
    <w:p>
      <w:pPr>
        <w:spacing w:after="0" w:line="27" w:lineRule="exact"/>
        <w:rPr>
          <w:sz w:val="20"/>
          <w:szCs w:val="20"/>
          <w:color w:val="auto"/>
        </w:rPr>
      </w:pPr>
    </w:p>
    <w:p>
      <w:pPr>
        <w:ind w:firstLine="397"/>
        <w:spacing w:after="0" w:line="194" w:lineRule="auto"/>
        <w:tabs>
          <w:tab w:leader="none" w:pos="853" w:val="left"/>
        </w:tabs>
        <w:numPr>
          <w:ilvl w:val="0"/>
          <w:numId w:val="274"/>
        </w:numPr>
        <w:rPr>
          <w:rFonts w:ascii="Arial" w:cs="Arial" w:eastAsia="Arial" w:hAnsi="Arial"/>
          <w:sz w:val="30"/>
          <w:szCs w:val="30"/>
          <w:color w:val="auto"/>
          <w:vertAlign w:val="superscript"/>
        </w:rPr>
      </w:pPr>
      <w:r>
        <w:rPr>
          <w:rFonts w:ascii="Arial" w:cs="Arial" w:eastAsia="Arial" w:hAnsi="Arial"/>
          <w:sz w:val="18"/>
          <w:szCs w:val="18"/>
          <w:color w:val="auto"/>
        </w:rPr>
        <w:t>Specify Base Rate Borrowing or Eurocurrency Borrowing and, in the case of a Revolving Borrowing in Dollars, whether such Borrowing is to be a Dollar Tranche Revolving Borrowing or a Multicurrency Tranche Revolving Borrowing.</w:t>
      </w:r>
    </w:p>
    <w:p>
      <w:pPr>
        <w:ind w:left="840" w:hanging="443"/>
        <w:spacing w:after="0" w:line="184" w:lineRule="auto"/>
        <w:tabs>
          <w:tab w:leader="none" w:pos="840" w:val="left"/>
        </w:tabs>
        <w:numPr>
          <w:ilvl w:val="0"/>
          <w:numId w:val="275"/>
        </w:numPr>
        <w:rPr>
          <w:rFonts w:ascii="Arial" w:cs="Arial" w:eastAsia="Arial" w:hAnsi="Arial"/>
          <w:sz w:val="29"/>
          <w:szCs w:val="29"/>
          <w:color w:val="auto"/>
          <w:vertAlign w:val="superscript"/>
        </w:rPr>
      </w:pPr>
      <w:r>
        <w:rPr>
          <w:rFonts w:ascii="Arial" w:cs="Arial" w:eastAsia="Arial" w:hAnsi="Arial"/>
          <w:sz w:val="18"/>
          <w:szCs w:val="18"/>
          <w:color w:val="auto"/>
        </w:rPr>
        <w:t>In the case of a Eurocurrency Borrowing, specify the last day of the current Interest Period therefor.</w:t>
      </w:r>
    </w:p>
    <w:p>
      <w:pPr>
        <w:ind w:left="840" w:hanging="443"/>
        <w:spacing w:after="0" w:line="185" w:lineRule="auto"/>
        <w:tabs>
          <w:tab w:leader="none" w:pos="840" w:val="left"/>
        </w:tabs>
        <w:numPr>
          <w:ilvl w:val="0"/>
          <w:numId w:val="276"/>
        </w:numPr>
        <w:rPr>
          <w:rFonts w:ascii="Arial" w:cs="Arial" w:eastAsia="Arial" w:hAnsi="Arial"/>
          <w:sz w:val="29"/>
          <w:szCs w:val="29"/>
          <w:color w:val="auto"/>
          <w:vertAlign w:val="superscript"/>
        </w:rPr>
      </w:pPr>
      <w:r>
        <w:rPr>
          <w:rFonts w:ascii="Arial" w:cs="Arial" w:eastAsia="Arial" w:hAnsi="Arial"/>
          <w:sz w:val="18"/>
          <w:szCs w:val="18"/>
          <w:color w:val="auto"/>
        </w:rPr>
        <w:t>Must be a Business Day.</w:t>
      </w:r>
    </w:p>
    <w:p>
      <w:pPr>
        <w:spacing w:after="0" w:line="27" w:lineRule="exact"/>
        <w:rPr>
          <w:sz w:val="20"/>
          <w:szCs w:val="20"/>
          <w:color w:val="auto"/>
        </w:rPr>
      </w:pPr>
    </w:p>
    <w:p>
      <w:pPr>
        <w:jc w:val="both"/>
        <w:ind w:firstLine="397"/>
        <w:spacing w:after="0" w:line="209" w:lineRule="auto"/>
        <w:tabs>
          <w:tab w:leader="none" w:pos="829" w:val="left"/>
        </w:tabs>
        <w:numPr>
          <w:ilvl w:val="0"/>
          <w:numId w:val="277"/>
        </w:numPr>
        <w:rPr>
          <w:rFonts w:ascii="Arial" w:cs="Arial" w:eastAsia="Arial" w:hAnsi="Arial"/>
          <w:sz w:val="30"/>
          <w:szCs w:val="30"/>
          <w:color w:val="auto"/>
          <w:vertAlign w:val="superscript"/>
        </w:rPr>
      </w:pPr>
      <w:r>
        <w:rPr>
          <w:rFonts w:ascii="Arial" w:cs="Arial" w:eastAsia="Arial" w:hAnsi="Arial"/>
          <w:sz w:val="18"/>
          <w:szCs w:val="18"/>
          <w:color w:val="auto"/>
        </w:rPr>
        <w:t xml:space="preserve">If different options are being elected with respect to different portions of the Borrowing, provide the information required by this item 3 for each resulting Borrowing. Each resulting Borrowing shall be in an aggregate amount that is an integral multiple of, and not less than, the amount specified for a Borrowing of such Type in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tbl>
      <w:tblPr>
        <w:tblLayout w:type="fixed"/>
        <w:tblInd w:w="1600" w:type="dxa"/>
        <w:tblCellMar>
          <w:top w:w="0" w:type="dxa"/>
          <w:left w:w="0" w:type="dxa"/>
          <w:bottom w:w="0" w:type="dxa"/>
          <w:right w:w="0" w:type="dxa"/>
        </w:tblCellMar>
      </w:tblPr>
      <w:tr>
        <w:trPr>
          <w:trHeight w:val="345"/>
        </w:trPr>
        <w:tc>
          <w:tcPr>
            <w:tcW w:w="2020" w:type="dxa"/>
            <w:vAlign w:val="bottom"/>
          </w:tcPr>
          <w:p>
            <w:pPr>
              <w:spacing w:after="0"/>
              <w:rPr>
                <w:sz w:val="20"/>
                <w:szCs w:val="20"/>
                <w:color w:val="auto"/>
              </w:rPr>
            </w:pPr>
            <w:r>
              <w:rPr>
                <w:rFonts w:ascii="Arial" w:cs="Arial" w:eastAsia="Arial" w:hAnsi="Arial"/>
                <w:sz w:val="18"/>
                <w:szCs w:val="18"/>
                <w:color w:val="auto"/>
              </w:rPr>
              <w:t>Principal Amount:</w:t>
            </w:r>
            <w:r>
              <w:rPr>
                <w:rFonts w:ascii="Arial" w:cs="Arial" w:eastAsia="Arial" w:hAnsi="Arial"/>
                <w:sz w:val="30"/>
                <w:szCs w:val="30"/>
                <w:color w:val="auto"/>
                <w:vertAlign w:val="superscript"/>
              </w:rPr>
              <w:t>7</w:t>
            </w:r>
          </w:p>
        </w:tc>
        <w:tc>
          <w:tcPr>
            <w:tcW w:w="3380" w:type="dxa"/>
            <w:vAlign w:val="bottom"/>
          </w:tcPr>
          <w:p>
            <w:pPr>
              <w:jc w:val="right"/>
              <w:spacing w:after="0"/>
              <w:rPr>
                <w:sz w:val="20"/>
                <w:szCs w:val="20"/>
                <w:color w:val="auto"/>
              </w:rPr>
            </w:pPr>
            <w:r>
              <w:rPr>
                <w:rFonts w:ascii="Arial" w:cs="Arial" w:eastAsia="Arial" w:hAnsi="Arial"/>
                <w:sz w:val="18"/>
                <w:szCs w:val="18"/>
                <w:color w:val="auto"/>
              </w:rPr>
              <w:t>_______________________________</w:t>
            </w:r>
          </w:p>
        </w:tc>
      </w:tr>
      <w:tr>
        <w:trPr>
          <w:trHeight w:val="257"/>
        </w:trPr>
        <w:tc>
          <w:tcPr>
            <w:tcW w:w="2020" w:type="dxa"/>
            <w:vAlign w:val="bottom"/>
          </w:tcPr>
          <w:p>
            <w:pPr>
              <w:spacing w:after="0" w:line="256" w:lineRule="exact"/>
              <w:rPr>
                <w:sz w:val="20"/>
                <w:szCs w:val="20"/>
                <w:color w:val="auto"/>
              </w:rPr>
            </w:pPr>
            <w:r>
              <w:rPr>
                <w:rFonts w:ascii="Arial" w:cs="Arial" w:eastAsia="Arial" w:hAnsi="Arial"/>
                <w:sz w:val="18"/>
                <w:szCs w:val="18"/>
                <w:color w:val="auto"/>
              </w:rPr>
              <w:t>Type:</w:t>
            </w:r>
            <w:r>
              <w:rPr>
                <w:rFonts w:ascii="Arial" w:cs="Arial" w:eastAsia="Arial" w:hAnsi="Arial"/>
                <w:sz w:val="29"/>
                <w:szCs w:val="29"/>
                <w:color w:val="auto"/>
                <w:vertAlign w:val="superscript"/>
              </w:rPr>
              <w:t>8</w:t>
            </w:r>
          </w:p>
        </w:tc>
        <w:tc>
          <w:tcPr>
            <w:tcW w:w="3380" w:type="dxa"/>
            <w:vAlign w:val="bottom"/>
          </w:tcPr>
          <w:p>
            <w:pPr>
              <w:jc w:val="right"/>
              <w:spacing w:after="0"/>
              <w:rPr>
                <w:sz w:val="20"/>
                <w:szCs w:val="20"/>
                <w:color w:val="auto"/>
              </w:rPr>
            </w:pPr>
            <w:r>
              <w:rPr>
                <w:rFonts w:ascii="Arial" w:cs="Arial" w:eastAsia="Arial" w:hAnsi="Arial"/>
                <w:sz w:val="18"/>
                <w:szCs w:val="18"/>
                <w:color w:val="auto"/>
              </w:rPr>
              <w:t>_______________________________</w:t>
            </w:r>
          </w:p>
        </w:tc>
      </w:tr>
      <w:tr>
        <w:trPr>
          <w:trHeight w:val="394"/>
        </w:trPr>
        <w:tc>
          <w:tcPr>
            <w:tcW w:w="2020" w:type="dxa"/>
            <w:vAlign w:val="bottom"/>
          </w:tcPr>
          <w:p>
            <w:pPr>
              <w:spacing w:after="0"/>
              <w:rPr>
                <w:sz w:val="20"/>
                <w:szCs w:val="20"/>
                <w:color w:val="auto"/>
              </w:rPr>
            </w:pPr>
            <w:r>
              <w:rPr>
                <w:rFonts w:ascii="Arial" w:cs="Arial" w:eastAsia="Arial" w:hAnsi="Arial"/>
                <w:sz w:val="18"/>
                <w:szCs w:val="18"/>
                <w:color w:val="auto"/>
              </w:rPr>
              <w:t>Interest Period:</w:t>
            </w:r>
            <w:r>
              <w:rPr>
                <w:rFonts w:ascii="Arial" w:cs="Arial" w:eastAsia="Arial" w:hAnsi="Arial"/>
                <w:sz w:val="30"/>
                <w:szCs w:val="30"/>
                <w:color w:val="auto"/>
                <w:vertAlign w:val="superscript"/>
              </w:rPr>
              <w:t>9</w:t>
            </w:r>
          </w:p>
        </w:tc>
        <w:tc>
          <w:tcPr>
            <w:tcW w:w="3380" w:type="dxa"/>
            <w:vAlign w:val="bottom"/>
          </w:tcPr>
          <w:p>
            <w:pPr>
              <w:jc w:val="right"/>
              <w:spacing w:after="0"/>
              <w:rPr>
                <w:sz w:val="20"/>
                <w:szCs w:val="20"/>
                <w:color w:val="auto"/>
              </w:rPr>
            </w:pPr>
            <w:r>
              <w:rPr>
                <w:rFonts w:ascii="Arial" w:cs="Arial" w:eastAsia="Arial" w:hAnsi="Arial"/>
                <w:sz w:val="18"/>
                <w:szCs w:val="18"/>
                <w:color w:val="auto"/>
              </w:rPr>
              <w:t>_______________________________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217805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6" w:lineRule="exact"/>
        <w:rPr>
          <w:sz w:val="20"/>
          <w:szCs w:val="20"/>
          <w:color w:val="auto"/>
        </w:rPr>
      </w:pPr>
    </w:p>
    <w:p>
      <w:pPr>
        <w:ind w:left="-20" w:firstLine="397"/>
        <w:spacing w:after="0" w:line="194" w:lineRule="auto"/>
        <w:tabs>
          <w:tab w:leader="none" w:pos="845" w:val="left"/>
        </w:tabs>
        <w:numPr>
          <w:ilvl w:val="0"/>
          <w:numId w:val="278"/>
        </w:numPr>
        <w:rPr>
          <w:rFonts w:ascii="Arial" w:cs="Arial" w:eastAsia="Arial" w:hAnsi="Arial"/>
          <w:sz w:val="30"/>
          <w:szCs w:val="30"/>
          <w:color w:val="auto"/>
          <w:vertAlign w:val="superscript"/>
        </w:rPr>
      </w:pPr>
      <w:r>
        <w:rPr>
          <w:rFonts w:ascii="Arial" w:cs="Arial" w:eastAsia="Arial" w:hAnsi="Arial"/>
          <w:sz w:val="18"/>
          <w:szCs w:val="18"/>
          <w:color w:val="auto"/>
        </w:rPr>
        <w:t>Specify Term Loan Borrowing, Dollar Tranche/Multicurrency Tranche Revolving Borrowing, Incremental Borrowing or Refinancing Borrowing, and if an Incremental Borrowing, specify the Series.</w:t>
      </w:r>
    </w:p>
    <w:p>
      <w:pPr>
        <w:ind w:left="820" w:hanging="443"/>
        <w:spacing w:after="0" w:line="184" w:lineRule="auto"/>
        <w:tabs>
          <w:tab w:leader="none" w:pos="820" w:val="left"/>
        </w:tabs>
        <w:numPr>
          <w:ilvl w:val="0"/>
          <w:numId w:val="279"/>
        </w:numPr>
        <w:rPr>
          <w:rFonts w:ascii="Arial" w:cs="Arial" w:eastAsia="Arial" w:hAnsi="Arial"/>
          <w:sz w:val="29"/>
          <w:szCs w:val="29"/>
          <w:color w:val="auto"/>
          <w:vertAlign w:val="superscript"/>
        </w:rPr>
      </w:pPr>
      <w:r>
        <w:rPr>
          <w:rFonts w:ascii="Arial" w:cs="Arial" w:eastAsia="Arial" w:hAnsi="Arial"/>
          <w:sz w:val="18"/>
          <w:szCs w:val="18"/>
          <w:color w:val="auto"/>
        </w:rPr>
        <w:t>Indicate the principal amount of the resulting Borrowing and the percentage of the Borrowing in item 1 above.</w:t>
      </w:r>
    </w:p>
    <w:p>
      <w:pPr>
        <w:ind w:left="820" w:hanging="443"/>
        <w:spacing w:after="0" w:line="185" w:lineRule="auto"/>
        <w:tabs>
          <w:tab w:leader="none" w:pos="820" w:val="left"/>
        </w:tabs>
        <w:numPr>
          <w:ilvl w:val="0"/>
          <w:numId w:val="280"/>
        </w:numPr>
        <w:rPr>
          <w:rFonts w:ascii="Arial" w:cs="Arial" w:eastAsia="Arial" w:hAnsi="Arial"/>
          <w:sz w:val="29"/>
          <w:szCs w:val="29"/>
          <w:color w:val="auto"/>
          <w:vertAlign w:val="superscript"/>
        </w:rPr>
      </w:pPr>
      <w:r>
        <w:rPr>
          <w:rFonts w:ascii="Arial" w:cs="Arial" w:eastAsia="Arial" w:hAnsi="Arial"/>
          <w:sz w:val="18"/>
          <w:szCs w:val="18"/>
          <w:color w:val="auto"/>
        </w:rPr>
        <w:t>Specify whether the resulting Borrowing is to be a Base Rate Borrowing or Eurocurrency Borrowing.</w:t>
      </w:r>
    </w:p>
    <w:p>
      <w:pPr>
        <w:spacing w:after="0" w:line="27" w:lineRule="exact"/>
        <w:rPr>
          <w:sz w:val="20"/>
          <w:szCs w:val="20"/>
          <w:color w:val="auto"/>
        </w:rPr>
      </w:pPr>
    </w:p>
    <w:p>
      <w:pPr>
        <w:jc w:val="both"/>
        <w:ind w:left="-20" w:firstLine="397"/>
        <w:spacing w:after="0" w:line="249" w:lineRule="auto"/>
        <w:tabs>
          <w:tab w:leader="none" w:pos="841" w:val="left"/>
        </w:tabs>
        <w:numPr>
          <w:ilvl w:val="0"/>
          <w:numId w:val="281"/>
        </w:numPr>
        <w:rPr>
          <w:rFonts w:ascii="Arial" w:cs="Arial" w:eastAsia="Arial" w:hAnsi="Arial"/>
          <w:sz w:val="26"/>
          <w:szCs w:val="26"/>
          <w:color w:val="auto"/>
          <w:vertAlign w:val="superscript"/>
        </w:rPr>
      </w:pPr>
      <w:r>
        <w:rPr>
          <w:rFonts w:ascii="Arial" w:cs="Arial" w:eastAsia="Arial" w:hAnsi="Arial"/>
          <w:sz w:val="16"/>
          <w:szCs w:val="16"/>
          <w:color w:val="auto"/>
        </w:rPr>
        <w:t>Applicable only if the resulting Borrowing is to be a Eurocurrency Borrowing, shall be subject to the definition of “Interest Period” and can be a period of one week or one, two, three or six months (in each case, subject to availability for the interest rate applicable the relevant currency) or such other period that is twelve months or less requested by the applicable Borrower and consented to by all the Lenders, and cannot extend beyond the Maturity Date. If an Interest Period is not specified, then the applicable Borrower shall be deemed to have selected an Interest Period of one month’s duration.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20" w:right="239" w:bottom="1440" w:gutter="0" w:footer="0" w:header="0"/>
        </w:sectPr>
      </w:pPr>
    </w:p>
    <w:bookmarkStart w:id="270" w:name="page271"/>
    <w:bookmarkEnd w:id="270"/>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[ABM INDUSTRIES INCORPORATED, as the Company]</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[OMNI SERV LIMITED, as a Borrower]</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[[_____], as a Borrower]</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t>EXHIBIT F</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PERFECTION CERTIFICATE</w:t>
      </w:r>
    </w:p>
    <w:p>
      <w:pPr>
        <w:spacing w:after="0" w:line="22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[Provided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color w:val="auto"/>
        </w:rPr>
        <w:t>PERFECTION CERTIFICATE</w:t>
      </w:r>
    </w:p>
    <w:p>
      <w:pPr>
        <w:spacing w:after="0" w:line="23"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September 1, 2017</w:t>
      </w:r>
    </w:p>
    <w:p>
      <w:pPr>
        <w:spacing w:after="0" w:line="24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Reference is made to the Credit Agreement, dated as of September 1, 2017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Designated Borrowers party thereto, the Lenders party thereto, Bank of America, N.A., as Administrative Agent, JPMorgan Chase Bank, N.A., as Syndication Agent and the other Persons party thereto. Capitalized terms used but not defined herein have the meanings assigned in the Credit Agreement or the Collateral Agreement, as applicable.</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As of the date hereof, the undersigned, an Authorized Officer of the Company, hereby certifies with respect to each Loan Party, solely in his/her official capacity and not in any individual capacity, to the Administrative Agent and each other Secured Party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Names</w:t>
      </w:r>
      <w:r>
        <w:rPr>
          <w:rFonts w:ascii="Arial" w:cs="Arial" w:eastAsia="Arial" w:hAnsi="Arial"/>
          <w:sz w:val="18"/>
          <w:szCs w:val="18"/>
          <w:color w:val="auto"/>
        </w:rPr>
        <w:t>.</w:t>
      </w:r>
    </w:p>
    <w:p>
      <w:pPr>
        <w:spacing w:after="0" w:line="225" w:lineRule="exact"/>
        <w:rPr>
          <w:sz w:val="20"/>
          <w:szCs w:val="20"/>
          <w:color w:val="auto"/>
        </w:rPr>
      </w:pPr>
    </w:p>
    <w:p>
      <w:pPr>
        <w:jc w:val="both"/>
        <w:ind w:firstLine="1302"/>
        <w:spacing w:after="0" w:line="302" w:lineRule="auto"/>
        <w:tabs>
          <w:tab w:leader="none" w:pos="186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1(a)</w:t>
      </w:r>
      <w:r>
        <w:rPr>
          <w:rFonts w:ascii="Arial" w:cs="Arial" w:eastAsia="Arial" w:hAnsi="Arial"/>
          <w:sz w:val="16"/>
          <w:szCs w:val="16"/>
          <w:color w:val="auto"/>
        </w:rPr>
        <w:t xml:space="preserve"> is (i) the exact legal name of each Loan Party, as such name appears in its certificate of organization or like document, and its company number (if applicable), (ii) each other legal name such Loan Party has had in the past five years, together with the date of the relevant name change and (iii) to our knowledge, each other name (including trade names or similar appellations) used by each Loan Party or any of its divisions or other business units in connection with the conduct of its business or the ownership of its properties at any time during the past five years.</w:t>
      </w:r>
    </w:p>
    <w:p>
      <w:pPr>
        <w:spacing w:after="0" w:line="154" w:lineRule="exact"/>
        <w:rPr>
          <w:rFonts w:ascii="Arial" w:cs="Arial" w:eastAsia="Arial" w:hAnsi="Arial"/>
          <w:sz w:val="16"/>
          <w:szCs w:val="16"/>
          <w:color w:val="auto"/>
        </w:rPr>
      </w:pPr>
    </w:p>
    <w:p>
      <w:pPr>
        <w:jc w:val="both"/>
        <w:ind w:firstLine="1302"/>
        <w:spacing w:after="0" w:line="273" w:lineRule="auto"/>
        <w:tabs>
          <w:tab w:leader="none" w:pos="205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1(b)</w:t>
      </w:r>
      <w:r>
        <w:rPr>
          <w:rFonts w:ascii="Arial" w:cs="Arial" w:eastAsia="Arial" w:hAnsi="Arial"/>
          <w:sz w:val="17"/>
          <w:szCs w:val="17"/>
          <w:color w:val="auto"/>
        </w:rPr>
        <w:t xml:space="preserve">, no Loan Party has changed its identity or corporate structure or entered into a similar reorganization within the past five years. Changes in identity or corporate structure would include mergers, consolidations and acquisitions of all or substantially all of the assets of (or all or substantially all the assets constituting a business unit, division, product line or line of business of) a Person or other acquisitions of material assets outside the ordinary course of business, as well as any change in the form, nature or jurisdiction of organization. With respect to any such change that has occurred within the past five years, </w:t>
      </w:r>
      <w:r>
        <w:rPr>
          <w:rFonts w:ascii="Arial" w:cs="Arial" w:eastAsia="Arial" w:hAnsi="Arial"/>
          <w:sz w:val="17"/>
          <w:szCs w:val="17"/>
          <w:u w:val="single" w:color="auto"/>
          <w:color w:val="auto"/>
        </w:rPr>
        <w:t>Schedules 1(b) and 2</w:t>
      </w:r>
      <w:r>
        <w:rPr>
          <w:rFonts w:ascii="Arial" w:cs="Arial" w:eastAsia="Arial" w:hAnsi="Arial"/>
          <w:sz w:val="17"/>
          <w:szCs w:val="17"/>
          <w:color w:val="auto"/>
        </w:rPr>
        <w:t xml:space="preserve"> set forth the information required by Sections 1(a) and 2 of this Perfection Certificate as to each acquiree or constituent party to such merger, consolidation or acquisition.</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Jurisdictions and Locations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is (i) the jurisdiction of organization and the form of organization of each Loan Party, (ii) the organizational identification number, if any, assigned by such jurisdiction, (iii) the address (including, the county) of the chief executive office of such Loan Party or the registered office of such Loan Party, if applicable, and (iv) the federal taxpayer identification number of each Loan Party, if applicable.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Ownership and other Equity Interests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is a true and correct list, for each Loan Party, of all the issued and outstanding stock, partnership interests, limited liability company membership interests or other Equity Interests owned, beneficially or of record, by such Loan Party (other than Excluded Equity Interests), specifying the issuer and certificate number (if any) of, and the number, class and percentage of ownership represented by, such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3" w:name="page274"/>
    <w:bookmarkEnd w:id="273"/>
    <w:p>
      <w:pPr>
        <w:jc w:val="both"/>
        <w:ind w:firstLine="129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Debt Instruments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is a true and correct list, for each Loan Party, of all promissory notes and other indebtedness of a Loan Party or Subsidiary thereof evidenced in writing (other than checks to be deposited in the ordinary course of business) owned by such Loan Party having, in each case, a value in excess of $5,000,000 (or its equivalent) in aggregate principal amount, and to the extent applicable, specifying the creditor and debtor thereunder and the outstanding principal amount thereof.</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Mortgage Filings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is a list of all real property owned by each Loan Party having a fair market value of $10,000,000 or more (or its equivalent), together with (a) the exact name of the Loan Party that owns such real property as such name appears in its certificate of incorporation or other organizational document, (b) if different from the name identified pursuant to clause (a), the exact name of the current mortgagor/grantor of such real property reflected in the records of the filing office or registry for such real property identified pursuant to the following clause and (c) the filing office or registry in which a Mortgage with respect to such real property must be filed or recorded in order for the Administrative Agent to obtain a perfected security interest therein.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302"/>
        <w:spacing w:after="0" w:line="264" w:lineRule="auto"/>
        <w:tabs>
          <w:tab w:leader="none" w:pos="204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6(a)</w:t>
      </w:r>
      <w:r>
        <w:rPr>
          <w:rFonts w:ascii="Arial" w:cs="Arial" w:eastAsia="Arial" w:hAnsi="Arial"/>
          <w:sz w:val="18"/>
          <w:szCs w:val="18"/>
          <w:color w:val="auto"/>
        </w:rPr>
        <w:t xml:space="preserve"> is a true and correct list, with respect to each Loan Party, of all Patents owned by such Loan Party applied for or registered with the United States Patent and Trademark Office, including the name of the registered owner or applicant, title, and registration, publication or application number, as applicable.</w:t>
      </w:r>
    </w:p>
    <w:p>
      <w:pPr>
        <w:spacing w:after="0" w:line="181" w:lineRule="exact"/>
        <w:rPr>
          <w:rFonts w:ascii="Arial" w:cs="Arial" w:eastAsia="Arial" w:hAnsi="Arial"/>
          <w:sz w:val="18"/>
          <w:szCs w:val="18"/>
          <w:color w:val="auto"/>
        </w:rPr>
      </w:pPr>
    </w:p>
    <w:p>
      <w:pPr>
        <w:jc w:val="both"/>
        <w:ind w:firstLine="1302"/>
        <w:spacing w:after="0" w:line="264" w:lineRule="auto"/>
        <w:tabs>
          <w:tab w:leader="none" w:pos="191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6(b)</w:t>
      </w:r>
      <w:r>
        <w:rPr>
          <w:rFonts w:ascii="Arial" w:cs="Arial" w:eastAsia="Arial" w:hAnsi="Arial"/>
          <w:sz w:val="18"/>
          <w:szCs w:val="18"/>
          <w:color w:val="auto"/>
        </w:rPr>
        <w:t xml:space="preserve"> is a true and correct list, with respect to each Loan Party, of all Trademarks owned by such Loan Party applied for or registered with the United States Patent and Trademark Office, including the name of the registered owner or applicant and the registration or application number, as applicable.</w:t>
      </w:r>
    </w:p>
    <w:p>
      <w:pPr>
        <w:spacing w:after="0" w:line="181" w:lineRule="exact"/>
        <w:rPr>
          <w:rFonts w:ascii="Arial" w:cs="Arial" w:eastAsia="Arial" w:hAnsi="Arial"/>
          <w:sz w:val="18"/>
          <w:szCs w:val="18"/>
          <w:color w:val="auto"/>
        </w:rPr>
      </w:pPr>
    </w:p>
    <w:p>
      <w:pPr>
        <w:ind w:firstLine="1302"/>
        <w:spacing w:after="0" w:line="277" w:lineRule="auto"/>
        <w:tabs>
          <w:tab w:leader="none" w:pos="195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6(c)</w:t>
      </w:r>
      <w:r>
        <w:rPr>
          <w:rFonts w:ascii="Arial" w:cs="Arial" w:eastAsia="Arial" w:hAnsi="Arial"/>
          <w:sz w:val="18"/>
          <w:szCs w:val="18"/>
          <w:color w:val="auto"/>
        </w:rPr>
        <w:t xml:space="preserve"> is a true and correct list, with respect to each Loan Party, of all United States Copyright registrations owned by such Loan Party, including the name of the registered owner, title, and the registration or serial number.</w:t>
      </w:r>
    </w:p>
    <w:p>
      <w:pPr>
        <w:spacing w:after="0" w:line="170" w:lineRule="exact"/>
        <w:rPr>
          <w:rFonts w:ascii="Arial" w:cs="Arial" w:eastAsia="Arial" w:hAnsi="Arial"/>
          <w:sz w:val="18"/>
          <w:szCs w:val="18"/>
          <w:color w:val="auto"/>
        </w:rPr>
      </w:pPr>
    </w:p>
    <w:p>
      <w:pPr>
        <w:jc w:val="both"/>
        <w:ind w:firstLine="1302"/>
        <w:spacing w:after="0" w:line="259" w:lineRule="auto"/>
        <w:tabs>
          <w:tab w:leader="none" w:pos="198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6(d)</w:t>
      </w:r>
      <w:r>
        <w:rPr>
          <w:rFonts w:ascii="Arial" w:cs="Arial" w:eastAsia="Arial" w:hAnsi="Arial"/>
          <w:sz w:val="18"/>
          <w:szCs w:val="18"/>
          <w:color w:val="auto"/>
        </w:rPr>
        <w:t xml:space="preserve"> is a true and correct list, with respect to each Loan Party, of all exclusive Copyright Licenses under which such Loan Party is a licensee of a Copyright registration thereto, including the name and address of the licensor under such exclusive Copyright License, the Copyright title and registration or serial number, and, if the registered owner of such Copyright is a Person other than the applicable licensor, the name of the registered owner of such Copyright.</w:t>
      </w:r>
    </w:p>
    <w:p>
      <w:pPr>
        <w:spacing w:after="0" w:line="187"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Set forth on Schedule 7 is a true and correct list of commercial tort claims in excess of $5,000,000 (or its equivalent) held by any Loan Party, including a brief description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4" w:name="page275"/>
    <w:bookmarkEnd w:id="274"/>
    <w:p>
      <w:pPr>
        <w:ind w:left="120"/>
        <w:spacing w:after="0"/>
        <w:rPr>
          <w:sz w:val="20"/>
          <w:szCs w:val="20"/>
          <w:color w:val="auto"/>
        </w:rPr>
      </w:pPr>
      <w:r>
        <w:rPr>
          <w:rFonts w:ascii="Arial" w:cs="Arial" w:eastAsia="Arial" w:hAnsi="Arial"/>
          <w:sz w:val="16"/>
          <w:szCs w:val="16"/>
          <w:color w:val="auto"/>
        </w:rPr>
        <w:t>IN WITNESS WHEREOF, the undersigned has duly executed this certificate as of the date first written above.</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588645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3540" w:type="dxa"/>
            <w:vAlign w:val="bottom"/>
            <w:gridSpan w:val="5"/>
          </w:tcPr>
          <w:p>
            <w:pPr>
              <w:jc w:val="center"/>
              <w:ind w:right="2180"/>
              <w:spacing w:after="0"/>
              <w:rPr>
                <w:sz w:val="20"/>
                <w:szCs w:val="20"/>
                <w:color w:val="auto"/>
              </w:rPr>
            </w:pPr>
            <w:r>
              <w:rPr>
                <w:rFonts w:ascii="Arial" w:cs="Arial" w:eastAsia="Arial" w:hAnsi="Arial"/>
                <w:sz w:val="18"/>
                <w:szCs w:val="18"/>
                <w:color w:val="auto"/>
                <w:w w:val="89"/>
              </w:rPr>
              <w:t>Schedule 1(a)</w:t>
            </w:r>
          </w:p>
        </w:tc>
        <w:tc>
          <w:tcPr>
            <w:tcW w:w="284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3"/>
          </w:tcPr>
          <w:p>
            <w:pPr>
              <w:jc w:val="center"/>
              <w:ind w:right="2620"/>
              <w:spacing w:after="0"/>
              <w:rPr>
                <w:sz w:val="20"/>
                <w:szCs w:val="20"/>
                <w:color w:val="auto"/>
              </w:rPr>
            </w:pPr>
            <w:r>
              <w:rPr>
                <w:rFonts w:ascii="Arial" w:cs="Arial" w:eastAsia="Arial" w:hAnsi="Arial"/>
                <w:sz w:val="18"/>
                <w:szCs w:val="18"/>
                <w:color w:val="auto"/>
                <w:w w:val="87"/>
              </w:rPr>
              <w:t>Names</w:t>
            </w:r>
          </w:p>
        </w:tc>
        <w:tc>
          <w:tcPr>
            <w:tcW w:w="2840" w:type="dxa"/>
            <w:vAlign w:val="bottom"/>
          </w:tcPr>
          <w:p>
            <w:pPr>
              <w:spacing w:after="0"/>
              <w:rPr>
                <w:sz w:val="24"/>
                <w:szCs w:val="24"/>
                <w:color w:val="auto"/>
              </w:rPr>
            </w:pPr>
          </w:p>
        </w:tc>
      </w:tr>
      <w:tr>
        <w:trPr>
          <w:trHeight w:val="434"/>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Other Names</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(including trade names</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Other Legal Names during</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3"/>
              </w:rPr>
              <w:t>or similar</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7"/>
              </w:rPr>
              <w:t>the Past 5 Years</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appellations) during</w:t>
            </w:r>
          </w:p>
        </w:tc>
      </w:tr>
      <w:tr>
        <w:trPr>
          <w:trHeight w:val="234"/>
        </w:trPr>
        <w:tc>
          <w:tcPr>
            <w:tcW w:w="5040" w:type="dxa"/>
            <w:vAlign w:val="bottom"/>
          </w:tcPr>
          <w:p>
            <w:pPr>
              <w:ind w:left="1300"/>
              <w:spacing w:after="0"/>
              <w:rPr>
                <w:sz w:val="20"/>
                <w:szCs w:val="20"/>
                <w:color w:val="auto"/>
              </w:rPr>
            </w:pPr>
            <w:r>
              <w:rPr>
                <w:rFonts w:ascii="Arial" w:cs="Arial" w:eastAsia="Arial" w:hAnsi="Arial"/>
                <w:sz w:val="18"/>
                <w:szCs w:val="18"/>
                <w:b w:val="1"/>
                <w:bCs w:val="1"/>
                <w:color w:val="auto"/>
              </w:rPr>
              <w:t>Loan Party’s Exact Legal Name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(including date of change)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7"/>
              </w:rPr>
              <w:t>the Past 5 Years</w:t>
            </w:r>
          </w:p>
        </w:tc>
      </w:tr>
      <w:tr>
        <w:trPr>
          <w:trHeight w:val="210"/>
        </w:trPr>
        <w:tc>
          <w:tcPr>
            <w:tcW w:w="5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675"/>
        </w:trPr>
        <w:tc>
          <w:tcPr>
            <w:tcW w:w="5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76" w:name="page277"/>
    <w:bookmarkEnd w:id="2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0" w:type="dxa"/>
            <w:vAlign w:val="bottom"/>
            <w:gridSpan w:val="3"/>
          </w:tcPr>
          <w:p>
            <w:pPr>
              <w:jc w:val="center"/>
              <w:ind w:right="3990"/>
              <w:spacing w:after="0"/>
              <w:rPr>
                <w:sz w:val="20"/>
                <w:szCs w:val="20"/>
                <w:color w:val="auto"/>
              </w:rPr>
            </w:pPr>
            <w:r>
              <w:rPr>
                <w:rFonts w:ascii="Arial" w:cs="Arial" w:eastAsia="Arial" w:hAnsi="Arial"/>
                <w:sz w:val="18"/>
                <w:szCs w:val="18"/>
                <w:color w:val="auto"/>
                <w:w w:val="89"/>
              </w:rPr>
              <w:t>Schedule 1(b)</w:t>
            </w:r>
          </w:p>
        </w:tc>
        <w:tc>
          <w:tcPr>
            <w:tcW w:w="860" w:type="dxa"/>
            <w:vAlign w:val="bottom"/>
          </w:tcPr>
          <w:p>
            <w:pPr>
              <w:spacing w:after="0"/>
              <w:rPr>
                <w:sz w:val="20"/>
                <w:szCs w:val="20"/>
                <w:color w:val="auto"/>
              </w:rPr>
            </w:pPr>
          </w:p>
        </w:tc>
      </w:tr>
      <w:tr>
        <w:trPr>
          <w:trHeight w:val="392"/>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0" w:type="dxa"/>
            <w:vAlign w:val="bottom"/>
            <w:gridSpan w:val="5"/>
          </w:tcPr>
          <w:p>
            <w:pPr>
              <w:jc w:val="center"/>
              <w:ind w:right="2990"/>
              <w:spacing w:after="0"/>
              <w:rPr>
                <w:sz w:val="20"/>
                <w:szCs w:val="20"/>
                <w:color w:val="auto"/>
              </w:rPr>
            </w:pPr>
            <w:r>
              <w:rPr>
                <w:rFonts w:ascii="Arial" w:cs="Arial" w:eastAsia="Arial" w:hAnsi="Arial"/>
                <w:sz w:val="18"/>
                <w:szCs w:val="18"/>
                <w:color w:val="auto"/>
                <w:w w:val="89"/>
              </w:rPr>
              <w:t>Changes in Corporate Structure</w:t>
            </w:r>
          </w:p>
        </w:tc>
        <w:tc>
          <w:tcPr>
            <w:tcW w:w="86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4"/>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Changes in Corporate Structure during</w:t>
            </w:r>
          </w:p>
        </w:tc>
        <w:tc>
          <w:tcPr>
            <w:tcW w:w="86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308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Loan Party</w:t>
            </w: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right="1530"/>
              <w:spacing w:after="0"/>
              <w:rPr>
                <w:sz w:val="20"/>
                <w:szCs w:val="20"/>
                <w:color w:val="auto"/>
              </w:rPr>
            </w:pPr>
            <w:r>
              <w:rPr>
                <w:rFonts w:ascii="Arial" w:cs="Arial" w:eastAsia="Arial" w:hAnsi="Arial"/>
                <w:sz w:val="18"/>
                <w:szCs w:val="18"/>
                <w:b w:val="1"/>
                <w:bCs w:val="1"/>
                <w:color w:val="auto"/>
                <w:w w:val="89"/>
              </w:rPr>
              <w:t>the Past 5 Years</w:t>
            </w:r>
          </w:p>
        </w:tc>
        <w:tc>
          <w:tcPr>
            <w:tcW w:w="860" w:type="dxa"/>
            <w:vAlign w:val="bottom"/>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675"/>
        </w:trPr>
        <w:tc>
          <w:tcPr>
            <w:tcW w:w="8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color w:val="auto"/>
                <w:w w:val="88"/>
              </w:rPr>
              <w:t>Schedule 2</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gridSpan w:val="6"/>
          </w:tcPr>
          <w:p>
            <w:pPr>
              <w:jc w:val="center"/>
              <w:ind w:right="980"/>
              <w:spacing w:after="0"/>
              <w:rPr>
                <w:sz w:val="20"/>
                <w:szCs w:val="20"/>
                <w:color w:val="auto"/>
              </w:rPr>
            </w:pPr>
            <w:r>
              <w:rPr>
                <w:rFonts w:ascii="Arial" w:cs="Arial" w:eastAsia="Arial" w:hAnsi="Arial"/>
                <w:sz w:val="18"/>
                <w:szCs w:val="18"/>
                <w:color w:val="auto"/>
                <w:w w:val="91"/>
              </w:rPr>
              <w:t>Jurisdictions and Locations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Federal</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Organizational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Taxpayer</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Jurisdiction</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Identification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8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2"/>
              </w:rPr>
              <w:t>Form of</w:t>
            </w: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Number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Chief Executive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5"/>
              </w:rPr>
              <w:t>Number (if</w:t>
            </w:r>
          </w:p>
        </w:tc>
      </w:tr>
      <w:tr>
        <w:trPr>
          <w:trHeight w:val="241"/>
        </w:trPr>
        <w:tc>
          <w:tcPr>
            <w:tcW w:w="2640" w:type="dxa"/>
            <w:vAlign w:val="bottom"/>
            <w:gridSpan w:val="2"/>
          </w:tcPr>
          <w:p>
            <w:pPr>
              <w:ind w:left="820"/>
              <w:spacing w:after="0"/>
              <w:rPr>
                <w:sz w:val="20"/>
                <w:szCs w:val="20"/>
                <w:color w:val="auto"/>
              </w:rPr>
            </w:pPr>
            <w:r>
              <w:rPr>
                <w:rFonts w:ascii="Arial" w:cs="Arial" w:eastAsia="Arial" w:hAnsi="Arial"/>
                <w:sz w:val="18"/>
                <w:szCs w:val="18"/>
                <w:b w:val="1"/>
                <w:bCs w:val="1"/>
                <w:color w:val="auto"/>
              </w:rPr>
              <w:t>Loan Party</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Organization</w:t>
            </w:r>
          </w:p>
        </w:tc>
        <w:tc>
          <w:tcPr>
            <w:tcW w:w="18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2"/>
              </w:rPr>
              <w:t>Organization</w:t>
            </w: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(if any)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Office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any)</w:t>
            </w:r>
          </w:p>
        </w:tc>
      </w:tr>
      <w:tr>
        <w:trPr>
          <w:trHeight w:val="216"/>
        </w:trPr>
        <w:tc>
          <w:tcPr>
            <w:tcW w:w="2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675"/>
        </w:trPr>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8"/>
              </w:rPr>
              <w:t>Schedule 3</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Stock Ownership and Other Equity Interests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Jurisdiction</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Excluded</w:t>
            </w:r>
          </w:p>
        </w:tc>
        <w:tc>
          <w:tcPr>
            <w:tcW w:w="38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Loan Party</w:t>
            </w:r>
          </w:p>
        </w:tc>
        <w:tc>
          <w:tcPr>
            <w:tcW w:w="14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Subsidiary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Owner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Certificate</w:t>
            </w:r>
          </w:p>
        </w:tc>
      </w:tr>
      <w:tr>
        <w:trPr>
          <w:trHeight w:val="241"/>
        </w:trPr>
        <w:tc>
          <w:tcPr>
            <w:tcW w:w="2640" w:type="dxa"/>
            <w:vAlign w:val="bottom"/>
            <w:gridSpan w:val="2"/>
          </w:tcPr>
          <w:p>
            <w:pPr>
              <w:ind w:left="680"/>
              <w:spacing w:after="0"/>
              <w:rPr>
                <w:sz w:val="20"/>
                <w:szCs w:val="20"/>
                <w:color w:val="auto"/>
              </w:rPr>
            </w:pPr>
            <w:r>
              <w:rPr>
                <w:rFonts w:ascii="Arial" w:cs="Arial" w:eastAsia="Arial" w:hAnsi="Arial"/>
                <w:sz w:val="18"/>
                <w:szCs w:val="18"/>
                <w:b w:val="1"/>
                <w:bCs w:val="1"/>
                <w:color w:val="auto"/>
              </w:rPr>
              <w:t>Name of Entity</w:t>
            </w:r>
          </w:p>
        </w:tc>
        <w:tc>
          <w:tcPr>
            <w:tcW w:w="136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Organization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(Yes/No)</w:t>
            </w:r>
          </w:p>
        </w:tc>
        <w:tc>
          <w:tcPr>
            <w:tcW w:w="14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(Yes/No)</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Entity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Information</w:t>
            </w:r>
          </w:p>
        </w:tc>
      </w:tr>
      <w:tr>
        <w:trPr>
          <w:trHeight w:val="216"/>
        </w:trPr>
        <w:tc>
          <w:tcPr>
            <w:tcW w:w="2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675"/>
        </w:trPr>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Schedule 4</w:t>
            </w:r>
          </w:p>
        </w:tc>
        <w:tc>
          <w:tcPr>
            <w:tcW w:w="5020" w:type="dxa"/>
            <w:vAlign w:val="bottom"/>
          </w:tcPr>
          <w:p>
            <w:pPr>
              <w:spacing w:after="0"/>
              <w:rPr>
                <w:sz w:val="20"/>
                <w:szCs w:val="20"/>
                <w:color w:val="auto"/>
              </w:rPr>
            </w:pPr>
          </w:p>
        </w:tc>
      </w:tr>
      <w:tr>
        <w:trPr>
          <w:trHeight w:val="392"/>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Debt Instruments</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Principal amount</w:t>
            </w:r>
          </w:p>
        </w:tc>
        <w:tc>
          <w:tcPr>
            <w:tcW w:w="5020" w:type="dxa"/>
            <w:vAlign w:val="bottom"/>
          </w:tcPr>
          <w:p>
            <w:pPr>
              <w:spacing w:after="0"/>
              <w:rPr>
                <w:sz w:val="24"/>
                <w:szCs w:val="24"/>
                <w:color w:val="auto"/>
              </w:rPr>
            </w:pPr>
          </w:p>
        </w:tc>
      </w:tr>
      <w:tr>
        <w:trPr>
          <w:trHeight w:val="241"/>
        </w:trPr>
        <w:tc>
          <w:tcPr>
            <w:tcW w:w="1960" w:type="dxa"/>
            <w:vAlign w:val="bottom"/>
            <w:gridSpan w:val="2"/>
          </w:tcPr>
          <w:p>
            <w:pPr>
              <w:ind w:left="600"/>
              <w:spacing w:after="0"/>
              <w:rPr>
                <w:sz w:val="20"/>
                <w:szCs w:val="20"/>
                <w:color w:val="auto"/>
              </w:rPr>
            </w:pPr>
            <w:r>
              <w:rPr>
                <w:rFonts w:ascii="Arial" w:cs="Arial" w:eastAsia="Arial" w:hAnsi="Arial"/>
                <w:sz w:val="18"/>
                <w:szCs w:val="18"/>
                <w:b w:val="1"/>
                <w:bCs w:val="1"/>
                <w:color w:val="auto"/>
              </w:rPr>
              <w:t>Debtor</w:t>
            </w:r>
          </w:p>
        </w:tc>
        <w:tc>
          <w:tcPr>
            <w:tcW w:w="1940" w:type="dxa"/>
            <w:vAlign w:val="bottom"/>
            <w:gridSpan w:val="2"/>
          </w:tcPr>
          <w:p>
            <w:pPr>
              <w:ind w:left="520"/>
              <w:spacing w:after="0"/>
              <w:rPr>
                <w:sz w:val="20"/>
                <w:szCs w:val="20"/>
                <w:color w:val="auto"/>
              </w:rPr>
            </w:pPr>
            <w:r>
              <w:rPr>
                <w:rFonts w:ascii="Arial" w:cs="Arial" w:eastAsia="Arial" w:hAnsi="Arial"/>
                <w:sz w:val="18"/>
                <w:szCs w:val="18"/>
                <w:b w:val="1"/>
                <w:bCs w:val="1"/>
                <w:color w:val="auto"/>
              </w:rPr>
              <w:t>Creditor</w:t>
            </w:r>
          </w:p>
        </w:tc>
        <w:tc>
          <w:tcPr>
            <w:tcW w:w="25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4"/>
              </w:rPr>
              <w:t>USD</w:t>
            </w:r>
          </w:p>
        </w:tc>
        <w:tc>
          <w:tcPr>
            <w:tcW w:w="5020" w:type="dxa"/>
            <w:vAlign w:val="bottom"/>
          </w:tcPr>
          <w:p>
            <w:pPr>
              <w:ind w:left="2240"/>
              <w:spacing w:after="0"/>
              <w:rPr>
                <w:sz w:val="20"/>
                <w:szCs w:val="20"/>
                <w:color w:val="auto"/>
              </w:rPr>
            </w:pPr>
            <w:r>
              <w:rPr>
                <w:rFonts w:ascii="Arial" w:cs="Arial" w:eastAsia="Arial" w:hAnsi="Arial"/>
                <w:sz w:val="18"/>
                <w:szCs w:val="18"/>
                <w:b w:val="1"/>
                <w:bCs w:val="1"/>
                <w:color w:val="auto"/>
              </w:rPr>
              <w:t>Details</w:t>
            </w:r>
          </w:p>
        </w:tc>
      </w:tr>
      <w:tr>
        <w:trPr>
          <w:trHeight w:val="216"/>
        </w:trPr>
        <w:tc>
          <w:tcPr>
            <w:tcW w:w="1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r>
      <w:tr>
        <w:trPr>
          <w:trHeight w:val="675"/>
        </w:trPr>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Schedule 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Real Property</w:t>
            </w:r>
          </w:p>
        </w:tc>
        <w:tc>
          <w:tcPr>
            <w:tcW w:w="146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18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3"/>
              </w:rPr>
              <w:t>Tax Assessed</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Exact Name of</w:t>
            </w:r>
          </w:p>
        </w:tc>
        <w:tc>
          <w:tcPr>
            <w:tcW w:w="194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Name and</w:t>
            </w:r>
          </w:p>
        </w:tc>
        <w:tc>
          <w:tcPr>
            <w:tcW w:w="18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Value and</w:t>
            </w:r>
          </w:p>
        </w:tc>
        <w:tc>
          <w:tcPr>
            <w:tcW w:w="15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Exact Name of</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Mortgagor /</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Filing Office /</w:t>
            </w:r>
          </w:p>
        </w:tc>
      </w:tr>
      <w:tr>
        <w:trPr>
          <w:trHeight w:val="241"/>
        </w:trPr>
        <w:tc>
          <w:tcPr>
            <w:tcW w:w="2640" w:type="dxa"/>
            <w:vAlign w:val="bottom"/>
            <w:gridSpan w:val="2"/>
          </w:tcPr>
          <w:p>
            <w:pPr>
              <w:ind w:left="820"/>
              <w:spacing w:after="0"/>
              <w:rPr>
                <w:sz w:val="20"/>
                <w:szCs w:val="20"/>
                <w:color w:val="auto"/>
              </w:rPr>
            </w:pPr>
            <w:r>
              <w:rPr>
                <w:rFonts w:ascii="Arial" w:cs="Arial" w:eastAsia="Arial" w:hAnsi="Arial"/>
                <w:sz w:val="18"/>
                <w:szCs w:val="18"/>
                <w:b w:val="1"/>
                <w:bCs w:val="1"/>
                <w:color w:val="auto"/>
              </w:rPr>
              <w:t>Loan Party</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Address</w:t>
            </w:r>
          </w:p>
        </w:tc>
        <w:tc>
          <w:tcPr>
            <w:tcW w:w="18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Book Value</w:t>
            </w:r>
          </w:p>
        </w:tc>
        <w:tc>
          <w:tcPr>
            <w:tcW w:w="10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Owner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Grantor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Registry</w:t>
            </w:r>
          </w:p>
        </w:tc>
      </w:tr>
      <w:tr>
        <w:trPr>
          <w:trHeight w:val="216"/>
        </w:trPr>
        <w:tc>
          <w:tcPr>
            <w:tcW w:w="2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675"/>
        </w:trPr>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81" w:name="page282"/>
    <w:bookmarkEnd w:id="281"/>
    <w:p>
      <w:pPr>
        <w:jc w:val="center"/>
        <w:ind w:right="-20"/>
        <w:spacing w:after="0"/>
        <w:rPr>
          <w:sz w:val="20"/>
          <w:szCs w:val="20"/>
          <w:color w:val="auto"/>
        </w:rPr>
      </w:pPr>
      <w:r>
        <w:rPr>
          <w:rFonts w:ascii="Arial" w:cs="Arial" w:eastAsia="Arial" w:hAnsi="Arial"/>
          <w:sz w:val="18"/>
          <w:szCs w:val="18"/>
          <w:color w:val="auto"/>
        </w:rPr>
        <w:t>Schedule 6(a)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Patents and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82" w:name="page283"/>
    <w:bookmarkEnd w:id="282"/>
    <w:p>
      <w:pPr>
        <w:jc w:val="center"/>
        <w:ind w:right="-20"/>
        <w:spacing w:after="0"/>
        <w:rPr>
          <w:sz w:val="20"/>
          <w:szCs w:val="20"/>
          <w:color w:val="auto"/>
        </w:rPr>
      </w:pPr>
      <w:r>
        <w:rPr>
          <w:rFonts w:ascii="Arial" w:cs="Arial" w:eastAsia="Arial" w:hAnsi="Arial"/>
          <w:sz w:val="18"/>
          <w:szCs w:val="18"/>
          <w:color w:val="auto"/>
        </w:rPr>
        <w:t>Schedule 6(b)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83" w:name="page284"/>
    <w:bookmarkEnd w:id="283"/>
    <w:p>
      <w:pPr>
        <w:jc w:val="center"/>
        <w:ind w:right="-20"/>
        <w:spacing w:after="0"/>
        <w:rPr>
          <w:sz w:val="20"/>
          <w:szCs w:val="20"/>
          <w:color w:val="auto"/>
        </w:rPr>
      </w:pPr>
      <w:r>
        <w:rPr>
          <w:rFonts w:ascii="Arial" w:cs="Arial" w:eastAsia="Arial" w:hAnsi="Arial"/>
          <w:sz w:val="18"/>
          <w:szCs w:val="18"/>
          <w:color w:val="auto"/>
        </w:rPr>
        <w:t>Schedule 6(c)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Copyrights and Copyright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84" w:name="page285"/>
    <w:bookmarkEnd w:id="284"/>
    <w:p>
      <w:pPr>
        <w:jc w:val="center"/>
        <w:ind w:right="-20"/>
        <w:spacing w:after="0"/>
        <w:rPr>
          <w:sz w:val="20"/>
          <w:szCs w:val="20"/>
          <w:color w:val="auto"/>
        </w:rPr>
      </w:pPr>
      <w:r>
        <w:rPr>
          <w:rFonts w:ascii="Arial" w:cs="Arial" w:eastAsia="Arial" w:hAnsi="Arial"/>
          <w:sz w:val="18"/>
          <w:szCs w:val="18"/>
          <w:color w:val="auto"/>
        </w:rPr>
        <w:t>Schedule 6(d)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Exclusive Copyright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u w:val="single" w:color="auto"/>
          <w:color w:val="auto"/>
        </w:rPr>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Commercial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t>EXHIBIT 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SUPPLEMENTAL PERFECTION CERTIFICATE</w:t>
      </w:r>
    </w:p>
    <w:p>
      <w:pPr>
        <w:spacing w:after="0" w:line="22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subsidiaries of the Company from time to time party thereto as Designated Borrowers (each a “</w:t>
      </w:r>
      <w:r>
        <w:rPr>
          <w:rFonts w:ascii="Arial" w:cs="Arial" w:eastAsia="Arial" w:hAnsi="Arial"/>
          <w:sz w:val="17"/>
          <w:szCs w:val="17"/>
          <w:u w:val="single" w:color="auto"/>
          <w:color w:val="auto"/>
        </w:rPr>
        <w:t>Designated Borrower</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party thereto, Bank of America, N.A., as Administrative Agent and certain other Persons from time to time party thereto. Capitalized terms used but not defined herein have the meanings assigned in the Credit Agreement or the Collateral Agreement, as applicable.</w:t>
      </w:r>
    </w:p>
    <w:p>
      <w:pPr>
        <w:spacing w:after="0" w:line="17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This Supplemental Perfection Certificate is dated as of [ ], 20[ _] and is delivered pursuant to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of the Credit Agreement (this Supplemental Perfection Certificate and each other Supplemental Perfection Certificate heretofore delivered pursuant to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of the Credit Agreement being referred to as a “</w:t>
      </w:r>
      <w:r>
        <w:rPr>
          <w:rFonts w:ascii="Arial" w:cs="Arial" w:eastAsia="Arial" w:hAnsi="Arial"/>
          <w:sz w:val="18"/>
          <w:szCs w:val="18"/>
          <w:u w:val="single" w:color="auto"/>
          <w:color w:val="auto"/>
        </w:rPr>
        <w:t>Supplemental Perfection Certificate</w:t>
      </w:r>
      <w:r>
        <w:rPr>
          <w:rFonts w:ascii="Arial" w:cs="Arial" w:eastAsia="Arial" w:hAnsi="Arial"/>
          <w:sz w:val="18"/>
          <w:szCs w:val="18"/>
          <w:color w:val="auto"/>
        </w:rPr>
        <w:t>”), and supplements the information set forth in the Perfection Certificate delivered on the Closing Date (as supplemented from time to time by the Supplemental Perfection Certificates delivered after the Closing Date and prior to the date hereof, the “</w:t>
      </w:r>
      <w:r>
        <w:rPr>
          <w:rFonts w:ascii="Arial" w:cs="Arial" w:eastAsia="Arial" w:hAnsi="Arial"/>
          <w:sz w:val="18"/>
          <w:szCs w:val="18"/>
          <w:u w:val="single" w:color="auto"/>
          <w:color w:val="auto"/>
        </w:rPr>
        <w:t>Prior Perfection Certificate</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As of the date hereof, the undersigned, a Financial Officer of the Company, hereby certifies with respect to each Loan Party, solely in his/her official capacity and not in any individual capacity, to the Administrative Agent and each other Secured Party as follows:</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Names</w:t>
      </w:r>
      <w:r>
        <w:rPr>
          <w:rFonts w:ascii="Arial" w:cs="Arial" w:eastAsia="Arial" w:hAnsi="Arial"/>
          <w:sz w:val="18"/>
          <w:szCs w:val="18"/>
          <w:color w:val="auto"/>
        </w:rPr>
        <w:t>.</w:t>
      </w:r>
    </w:p>
    <w:p>
      <w:pPr>
        <w:spacing w:after="0" w:line="225" w:lineRule="exact"/>
        <w:rPr>
          <w:sz w:val="20"/>
          <w:szCs w:val="20"/>
          <w:color w:val="auto"/>
        </w:rPr>
      </w:pPr>
    </w:p>
    <w:p>
      <w:pPr>
        <w:jc w:val="both"/>
        <w:ind w:firstLine="1313"/>
        <w:spacing w:after="0" w:line="297" w:lineRule="auto"/>
        <w:tabs>
          <w:tab w:leader="none" w:pos="185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1(a)</w:t>
      </w:r>
      <w:r>
        <w:rPr>
          <w:rFonts w:ascii="Arial" w:cs="Arial" w:eastAsia="Arial" w:hAnsi="Arial"/>
          <w:sz w:val="16"/>
          <w:szCs w:val="16"/>
          <w:color w:val="auto"/>
        </w:rPr>
        <w:t xml:space="preserve"> hereto are (i) the exact legal name of each Loan Party that has become a Loan Party since the date of delivery of the most recent Prior Perfection Certificate (each, a “New Loan Party”), as such name appears in its certificate of organization or like document, and its company number (if applicable), (ii) each other legal name such New Loan Party has had in the past five years, together with the date of the relevant name change and (iii) to our knowledge, each other name (including trade names or similar appellations) used by each New Loan Party or any of its divisions or other business units in connection with the conduct of its business or the ownership of its properties at any time during the past five years.</w:t>
      </w:r>
    </w:p>
    <w:p>
      <w:pPr>
        <w:spacing w:after="0" w:line="158" w:lineRule="exact"/>
        <w:rPr>
          <w:rFonts w:ascii="Arial" w:cs="Arial" w:eastAsia="Arial" w:hAnsi="Arial"/>
          <w:sz w:val="16"/>
          <w:szCs w:val="16"/>
          <w:color w:val="auto"/>
        </w:rPr>
      </w:pPr>
    </w:p>
    <w:p>
      <w:pPr>
        <w:jc w:val="both"/>
        <w:ind w:firstLine="1313"/>
        <w:spacing w:after="0" w:line="293" w:lineRule="auto"/>
        <w:tabs>
          <w:tab w:leader="none" w:pos="193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1(b)</w:t>
      </w:r>
      <w:r>
        <w:rPr>
          <w:rFonts w:ascii="Arial" w:cs="Arial" w:eastAsia="Arial" w:hAnsi="Arial"/>
          <w:sz w:val="16"/>
          <w:szCs w:val="16"/>
          <w:color w:val="auto"/>
        </w:rPr>
        <w:t xml:space="preserve"> hereto, no New Loan Party has changed its identity or corporate structure or entered into a similar reorganization within the past five years. Changes in identity or corporate structure would include mergers, consolidations and acquisitions of all or substantially all of the assets of (or all or substantially all the assets constituting a business unit, division, product line or line of business of) a Person or other acquisitions of material assets outside the ordinary course of business, as well as any change in the form, nature or jurisdiction of organization. With respect to any such change that has occurred within the past five years, </w:t>
      </w:r>
      <w:r>
        <w:rPr>
          <w:rFonts w:ascii="Arial" w:cs="Arial" w:eastAsia="Arial" w:hAnsi="Arial"/>
          <w:sz w:val="16"/>
          <w:szCs w:val="16"/>
          <w:u w:val="single" w:color="auto"/>
          <w:color w:val="auto"/>
        </w:rPr>
        <w:t>Schedules 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hereto set forth the information required by </w:t>
      </w:r>
      <w:r>
        <w:rPr>
          <w:rFonts w:ascii="Arial" w:cs="Arial" w:eastAsia="Arial" w:hAnsi="Arial"/>
          <w:sz w:val="16"/>
          <w:szCs w:val="16"/>
          <w:u w:val="single" w:color="auto"/>
          <w:color w:val="auto"/>
        </w:rPr>
        <w:t>Sections 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of this Supplemental Perfection Certificate as to each acquiree or constituent party to such merger, consolidation or acquisition.</w:t>
      </w:r>
    </w:p>
    <w:p>
      <w:pPr>
        <w:spacing w:after="0" w:line="16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Jurisdictions and Locations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are (i) the jurisdiction of organization and the form of organization of each New Loan Party, (ii) the organizational identification number, if any, assigned by such jurisdiction, (iii) the address (including, the county) of the chief executive office of such New Loan Party or the registered office of such New Loan Party, if applicable, and (iv) the federal taxpayer identification number of each New Loan Party,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7" w:name="page288"/>
    <w:bookmarkEnd w:id="287"/>
    <w:p>
      <w:pPr>
        <w:jc w:val="both"/>
        <w:ind w:firstLine="1297"/>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Ownership and other Equity Interests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is a true and correct list, (x) for each New Loan Party, of all the issued and outstanding stock, partnership interests, limited liability company membership interests or other Equity Interests owned, beneficially or of record, by such New Loan Party (other than Excluded Equity Interests), specifying the issuer and certificate number (if any) of, and the number, class and percentage of ownership represented by, such Equity Interests and (y) for all other Loan Parties, any changes thereto since the date of delivery of the most recent Prior Perfection Certificate.</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Debt Instruments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 is a true and correct list, (x) for each New Loan Party, of all promissory notes and other indebtedness of a Loan Party or Subsidiary thereof evidenced in writing (other than checks to be deposited in the ordinary course of business) owned by such New Loan Party having, in each case, a value in excess of $5,000,000 (or its equivalent) in aggregate principal amount, and to the extent applicable, specifying the creditor and debtor thereunder and the outstanding principal amount thereof and (y) for all other Loan Parties, any such promissory notes or other indebtedness acquired by such Loan Party since the date of delivery of the most recent Prior Perfection Certificate.</w:t>
      </w:r>
    </w:p>
    <w:p>
      <w:pPr>
        <w:spacing w:after="0" w:line="17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Mortgage Filings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hereto is a list of (x) all real property owned by each New Loan Party having a fair market value of $10,000,000 or more (or its equivalent), together with (a) the exact name of the New Loan Party that owns such real property as such name appears in its certificate of incorporation or other organizational document, (b) if different from the name identified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the exact name of the current mortgagor/grantor of such real property reflected in the records of the filing office or registry for such real property identified pursuant to the following clause and (c) the filing office or registry in which a Mortgage with respect to such real property must be filed or recorded in order for the Administrative Agent to obtain a perfected security interest therein and (y) for all other Loan Parties, any real property having a fair market value of $10,000,000 or more, together with the information required by clauses (a) through (c) above, acquired since the date of delivery of the most recent Prior Perfection Certificate.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111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6(a)</w:t>
      </w:r>
      <w:r>
        <w:rPr>
          <w:rFonts w:ascii="Arial" w:cs="Arial" w:eastAsia="Arial" w:hAnsi="Arial"/>
          <w:sz w:val="18"/>
          <w:szCs w:val="18"/>
          <w:color w:val="auto"/>
        </w:rPr>
        <w:t xml:space="preserve"> hereto is a true and correct list, (x) with respect to each New Loan Party, of all Patents owned by such New Loan Party applied for or registered with the United States Patent and Trademark Office, including the name of the registered owner or applicant, title, and registration, publication or application number, as applicable and (y) for all other Loan Parties, any such Patents acquired or developed since the date of delivery of the most recent Prior Perfection Certificate.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8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6(b)</w:t>
      </w:r>
      <w:r>
        <w:rPr>
          <w:rFonts w:ascii="Arial" w:cs="Arial" w:eastAsia="Arial" w:hAnsi="Arial"/>
          <w:sz w:val="18"/>
          <w:szCs w:val="18"/>
          <w:color w:val="auto"/>
        </w:rPr>
        <w:t xml:space="preserve"> hereto is a true and correct list, (x) with respect to each New Loan Party, of all Trademarks owned by such New Loan Party applied for or registered with the United States Patent and Trademark Office, including the name of the registered owner or applicant and the registration or application number, as applicable and (y) for all other Loan Parties, any such Trademarks acquired or developed since the date of delivery of the most recent Prior Perfection Certificate.</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07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6(c)</w:t>
      </w:r>
      <w:r>
        <w:rPr>
          <w:rFonts w:ascii="Arial" w:cs="Arial" w:eastAsia="Arial" w:hAnsi="Arial"/>
          <w:sz w:val="17"/>
          <w:szCs w:val="17"/>
          <w:color w:val="auto"/>
        </w:rPr>
        <w:t xml:space="preserve"> hereto is a true and correct list, (x) with respect to each New Loan Party, of all United States Copyright registrations owned by such New Loan Party, including the name of the registered owner, title, and the registration or serial number and (y) for all other Loan Parties, any such Copyright registrations acquired or developed since the date of delivery of the most recent Prior Perfection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8" w:name="page289"/>
    <w:bookmarkEnd w:id="288"/>
    <w:p>
      <w:pPr>
        <w:jc w:val="both"/>
        <w:ind w:firstLine="656"/>
        <w:spacing w:after="0" w:line="257" w:lineRule="auto"/>
        <w:tabs>
          <w:tab w:leader="none" w:pos="105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6(d)</w:t>
      </w:r>
      <w:r>
        <w:rPr>
          <w:rFonts w:ascii="Arial" w:cs="Arial" w:eastAsia="Arial" w:hAnsi="Arial"/>
          <w:sz w:val="18"/>
          <w:szCs w:val="18"/>
          <w:color w:val="auto"/>
        </w:rPr>
        <w:t xml:space="preserve"> hereto is a true and correct list, (x) with respect to each New Loan Party, of all exclusive Copyright Licenses under which such New Loan Party is a licensee of a Copyright registration thereto, including the name and address of the licensor under such exclusive Copyright License, the Copyright title and registration or serial number, and, if the registered owner of such Copyright is a Person other than the applicable licensor, the name of the registered owner of such Copyright and (y) for all other Loan Parties, any such Copyright Licenses acquired or developed since the date of delivery of the most recent Prior Perfection Certificate.</w:t>
      </w:r>
    </w:p>
    <w:p>
      <w:pPr>
        <w:spacing w:after="0" w:line="188" w:lineRule="exact"/>
        <w:rPr>
          <w:rFonts w:ascii="Arial" w:cs="Arial" w:eastAsia="Arial" w:hAnsi="Arial"/>
          <w:sz w:val="18"/>
          <w:szCs w:val="18"/>
          <w:color w:val="auto"/>
        </w:rPr>
      </w:pPr>
    </w:p>
    <w:p>
      <w:pPr>
        <w:jc w:val="both"/>
        <w:ind w:firstLine="656"/>
        <w:spacing w:after="0" w:line="279" w:lineRule="auto"/>
        <w:tabs>
          <w:tab w:leader="none" w:pos="109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6(e)</w:t>
      </w:r>
      <w:r>
        <w:rPr>
          <w:rFonts w:ascii="Arial" w:cs="Arial" w:eastAsia="Arial" w:hAnsi="Arial"/>
          <w:sz w:val="17"/>
          <w:szCs w:val="17"/>
          <w:color w:val="auto"/>
        </w:rPr>
        <w:t xml:space="preserve"> hereto, in proper form for filing with the United States Patent and Trademark Office or the United States Copyright Office are all the filings necessary to preserve, protect and perfect the security interests in the Trademarks, Patents, Copyrights and Copyright Licenses set forth in </w:t>
      </w:r>
      <w:r>
        <w:rPr>
          <w:rFonts w:ascii="Arial" w:cs="Arial" w:eastAsia="Arial" w:hAnsi="Arial"/>
          <w:sz w:val="17"/>
          <w:szCs w:val="17"/>
          <w:u w:val="single" w:color="auto"/>
          <w:color w:val="auto"/>
        </w:rPr>
        <w:t>Schedule 6(a)</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6(b)</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6(c)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6(d)</w:t>
      </w:r>
      <w:r>
        <w:rPr>
          <w:rFonts w:ascii="Arial" w:cs="Arial" w:eastAsia="Arial" w:hAnsi="Arial"/>
          <w:sz w:val="17"/>
          <w:szCs w:val="17"/>
          <w:color w:val="auto"/>
        </w:rPr>
        <w:t>, respectively, to this Supplemental Perfection Certificate, including duly signed copies of the Patent Security Agreements, Trademark Security Agreements and the Copyright Security Agreements.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hereto is a true and correct list of commercial tort claims in excess of $5,000,000 (or its equivalent) (x) held by any New Loan Party, including a brief description thereof and (y) for all other Loan Parties, any such commercial tort claims acquired since the date of delivery of the most recent Prior Perfection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9" w:name="page290"/>
    <w:bookmarkEnd w:id="289"/>
    <w:p>
      <w:pPr>
        <w:ind w:left="100"/>
        <w:spacing w:after="0"/>
        <w:rPr>
          <w:sz w:val="20"/>
          <w:szCs w:val="20"/>
          <w:color w:val="auto"/>
        </w:rPr>
      </w:pPr>
      <w:r>
        <w:rPr>
          <w:rFonts w:ascii="Arial" w:cs="Arial" w:eastAsia="Arial" w:hAnsi="Arial"/>
          <w:sz w:val="16"/>
          <w:szCs w:val="16"/>
          <w:color w:val="auto"/>
        </w:rPr>
        <w:t>IN WITNESS WHEREOF, the undersigned has duly executed this certificate as of the date first written above.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color w:val="auto"/>
        </w:rPr>
        <w:t>EXHIBIT 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SOLVENCY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2017</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4.01(h)</w:t>
      </w:r>
      <w:r>
        <w:rPr>
          <w:rFonts w:ascii="Arial" w:cs="Arial" w:eastAsia="Arial" w:hAnsi="Arial"/>
          <w:sz w:val="18"/>
          <w:szCs w:val="18"/>
          <w:color w:val="auto"/>
        </w:rPr>
        <w:t xml:space="preserve"> of Credit Agreement, dated as of the date hereof (as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Omni Serv Limited, a company incorporated and registered in England as a private company limited by shares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the undersigned [chief financial officer] [other officer with similar duties including the corporate vice president of finance] of the Company hereby certifies as of the date hereof, solely on behalf of the Company and not in his/her individual capacity and without assuming any personal liability whatsoever, that:</w:t>
      </w:r>
    </w:p>
    <w:p>
      <w:pPr>
        <w:spacing w:after="0" w:line="189" w:lineRule="exact"/>
        <w:rPr>
          <w:sz w:val="20"/>
          <w:szCs w:val="20"/>
          <w:color w:val="auto"/>
        </w:rPr>
      </w:pPr>
    </w:p>
    <w:p>
      <w:pPr>
        <w:jc w:val="both"/>
        <w:ind w:left="1300" w:firstLine="5"/>
        <w:spacing w:after="0" w:line="302" w:lineRule="auto"/>
        <w:tabs>
          <w:tab w:leader="none" w:pos="198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 am familiar with the finances, properties, businesses and assets of the Company and its Subsidiaries. I have reviewed the Loan Documents and such other documentation and information and have made such investigation and inquiries as I have deemed necessary and prudent therefor. I have also reviewed the consolidated financial statements of the Company and its Subsidiaries, including projected financial statements and forecasts relating to income statements and cash flow statements of the Company and its Subsidiaries.</w:t>
      </w:r>
    </w:p>
    <w:p>
      <w:pPr>
        <w:spacing w:after="0" w:line="154" w:lineRule="exact"/>
        <w:rPr>
          <w:rFonts w:ascii="Arial" w:cs="Arial" w:eastAsia="Arial" w:hAnsi="Arial"/>
          <w:sz w:val="16"/>
          <w:szCs w:val="16"/>
          <w:color w:val="auto"/>
        </w:rPr>
      </w:pPr>
    </w:p>
    <w:p>
      <w:pPr>
        <w:ind w:left="1940" w:hanging="635"/>
        <w:spacing w:after="0"/>
        <w:tabs>
          <w:tab w:leader="none" w:pos="19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On the Closing Date, after giving effect to the Transactions, the Company and its Restricted Subsidiaries (on a consolidated basis)</w:t>
      </w:r>
    </w:p>
    <w:p>
      <w:pPr>
        <w:spacing w:after="0" w:line="46" w:lineRule="exact"/>
        <w:rPr>
          <w:rFonts w:ascii="Arial" w:cs="Arial" w:eastAsia="Arial" w:hAnsi="Arial"/>
          <w:sz w:val="16"/>
          <w:szCs w:val="16"/>
          <w:color w:val="auto"/>
        </w:rPr>
      </w:pPr>
    </w:p>
    <w:p>
      <w:pPr>
        <w:jc w:val="both"/>
        <w:ind w:left="1300"/>
        <w:spacing w:after="0" w:line="281" w:lineRule="auto"/>
        <w:rPr>
          <w:rFonts w:ascii="Arial" w:cs="Arial" w:eastAsia="Arial" w:hAnsi="Arial"/>
          <w:sz w:val="16"/>
          <w:szCs w:val="16"/>
          <w:color w:val="auto"/>
        </w:rPr>
      </w:pPr>
      <w:r>
        <w:rPr>
          <w:rFonts w:ascii="Arial" w:cs="Arial" w:eastAsia="Arial" w:hAnsi="Arial"/>
          <w:sz w:val="16"/>
          <w:szCs w:val="16"/>
          <w:color w:val="auto"/>
        </w:rPr>
        <w:t>(a) have property with fair value greater than the total amount of their debts and liabilities, contingent (it being understood that the amount of contingent liabilities at any time shall be computed as the amount that, in light of all the facts and circumstances existing at such time, represents the amount that can reasonably be expected to become an actual or matured liability), subordinated or otherwise, (b) have assets with present fair salable value not less than the amount that will be required to pay their liability on their debts as they become absolute and matured, (c) will be able to pay their debts and liabilities, subordinated, contingent or otherwise, as they become absolute and matured and</w:t>
      </w:r>
    </w:p>
    <w:p>
      <w:pPr>
        <w:spacing w:after="0" w:line="3" w:lineRule="exact"/>
        <w:rPr>
          <w:rFonts w:ascii="Arial" w:cs="Arial" w:eastAsia="Arial" w:hAnsi="Arial"/>
          <w:sz w:val="16"/>
          <w:szCs w:val="16"/>
          <w:color w:val="auto"/>
        </w:rPr>
      </w:pPr>
    </w:p>
    <w:p>
      <w:pPr>
        <w:ind w:left="1300" w:right="20"/>
        <w:spacing w:after="0" w:line="261" w:lineRule="auto"/>
        <w:rPr>
          <w:rFonts w:ascii="Arial" w:cs="Arial" w:eastAsia="Arial" w:hAnsi="Arial"/>
          <w:sz w:val="16"/>
          <w:szCs w:val="16"/>
          <w:color w:val="auto"/>
        </w:rPr>
      </w:pPr>
      <w:r>
        <w:rPr>
          <w:rFonts w:ascii="Arial" w:cs="Arial" w:eastAsia="Arial" w:hAnsi="Arial"/>
          <w:sz w:val="18"/>
          <w:szCs w:val="18"/>
          <w:color w:val="auto"/>
        </w:rPr>
        <w:t>(d) are not engaged in business or a transaction, and are not about to engage in business or a transaction, for which their property would constitute an unreasonably small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defined in this certificate shall have the meanings set forth in the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1" w:name="page292"/>
    <w:bookmarkEnd w:id="291"/>
    <w:p>
      <w:pPr>
        <w:spacing w:after="0"/>
        <w:rPr>
          <w:sz w:val="20"/>
          <w:szCs w:val="20"/>
          <w:color w:val="auto"/>
        </w:rPr>
      </w:pPr>
      <w:r>
        <w:rPr>
          <w:rFonts w:ascii="Arial" w:cs="Arial" w:eastAsia="Arial" w:hAnsi="Arial"/>
          <w:sz w:val="17"/>
          <w:szCs w:val="17"/>
          <w:color w:val="auto"/>
        </w:rPr>
        <w:t>IN WITNESS WHEREOF, I have executed this Solvency Certificate as of the date first written above.</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ABM INDUSTRIES INCORPORATED</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292" w:name="page293"/>
    <w:bookmarkEnd w:id="292"/>
    <w:p>
      <w:pPr>
        <w:ind w:left="10440"/>
        <w:spacing w:after="0"/>
        <w:rPr>
          <w:sz w:val="20"/>
          <w:szCs w:val="20"/>
          <w:color w:val="auto"/>
        </w:rPr>
      </w:pPr>
      <w:r>
        <w:rPr>
          <w:rFonts w:ascii="Arial" w:cs="Arial" w:eastAsia="Arial" w:hAnsi="Arial"/>
          <w:sz w:val="18"/>
          <w:szCs w:val="18"/>
          <w:color w:val="auto"/>
        </w:rPr>
        <w:t>EXHIBIT I-1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 FOR FOREIGN LENDERS THAT 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PARTNERSHIPS FOR U.S. FEDERAL INCOME TAX PURPOSES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of the Credit Agreement, the undersigned hereby certifies that (a) it is the sole record and beneficial owner of the Loan(s) (as well as any promissory note(s) evidencing such Loan(s)) in respect of which it is providing this certificate, (b) it is not a bank within the meaning of Section 881(c)(3)(A) of the Code, (c) it is not a ten percent shareholder of any Borrower within the meaning of Section 881(c)(3) (B) of the Code and (d) it is not a controlled foreign corporation related to any Borrower as described in Section 881(c)(3)(C) of the Code.</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the Administrative Agent and the Borrowers with a certificate of its non-U.S. Person status on IRS Form W-8BEN or Form W-8BEN-E. By executing this certificate, the undersigned agrees that (a) if the information provided on this certificate changes, the undersigned shall promptly so inform the Borrowers and the Administrative Agent and (b) the undersigned shall have at all times furnished the Borrowers and the Administrative Agent with a properly completed and currently effective certificate in either the calendar year in which any payment is to be made to the undersigned, or in either of the two calendar years preceding any such payment.</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t>EXHIBIT I-2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 FOR FOREIGN PARTICIPANTS THAT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ARE PARTNERSHIPS FOR U.S. FEDERAL INCOME TAX PURPOSES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8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of the Credit Agreement, the undersigned hereby certifies that (a) it is the sole record owner of the participation in respect of which it is providing this certificate, (b) its direct or indirect partners/members are the sole beneficial owners of such participation, (c) with respect to such participation,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any Borrower within the meaning of Section 881(c)(3)(B) of the Code and (e) none of its direct or indirect partners/members is a controlled foreign corporation related to any Borrower as described in Section 881(c)(3)(C) of the Code.</w:t>
      </w:r>
    </w:p>
    <w:p>
      <w:pPr>
        <w:spacing w:after="0" w:line="16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(a) an IRS Form W-8BEN or Form W-8BEN-E or (b) an IRS Form W-8IMY accompanied by an IRS Form W-8BEN or Form W-8BEN-E from each of such partner’s/member’s beneficial owners that is claiming the portfolio interest exemption. By executing this certificate, the undersigned agrees that (a) if the information provided on this certificate changes, the undersigned shall promptly so inform such Lender and (b) the undersigned shall have at all times furnished such Lender with a properly completed and currently effective certificate in either the calendar year in which any payment is to be made to the undersigned, or in either of the two calendar years preceding any such payment.</w:t>
      </w:r>
    </w:p>
    <w:p>
      <w:pPr>
        <w:spacing w:after="0" w:line="1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t>EXHIBIT I-3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 FOR FOREIGN PARTICIPANTS THAT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ARE NOT PARTNERSHIPS FOR U.S. FEDERAL INCOME TAX PURPOSES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of the Credit Agreement, the undersigned hereby certifies that (a) it is the sole record and beneficial owner of the participation in respect of which it is providing this certificate, (b) it is not a bank within the meaning of Section 881(c)(3)(A) of the Code, (c) it is not a ten percent shareholder of any Borrower within the meaning of Section 881(c)(3)(B) of the Code and (d) it is not a controlled foreign corporation related to any Borrower as described in Section 881(c)(3)(C) of the Code.</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Form W-8BEN-E.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any payment is to be made to the undersigned, or in either of the two calendar years preceding any such payment.</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t>EXHIBIT I-4</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U.S. TAX COMPLIANCE CERTIFICATE FOR FOREIGN LENDERS THAT 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PARTNERSHIPS FOR U.S. FEDERAL INCOME TAX PURPOSES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8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of the Credit Agreement, the undersigned hereby certifies that (a) it is the sole record owner of the Loan(s) (as well as any promissory note(s) evidencing such Loan(s)) in respect of which it is providing this certificate, (b) its direct or indirect partners/members are the sole beneficial owners of such Loan(s) (as well as any promissory note(s) evidencing such Loan(s)), (c)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any Borrower within the meaning of Section 881(c)(3)(B) of the Code and (e) none of its direct or indirect partners/members is a controlled foreign corporation related to any Borrower as described in Section 881(c)(3)(C) of the Code.</w:t>
      </w:r>
    </w:p>
    <w:p>
      <w:pPr>
        <w:spacing w:after="0" w:line="19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The undersigned has furnished the Administrative Agent and the Borrowers with IRS Form W-8IMY accompanied by one of the following forms from each of its partners/members that is claiming the portfolio interest exemption: (a) an IRS Form W-8BEN or an IRS Form W-8BEN-E or (b) an IRS Form W-8IMY accompanied by an IRS Form W-8BEN or an IRS Form W-8BEN-E from each of such partner’s/member’s beneficial owners that is claiming the portfolio interest exemption. By executing this certificate, the undersigned agrees that (a) if the information provided on this certificate changes, the undersigned shall promptly so inform the Borrowers and the Administrative Agent and (b) the undersigned shall have at all times furnished the Borrowers and the Administrative Agent with a properly completed and currently effective certificate in either the calendar year in which any payment is to be made to the undersigned, or in either of the two calendar years preceding any such payment.</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color w:val="auto"/>
        </w:rPr>
        <w:t>EXHIBIT J-1</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 CLOSING CERTIFICATE (DESIGNATED BORROWER)</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t>OMNI SERV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Number: 4900961</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 under the Credit Agreement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Credit agreement dated [ ] August 2017 between, among others, ABM Industries Incorporated (“ABM”), as Borrower, certain subsidiaries of ABM from time to time party thereto, Bank of America, N.A., as Administrative Agent, and the other Lenders from time to time party thereto (as amended from time to time,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-313055</wp:posOffset>
            </wp:positionV>
            <wp:extent cx="1143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certificate is delivered in connection with the execution and delivery by the Company of the Credit Agreement pursuant to Section 4.01(c) of the Credit Agreement. Terms defined in the Credit Agreement shall have the same meaning in this certificate unless otherwise defined.</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undersigned, being a director of the Company and being duly authorised by the Company to give this certificate, HEREBY CERTIFIES (without incurring personal liability) the following matters:</w:t>
      </w:r>
    </w:p>
    <w:p>
      <w:pPr>
        <w:spacing w:after="0" w:line="166" w:lineRule="exact"/>
        <w:rPr>
          <w:sz w:val="20"/>
          <w:szCs w:val="20"/>
          <w:color w:val="auto"/>
        </w:rPr>
      </w:pPr>
    </w:p>
    <w:p>
      <w:pPr>
        <w:ind w:left="660" w:hanging="652"/>
        <w:spacing w:after="0"/>
        <w:tabs>
          <w:tab w:leader="none" w:pos="6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CONSTITUTIONAL DOCUMENTS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Attached to this certificate marked “A” are:</w:t>
      </w:r>
    </w:p>
    <w:p>
      <w:pPr>
        <w:spacing w:after="0" w:line="225" w:lineRule="exact"/>
        <w:rPr>
          <w:sz w:val="20"/>
          <w:szCs w:val="20"/>
          <w:color w:val="auto"/>
        </w:rPr>
      </w:pPr>
    </w:p>
    <w:p>
      <w:pPr>
        <w:ind w:left="1300" w:hanging="644"/>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certificate of incorporation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memorandum of association of the Company;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articles of association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Constitutional Documents</w:t>
      </w:r>
      <w:r>
        <w:rPr>
          <w:rFonts w:ascii="Arial" w:cs="Arial" w:eastAsia="Arial" w:hAnsi="Arial"/>
          <w:sz w:val="18"/>
          <w:szCs w:val="18"/>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Constitutional Documents are true, complete, correct and in full force and effect.</w:t>
      </w:r>
    </w:p>
    <w:p>
      <w:pPr>
        <w:spacing w:after="0" w:line="221"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RESOLUTIONS</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Attached to this certificate marked “B” are copies of the written resolutions of the sole shareholder of the Company (the “</w:t>
      </w:r>
      <w:r>
        <w:rPr>
          <w:rFonts w:ascii="Arial" w:cs="Arial" w:eastAsia="Arial" w:hAnsi="Arial"/>
          <w:sz w:val="18"/>
          <w:szCs w:val="18"/>
          <w:b w:val="1"/>
          <w:bCs w:val="1"/>
          <w:color w:val="auto"/>
        </w:rPr>
        <w:t>Shareholder</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 such resolutions approving and authorising the entry by the Company into the Credit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Shareholder Resolutions are true, complete, correct and in full force and effect.</w:t>
      </w:r>
    </w:p>
    <w:p>
      <w:pPr>
        <w:spacing w:after="0" w:line="221"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BOARD RESOLUTIONS</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Attached to this certificate marked “C” are true, correct and complete copies of the minutes of a meeting of the board of directors of the Company (the “</w:t>
      </w:r>
      <w:r>
        <w:rPr>
          <w:rFonts w:ascii="Arial" w:cs="Arial" w:eastAsia="Arial" w:hAnsi="Arial"/>
          <w:sz w:val="18"/>
          <w:szCs w:val="18"/>
          <w:b w:val="1"/>
          <w:bCs w:val="1"/>
          <w:color w:val="auto"/>
        </w:rPr>
        <w:t>Board Resolutions</w:t>
      </w:r>
      <w:r>
        <w:rPr>
          <w:rFonts w:ascii="Arial" w:cs="Arial" w:eastAsia="Arial" w:hAnsi="Arial"/>
          <w:sz w:val="18"/>
          <w:szCs w:val="18"/>
          <w:color w:val="auto"/>
        </w:rPr>
        <w:t>”), such minutes recording resolutions passed at such meeting.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Board Resolutions are true, complete, correct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8" w:name="page299"/>
    <w:bookmarkEnd w:id="298"/>
    <w:p>
      <w:pPr>
        <w:ind w:left="660" w:hanging="652"/>
        <w:spacing w:after="0"/>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AUTHORISED SIGNATORIES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Attached to this certificate marked “D” are the specimen signatures of each person authorised by the Board Resolutions referred to in paragraph 3 above in relation to the Finance Documents and Related Documents (each as defined in such Board Resolutions).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232" w:lineRule="exact"/>
        <w:rPr>
          <w:rFonts w:ascii="Arial" w:cs="Arial" w:eastAsia="Arial" w:hAnsi="Arial"/>
          <w:sz w:val="18"/>
          <w:szCs w:val="18"/>
          <w:b w:val="1"/>
          <w:bCs w:val="1"/>
          <w:color w:val="auto"/>
        </w:rPr>
      </w:pPr>
    </w:p>
    <w:p>
      <w:pPr>
        <w:ind w:left="660"/>
        <w:spacing w:after="0" w:line="210" w:lineRule="auto"/>
        <w:rPr>
          <w:rFonts w:ascii="Arial" w:cs="Arial" w:eastAsia="Arial" w:hAnsi="Arial"/>
          <w:sz w:val="18"/>
          <w:szCs w:val="18"/>
          <w:b w:val="1"/>
          <w:bCs w:val="1"/>
          <w:color w:val="auto"/>
        </w:rPr>
      </w:pPr>
      <w:r>
        <w:rPr>
          <w:rFonts w:ascii="Arial" w:cs="Arial" w:eastAsia="Arial" w:hAnsi="Arial"/>
          <w:sz w:val="18"/>
          <w:szCs w:val="18"/>
          <w:color w:val="auto"/>
        </w:rPr>
        <w:t>Borrowing the total revolving commitments under the Credit Agreement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would not cause any borrowing, guarantee, security or similar limit binding on the Company to be exceeded.</w:t>
      </w:r>
    </w:p>
    <w:p>
      <w:pPr>
        <w:spacing w:after="0" w:line="198" w:lineRule="exact"/>
        <w:rPr>
          <w:rFonts w:ascii="Arial" w:cs="Arial" w:eastAsia="Arial" w:hAnsi="Arial"/>
          <w:sz w:val="18"/>
          <w:szCs w:val="18"/>
          <w:b w:val="1"/>
          <w:bCs w:val="1"/>
          <w:color w:val="auto"/>
        </w:rPr>
      </w:pPr>
    </w:p>
    <w:p>
      <w:pPr>
        <w:ind w:left="660" w:hanging="652"/>
        <w:spacing w:after="0"/>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is a Subsidiary of ABM Industries Incorporated.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certificate, and any non-contractual obligations arising out of or in connection with this certificate, shall be governed by and construed in accordance with English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Position:</w:t>
      </w:r>
      <w:r>
        <w:rPr>
          <w:sz w:val="20"/>
          <w:szCs w:val="20"/>
          <w:color w:val="auto"/>
        </w:rPr>
        <w:tab/>
      </w:r>
      <w:r>
        <w:rPr>
          <w:rFonts w:ascii="Arial" w:cs="Arial" w:eastAsia="Arial" w:hAnsi="Arial"/>
          <w:sz w:val="18"/>
          <w:szCs w:val="18"/>
          <w:color w:val="auto"/>
        </w:rPr>
        <w:t>Director</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0975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-10160</wp:posOffset>
            </wp:positionV>
            <wp:extent cx="1428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53" w:lineRule="exact"/>
        <w:rPr>
          <w:sz w:val="20"/>
          <w:szCs w:val="20"/>
          <w:color w:val="auto"/>
        </w:rPr>
      </w:pPr>
    </w:p>
    <w:p>
      <w:pPr>
        <w:ind w:left="780" w:hanging="124"/>
        <w:spacing w:after="0"/>
        <w:tabs>
          <w:tab w:leader="none" w:pos="780" w:val="left"/>
        </w:tabs>
        <w:numPr>
          <w:ilvl w:val="0"/>
          <w:numId w:val="293"/>
        </w:numPr>
        <w:rPr>
          <w:rFonts w:ascii="Arial" w:cs="Arial" w:eastAsia="Arial" w:hAnsi="Arial"/>
          <w:sz w:val="30"/>
          <w:szCs w:val="30"/>
          <w:color w:val="auto"/>
          <w:vertAlign w:val="superscript"/>
        </w:rPr>
      </w:pPr>
      <w:r>
        <w:rPr>
          <w:rFonts w:ascii="Arial" w:cs="Arial" w:eastAsia="Arial" w:hAnsi="Arial"/>
          <w:sz w:val="18"/>
          <w:szCs w:val="18"/>
          <w:color w:val="auto"/>
        </w:rPr>
        <w:t>NTD: there is no designated borrower sublimit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t>A: CONSTITUTIONAL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0" w:name="page301"/>
    <w:bookmarkEnd w:id="300"/>
    <w:p>
      <w:pPr>
        <w:jc w:val="center"/>
        <w:ind w:right="-20"/>
        <w:spacing w:after="0"/>
        <w:rPr>
          <w:sz w:val="20"/>
          <w:szCs w:val="20"/>
          <w:color w:val="auto"/>
        </w:rPr>
      </w:pPr>
      <w:r>
        <w:rPr>
          <w:rFonts w:ascii="Arial" w:cs="Arial" w:eastAsia="Arial" w:hAnsi="Arial"/>
          <w:sz w:val="17"/>
          <w:szCs w:val="17"/>
          <w:b w:val="1"/>
          <w:bCs w:val="1"/>
          <w:color w:val="auto"/>
        </w:rPr>
        <w:t>B: SHAREHOLDER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sectPr>
      </w:pPr>
    </w:p>
    <w:bookmarkStart w:id="301" w:name="page302"/>
    <w:bookmarkEnd w:id="301"/>
    <w:p>
      <w:pPr>
        <w:jc w:val="center"/>
        <w:ind w:right="-20"/>
        <w:spacing w:after="0"/>
        <w:rPr>
          <w:sz w:val="20"/>
          <w:szCs w:val="20"/>
          <w:color w:val="auto"/>
        </w:rPr>
      </w:pPr>
      <w:r>
        <w:rPr>
          <w:rFonts w:ascii="Arial" w:cs="Arial" w:eastAsia="Arial" w:hAnsi="Arial"/>
          <w:sz w:val="17"/>
          <w:szCs w:val="17"/>
          <w:b w:val="1"/>
          <w:bCs w:val="1"/>
          <w:color w:val="auto"/>
        </w:rPr>
        <w:t>C: BOARD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39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b w:val="1"/>
                <w:bCs w:val="1"/>
                <w:color w:val="auto"/>
              </w:rPr>
              <w:t>D: SPECIMEN SIGNATURES</w:t>
            </w:r>
            <w:r>
              <w:rPr>
                <w:rFonts w:ascii="Arial" w:cs="Arial" w:eastAsia="Arial" w:hAnsi="Arial"/>
                <w:sz w:val="30"/>
                <w:szCs w:val="30"/>
                <w:b w:val="1"/>
                <w:bCs w:val="1"/>
                <w:color w:val="auto"/>
                <w:vertAlign w:val="superscript"/>
              </w:rPr>
              <w:t>2</w:t>
            </w:r>
          </w:p>
        </w:tc>
        <w:tc>
          <w:tcPr>
            <w:tcW w:w="3420" w:type="dxa"/>
            <w:vAlign w:val="bottom"/>
          </w:tcPr>
          <w:p>
            <w:pPr>
              <w:spacing w:after="0"/>
              <w:rPr>
                <w:sz w:val="24"/>
                <w:szCs w:val="24"/>
                <w:color w:val="auto"/>
              </w:rPr>
            </w:pPr>
          </w:p>
        </w:tc>
      </w:tr>
      <w:tr>
        <w:trPr>
          <w:trHeight w:val="309"/>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34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4"/>
                <w:szCs w:val="24"/>
                <w:color w:val="auto"/>
              </w:rPr>
            </w:pPr>
          </w:p>
        </w:tc>
        <w:tc>
          <w:tcPr>
            <w:tcW w:w="34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Specimen Signature</w:t>
            </w: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color w:val="auto"/>
              </w:rPr>
              <w:t>John David King</w:t>
            </w: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4"/>
                <w:szCs w:val="24"/>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Antony Richard Marke</w:t>
            </w: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4"/>
                <w:szCs w:val="24"/>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Ernest Patterson</w:t>
            </w: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097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9" w:lineRule="exact"/>
        <w:rPr>
          <w:sz w:val="20"/>
          <w:szCs w:val="20"/>
          <w:color w:val="auto"/>
        </w:rPr>
      </w:pPr>
    </w:p>
    <w:p>
      <w:pPr>
        <w:ind w:left="800" w:hanging="144"/>
        <w:spacing w:after="0"/>
        <w:tabs>
          <w:tab w:leader="none" w:pos="800" w:val="left"/>
        </w:tabs>
        <w:numPr>
          <w:ilvl w:val="0"/>
          <w:numId w:val="294"/>
        </w:numPr>
        <w:rPr>
          <w:rFonts w:ascii="Arial" w:cs="Arial" w:eastAsia="Arial" w:hAnsi="Arial"/>
          <w:sz w:val="30"/>
          <w:szCs w:val="30"/>
          <w:color w:val="auto"/>
          <w:vertAlign w:val="superscript"/>
        </w:rPr>
      </w:pPr>
      <w:r>
        <w:rPr>
          <w:rFonts w:ascii="Arial" w:cs="Arial" w:eastAsia="Arial" w:hAnsi="Arial"/>
          <w:sz w:val="18"/>
          <w:szCs w:val="18"/>
          <w:color w:val="auto"/>
        </w:rPr>
        <w:t>ABM to confirm.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03" w:name="page304"/>
    <w:bookmarkEnd w:id="303"/>
    <w:p>
      <w:pPr>
        <w:ind w:left="10440"/>
        <w:spacing w:after="0"/>
        <w:rPr>
          <w:sz w:val="20"/>
          <w:szCs w:val="20"/>
          <w:color w:val="auto"/>
        </w:rPr>
      </w:pPr>
      <w:r>
        <w:rPr>
          <w:rFonts w:ascii="Arial" w:cs="Arial" w:eastAsia="Arial" w:hAnsi="Arial"/>
          <w:sz w:val="17"/>
          <w:szCs w:val="17"/>
          <w:color w:val="auto"/>
        </w:rPr>
        <w:t>EXHIBIT J-2</w:t>
      </w:r>
    </w:p>
    <w:p>
      <w:pPr>
        <w:spacing w:after="0" w:line="23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[FORM OF] CLOSING CERTIFICATE (COMPANY)</w:t>
      </w:r>
    </w:p>
    <w:p>
      <w:pPr>
        <w:spacing w:after="0" w:line="22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 ], 2017</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 is made to the Credit Agreement dated as of September 1, 2017 (as amended, supplemented or otherwise modified as of the date hereof, the “Credit Agreement”)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subsidiaries of the Company from time to time party thereto as Designated Borrowers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Bank of America, N.A., as Administrative Agent and certain other Persons from time to time party thereto. Capitalized terms used but not otherwise defined herein shall have the meanings specified in the Credit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Sections 4.01(c) and 4.01(g)</w:t>
      </w:r>
      <w:r>
        <w:rPr>
          <w:rFonts w:ascii="Arial" w:cs="Arial" w:eastAsia="Arial" w:hAnsi="Arial"/>
          <w:sz w:val="18"/>
          <w:szCs w:val="18"/>
          <w:color w:val="auto"/>
        </w:rPr>
        <w:t xml:space="preserve"> of the Credit Agreement, the undersigned Authorized Officer of the Company certifies, in the name and on behalf of the Company, and not individually, that:</w:t>
      </w:r>
    </w:p>
    <w:p>
      <w:pPr>
        <w:spacing w:after="0" w:line="170" w:lineRule="exact"/>
        <w:rPr>
          <w:sz w:val="20"/>
          <w:szCs w:val="20"/>
          <w:color w:val="auto"/>
        </w:rPr>
      </w:pPr>
    </w:p>
    <w:p>
      <w:pPr>
        <w:jc w:val="both"/>
        <w:ind w:firstLine="656"/>
        <w:spacing w:after="0" w:line="264" w:lineRule="auto"/>
        <w:tabs>
          <w:tab w:leader="none" w:pos="144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GCA Acquisition has been consummated pursuant to the GCA Acquisition Agreement, substantially concurrently with the initial funding of the Facilities, and no provision thereof has been amended or waived, and no consent has been given thereunder, in any manner materially adverse to the interests of the Arrangers or the Lenders without the prior written consent of the Arrangers.</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5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The Specified Representations are true and correct in all material respects as of the date hereof. (except in the case of any Specified Representation which expressly relates to a given date or period, such representation and warranty is true and correct in all material respects as of the respective date or for the respective period,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Specified Representation is qualified by or subject to a “material adverse effect”, “material adverse change” or similar term or qualification the same shall be true and correct in all respects. The Specified GCA Acquisition Agreement Representations are true and correct as of the date hereof.</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Since July 11, 2017, there has not been a “Material Adverse Effect” (as defined in the GCA Acquisition Agreement as in effect on July 11,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2017).</w:t>
      </w:r>
    </w:p>
    <w:p>
      <w:pPr>
        <w:spacing w:after="0" w:line="210" w:lineRule="exact"/>
        <w:rPr>
          <w:rFonts w:ascii="Arial" w:cs="Arial" w:eastAsia="Arial" w:hAnsi="Arial"/>
          <w:sz w:val="16"/>
          <w:szCs w:val="16"/>
          <w:color w:val="auto"/>
        </w:rPr>
      </w:pPr>
    </w:p>
    <w:p>
      <w:pPr>
        <w:jc w:val="both"/>
        <w:ind w:firstLine="656"/>
        <w:spacing w:after="0" w:line="259" w:lineRule="auto"/>
        <w:tabs>
          <w:tab w:leader="none" w:pos="1255"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correct and complete copy of the [Certificate of Incorporation] / [Certificate(s) of Change of Name] / [Certificate of Formation] / [Certificate of Organization] / [Articles of Incorporation] of the Company (the “</w:t>
      </w:r>
      <w:r>
        <w:rPr>
          <w:rFonts w:ascii="Arial" w:cs="Arial" w:eastAsia="Arial" w:hAnsi="Arial"/>
          <w:sz w:val="18"/>
          <w:szCs w:val="18"/>
          <w:u w:val="single" w:color="auto"/>
          <w:color w:val="auto"/>
        </w:rPr>
        <w:t>Charter</w:t>
      </w:r>
      <w:r>
        <w:rPr>
          <w:rFonts w:ascii="Arial" w:cs="Arial" w:eastAsia="Arial" w:hAnsi="Arial"/>
          <w:sz w:val="18"/>
          <w:szCs w:val="18"/>
          <w:color w:val="auto"/>
        </w:rPr>
        <w:t>”), as certified by the Secretary of State of the State of [•]. The Charter is in full force and effect on the date hereof, has not been amended or cancelled and no amendment to the Charter is pending or proposed.</w:t>
      </w:r>
    </w:p>
    <w:p>
      <w:pPr>
        <w:spacing w:after="0" w:line="186" w:lineRule="exact"/>
        <w:rPr>
          <w:rFonts w:ascii="Arial" w:cs="Arial" w:eastAsia="Arial" w:hAnsi="Arial"/>
          <w:sz w:val="18"/>
          <w:szCs w:val="18"/>
          <w:color w:val="auto"/>
        </w:rPr>
      </w:pPr>
    </w:p>
    <w:p>
      <w:pPr>
        <w:ind w:left="1240" w:hanging="584"/>
        <w:spacing w:after="0"/>
        <w:tabs>
          <w:tab w:leader="none" w:pos="12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is a true, correct and complete copy of the [By-Laws] / [Operating Agreement] / [Memorandum of Association]</w:t>
      </w:r>
    </w:p>
    <w:p>
      <w:pPr>
        <w:spacing w:after="0" w:line="46" w:lineRule="exact"/>
        <w:rPr>
          <w:rFonts w:ascii="Arial" w:cs="Arial" w:eastAsia="Arial" w:hAnsi="Arial"/>
          <w:sz w:val="16"/>
          <w:szCs w:val="16"/>
          <w:color w:val="auto"/>
        </w:rPr>
      </w:pPr>
    </w:p>
    <w:p>
      <w:pPr>
        <w:jc w:val="both"/>
        <w:ind w:firstLine="8"/>
        <w:spacing w:after="0" w:line="255" w:lineRule="auto"/>
        <w:tabs>
          <w:tab w:leader="none" w:pos="11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[Articles of Association] of the Company. Such [By-Laws] / [Operating Agreement] / [Memorandum of Association] / [Articles of Association] [have] / [has] not been amended, repealed, modified, superseded, revoked or restated, and [are] / [is] in full force and effect on the date hereof and no amendment to such [By-Laws] / [Operating Agreement] / [Memorandum of Association] / [Articles of Association] is pending.</w:t>
      </w:r>
    </w:p>
    <w:p>
      <w:pPr>
        <w:spacing w:after="0" w:line="190" w:lineRule="exact"/>
        <w:rPr>
          <w:rFonts w:ascii="Arial" w:cs="Arial" w:eastAsia="Arial" w:hAnsi="Arial"/>
          <w:sz w:val="18"/>
          <w:szCs w:val="18"/>
          <w:color w:val="auto"/>
        </w:rPr>
      </w:pPr>
    </w:p>
    <w:p>
      <w:pPr>
        <w:jc w:val="both"/>
        <w:ind w:firstLine="656"/>
        <w:spacing w:after="0" w:line="279" w:lineRule="auto"/>
        <w:tabs>
          <w:tab w:leader="none" w:pos="140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is a true, correct and complete copy of the resolutions (the “</w:t>
      </w:r>
      <w:r>
        <w:rPr>
          <w:rFonts w:ascii="Arial" w:cs="Arial" w:eastAsia="Arial" w:hAnsi="Arial"/>
          <w:sz w:val="17"/>
          <w:szCs w:val="17"/>
          <w:u w:val="single" w:color="auto"/>
          <w:color w:val="auto"/>
        </w:rPr>
        <w:t>Resolutions</w:t>
      </w:r>
      <w:r>
        <w:rPr>
          <w:rFonts w:ascii="Arial" w:cs="Arial" w:eastAsia="Arial" w:hAnsi="Arial"/>
          <w:sz w:val="17"/>
          <w:szCs w:val="17"/>
          <w:color w:val="auto"/>
        </w:rPr>
        <w:t>”) duly adopted by the [board of directors] / [members] of the Company (the “</w:t>
      </w:r>
      <w:r>
        <w:rPr>
          <w:rFonts w:ascii="Arial" w:cs="Arial" w:eastAsia="Arial" w:hAnsi="Arial"/>
          <w:sz w:val="17"/>
          <w:szCs w:val="17"/>
          <w:u w:val="single" w:color="auto"/>
          <w:color w:val="auto"/>
        </w:rPr>
        <w:t>Authorizing Body</w:t>
      </w:r>
      <w:r>
        <w:rPr>
          <w:rFonts w:ascii="Arial" w:cs="Arial" w:eastAsia="Arial" w:hAnsi="Arial"/>
          <w:sz w:val="17"/>
          <w:szCs w:val="17"/>
          <w:color w:val="auto"/>
        </w:rPr>
        <w:t>”), authorizing the execution, delivery and performance of each of the Loan Documents to which the Company is a party and the transactions contemplated thereby. The Resolutions (i) were duly adopted by the Authorizing Body and have not been amended, modified, superseded or revoked in any respect and (ii) are in full force and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4" w:name="page305"/>
    <w:bookmarkEnd w:id="304"/>
    <w:p>
      <w:pPr>
        <w:ind w:firstLine="656"/>
        <w:spacing w:after="0" w:line="277" w:lineRule="auto"/>
        <w:tabs>
          <w:tab w:leader="none" w:pos="126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is a good standing certificate for the Company [from the Secretary of State in the State in which the Company is [incorporated] / [organized]].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3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individual set forth below is a duly authorized representative of the Company and is authorized to sign the Loan Documents and all other agreements, documents and instruments relating thereto on behalf of the Company. The signature written below opposite the name of such officer is his or her genuine signature.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760" w:type="dxa"/>
            <w:vAlign w:val="bottom"/>
            <w:gridSpan w:val="2"/>
          </w:tcPr>
          <w:p>
            <w:pPr>
              <w:ind w:left="1540"/>
              <w:spacing w:after="0"/>
              <w:rPr>
                <w:sz w:val="20"/>
                <w:szCs w:val="20"/>
                <w:color w:val="auto"/>
              </w:rPr>
            </w:pPr>
            <w:r>
              <w:rPr>
                <w:rFonts w:ascii="Arial" w:cs="Arial" w:eastAsia="Arial" w:hAnsi="Arial"/>
                <w:sz w:val="18"/>
                <w:szCs w:val="18"/>
                <w:b w:val="1"/>
                <w:bCs w:val="1"/>
                <w:color w:val="auto"/>
              </w:rPr>
              <w:t>Office</w:t>
            </w:r>
          </w:p>
        </w:tc>
        <w:tc>
          <w:tcPr>
            <w:tcW w:w="3760" w:type="dxa"/>
            <w:vAlign w:val="bottom"/>
          </w:tcPr>
          <w:p>
            <w:pPr>
              <w:ind w:left="1500"/>
              <w:spacing w:after="0"/>
              <w:rPr>
                <w:sz w:val="20"/>
                <w:szCs w:val="20"/>
                <w:color w:val="auto"/>
              </w:rPr>
            </w:pPr>
            <w:r>
              <w:rPr>
                <w:rFonts w:ascii="Arial" w:cs="Arial" w:eastAsia="Arial" w:hAnsi="Arial"/>
                <w:sz w:val="18"/>
                <w:szCs w:val="18"/>
                <w:b w:val="1"/>
                <w:bCs w:val="1"/>
                <w:color w:val="auto"/>
              </w:rPr>
              <w:t>Signature</w:t>
            </w:r>
          </w:p>
        </w:tc>
      </w:t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540" w:type="dxa"/>
            <w:vAlign w:val="bottom"/>
            <w:tcBorders>
              <w:top w:val="single" w:sz="8" w:color="auto"/>
            </w:tcBorders>
          </w:tcPr>
          <w:p>
            <w:pPr>
              <w:jc w:val="right"/>
              <w:ind w:right="335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8"/>
              </w:rPr>
              <w:t>[</w:t>
            </w:r>
          </w:p>
        </w:tc>
        <w:tc>
          <w:tcPr>
            <w:tcW w:w="3660" w:type="dxa"/>
            <w:vAlign w:val="bottom"/>
            <w:tcBorders>
              <w:top w:val="single" w:sz="8" w:color="auto"/>
            </w:tcBorders>
          </w:tcPr>
          <w:p>
            <w:pPr>
              <w:jc w:val="right"/>
              <w:ind w:right="347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760" w:type="dxa"/>
            <w:vAlign w:val="bottom"/>
            <w:tcBorders>
              <w:top w:val="single" w:sz="8" w:color="auto"/>
            </w:tcBorders>
          </w:tcPr>
          <w:p>
            <w:pPr>
              <w:spacing w:after="0"/>
              <w:rPr>
                <w:sz w:val="16"/>
                <w:szCs w:val="16"/>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60" w:type="dxa"/>
            <w:vAlign w:val="bottom"/>
          </w:tcPr>
          <w:p>
            <w:pPr>
              <w:jc w:val="right"/>
              <w:ind w:right="3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I have executed this Certificate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-121920</wp:posOffset>
            </wp:positionV>
            <wp:extent cx="31127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I, a duly authorized signatory of the Company, do hereby certify that the person whose signature appears immediately above is a duly authorized signatory of the Company and the signature of such person set forth immediately above is true and genuine.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-121920</wp:posOffset>
            </wp:positionV>
            <wp:extent cx="31127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5" w:name="page306"/>
    <w:bookmarkEnd w:id="305"/>
    <w:p>
      <w:pPr>
        <w:ind w:left="44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[Certificate of Incorporation] / [Certificate(s) of Change of Name] / [Certificate of Formation] /</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Organization] /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6" w:name="page307"/>
    <w:bookmarkEnd w:id="306"/>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[By-Laws] /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Good Standing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80" w:type="dxa"/>
            <w:vAlign w:val="bottom"/>
            <w:gridSpan w:val="2"/>
          </w:tcPr>
          <w:p>
            <w:pPr>
              <w:ind w:left="980"/>
              <w:spacing w:after="0"/>
              <w:rPr>
                <w:sz w:val="20"/>
                <w:szCs w:val="20"/>
                <w:color w:val="auto"/>
              </w:rPr>
            </w:pPr>
            <w:r>
              <w:rPr>
                <w:rFonts w:ascii="Arial" w:cs="Arial" w:eastAsia="Arial" w:hAnsi="Arial"/>
                <w:sz w:val="18"/>
                <w:szCs w:val="18"/>
                <w:color w:val="auto"/>
              </w:rPr>
              <w:t>EXHIBIT K</w:t>
            </w:r>
          </w:p>
        </w:tc>
      </w:tr>
      <w:tr>
        <w:trPr>
          <w:trHeight w:val="432"/>
        </w:trPr>
        <w:tc>
          <w:tcPr>
            <w:tcW w:w="920" w:type="dxa"/>
            <w:vAlign w:val="bottom"/>
          </w:tcPr>
          <w:p>
            <w:pPr>
              <w:spacing w:after="0"/>
              <w:rPr>
                <w:sz w:val="24"/>
                <w:szCs w:val="24"/>
                <w:color w:val="auto"/>
              </w:rPr>
            </w:pPr>
          </w:p>
        </w:tc>
        <w:tc>
          <w:tcPr>
            <w:tcW w:w="10500" w:type="dxa"/>
            <w:vAlign w:val="bottom"/>
            <w:gridSpan w:val="5"/>
          </w:tcPr>
          <w:p>
            <w:pPr>
              <w:ind w:left="1240"/>
              <w:spacing w:after="0"/>
              <w:rPr>
                <w:sz w:val="20"/>
                <w:szCs w:val="20"/>
                <w:color w:val="auto"/>
              </w:rPr>
            </w:pPr>
            <w:r>
              <w:rPr>
                <w:rFonts w:ascii="Arial" w:cs="Arial" w:eastAsia="Arial" w:hAnsi="Arial"/>
                <w:sz w:val="18"/>
                <w:szCs w:val="18"/>
                <w:b w:val="1"/>
                <w:bCs w:val="1"/>
                <w:color w:val="auto"/>
              </w:rPr>
              <w:t>[FORM OF] DESIGNATED BORROWER REQUEST AND ASSUMPTION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rPr>
              <w:t>Bank of America, N.A., as Administrative Agent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RE:</w:t>
            </w: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w w:val="90"/>
              </w:rPr>
              <w:t>Credit Agreement (as amended, modified, supplemented, extended, increased and restated from time to time, the “Credit Agreement”) dated</w:t>
            </w:r>
          </w:p>
        </w:tc>
      </w:tr>
      <w:tr>
        <w:trPr>
          <w:trHeight w:val="20"/>
        </w:trPr>
        <w:tc>
          <w:tcPr>
            <w:tcW w:w="9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gridSpan w:val="5"/>
          </w:tcPr>
          <w:p>
            <w:pPr>
              <w:ind w:left="380"/>
              <w:spacing w:after="0" w:line="196" w:lineRule="exact"/>
              <w:rPr>
                <w:sz w:val="20"/>
                <w:szCs w:val="20"/>
                <w:color w:val="auto"/>
              </w:rPr>
            </w:pPr>
            <w:r>
              <w:rPr>
                <w:rFonts w:ascii="Arial" w:cs="Arial" w:eastAsia="Arial" w:hAnsi="Arial"/>
                <w:sz w:val="18"/>
                <w:szCs w:val="18"/>
                <w:color w:val="auto"/>
                <w:w w:val="96"/>
              </w:rPr>
              <w:t>as of September 1, 2017, among ABM Industries Incorporated, a Delaware corporation (the “Company”), the Designated Borrowers</w:t>
            </w:r>
          </w:p>
        </w:tc>
      </w:tr>
      <w:tr>
        <w:trPr>
          <w:trHeight w:val="20"/>
        </w:trPr>
        <w:tc>
          <w:tcPr>
            <w:tcW w:w="9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w w:val="97"/>
              </w:rPr>
              <w:t>identified therein, the Lenders identified therein and Bank of America, N.A., as Administrative Agent, Issuing Lender and Swingline</w:t>
            </w:r>
          </w:p>
        </w:tc>
      </w:tr>
      <w:tr>
        <w:trPr>
          <w:trHeight w:val="230"/>
        </w:trPr>
        <w:tc>
          <w:tcPr>
            <w:tcW w:w="920" w:type="dxa"/>
            <w:vAlign w:val="bottom"/>
          </w:tcPr>
          <w:p>
            <w:pPr>
              <w:spacing w:after="0"/>
              <w:rPr>
                <w:sz w:val="20"/>
                <w:szCs w:val="20"/>
                <w:color w:val="auto"/>
              </w:rPr>
            </w:pP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rPr>
              <w:t>Lender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and not otherwise defined shall have the meanings set forth in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______________________ (the “</w:t>
      </w:r>
      <w:r>
        <w:rPr>
          <w:rFonts w:ascii="Arial" w:cs="Arial" w:eastAsia="Arial" w:hAnsi="Arial"/>
          <w:sz w:val="16"/>
          <w:szCs w:val="16"/>
          <w:u w:val="single" w:color="auto"/>
          <w:color w:val="auto"/>
        </w:rPr>
        <w:t>Designated Borrower</w:t>
      </w:r>
      <w:r>
        <w:rPr>
          <w:rFonts w:ascii="Arial" w:cs="Arial" w:eastAsia="Arial" w:hAnsi="Arial"/>
          <w:sz w:val="16"/>
          <w:szCs w:val="16"/>
          <w:color w:val="auto"/>
        </w:rPr>
        <w:t>”) and the Company hereby confirms, represents and warrants to the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 and the Lenders that the Designated Borrower is a Subsidiary of the Company.</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documents required to be delivered to the Administrative Agent under Section 2.26 of the Credit Agreement will be furnished to the Administrative Agent in accordance with the requirements of the Credit Agreement.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parties hereto hereby confirm that, with effect from the date of the Designated Borrower Notice for the Designated Borrower, except as expressly set forth in the Credit Agreement including Section 2.26(c) of the Credit Agreement, the Designated Borrower shall have obligations, duties and liabilities toward each of the other parties to the Credit Agreement and other Loan Documents identical to those which the Designated Borrower would have had if the Designated Borrower had been an original party to the Loan Documents as a Designated Borrower. Effective as of the date of the Designated Borrower Notice for the Designated Borrower, the Designated Borrower hereby ratifies, and agrees to be bound by, all applicable representations and warranties, covenants, and other terms, conditions and provisions of the Credit Agreement and the other applicable Loan Documents.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hereto hereby request that the Designated Borrower be entitled to receive Revolving Loans under the Credit Agreement, and understand, acknowledge and agree that neither the Designated Borrower nor the Company on its behalf shall have any right to request any Revolving Loans for its account unless and until the date five (5) Business Days after the effective date designated by the Administrative Agent in a Designated Borrower Notice delivered to the Company and the Revolving Lenders pursuant to Section 2.26 of the Credit Agreement.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connection with the foregoing, the Designated Borrower and the Company hereby agree as follows with the Administrative Agent, for the benefit of the Secured Parties with respect to the Revolving Loans made to such Designated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0" w:name="page311"/>
    <w:bookmarkEnd w:id="310"/>
    <w:p>
      <w:pPr>
        <w:ind w:left="10520"/>
        <w:spacing w:after="0"/>
        <w:rPr>
          <w:sz w:val="20"/>
          <w:szCs w:val="20"/>
          <w:color w:val="auto"/>
        </w:rPr>
      </w:pPr>
      <w:r>
        <w:rPr>
          <w:rFonts w:ascii="Arial" w:cs="Arial" w:eastAsia="Arial" w:hAnsi="Arial"/>
          <w:sz w:val="18"/>
          <w:szCs w:val="18"/>
          <w:color w:val="auto"/>
        </w:rPr>
        <w:t>EXHIBIT 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 The Designated Borrower hereby acknowledges, agrees and confirms that, by its execution of this Designated Borrower Request and Assumption Agreement, the Designated Borrower will be deemed to be a party to the Guarantee Agreement, and shall have all the rights and obligations of a “Guarantor” (as such term is defined in the Guarantee Agreement) thereunder as if it had executed the Guarantee Agreement. The Designated Borrower hereby ratifies, as of the date hereof, and agrees to be bound by, all of the terms, provisions and conditions contained in the Guarantee Agreement. Without limiting the generality of the foregoing terms of this Paragraph 1, the Designated Borrower irrevocably and unconditionally guarantees, jointly with the other Guarantors and severally, as a primary obligor and not merely as a surety, for the benefit of the Secured Parties, by way of an independent payment obligation, the punctual payment of the Obligations when due and payable (other than, with respect to any Loan Party, any Excluded Swap Obligations of such Loan Party).]</w:t>
      </w:r>
      <w:r>
        <w:rPr>
          <w:rFonts w:ascii="Arial" w:cs="Arial" w:eastAsia="Arial" w:hAnsi="Arial"/>
          <w:sz w:val="30"/>
          <w:szCs w:val="30"/>
          <w:color w:val="auto"/>
          <w:vertAlign w:val="superscript"/>
        </w:rPr>
        <w:t>1</w:t>
      </w:r>
    </w:p>
    <w:p>
      <w:pPr>
        <w:spacing w:after="0" w:line="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[2. The Designated Borrower hereby acknowledges, agrees and confirms that, by its execution of this Designated Borrower Request and Assumption Agreement, the Designated Borrower will be deemed to be a party to the Collateral Agreement and shall have all the rights and obligations of a “Grantor” (as such term is defined in the Collateral Agreement) thereunder as if it had executed the Collateral Agreement. The Designated Borrower hereby ratifies, as of the date hereof, and agrees to be bound by, all of the terms, provisions and conditions contained in the Collateral Agreement. Without limiting the generality of the foregoing terms of this Paragraph 2, (a) as security for the payment in full of the Obligations, the Designated Borrower hereby assigns as security and pledges to the Administrative Agent and its permitted successors and assigns, for the benefit of the Secured Parties, and hereby grants to the Administrative Agent and its permitted successors and assigns, for the benefit of the Secured Parties, a security interest in, all the Designated Borrower’s right, title and interest in, to and under the Pledged Collateral (as defined in the Collateral Agreement) and (b) as security for the payment in full of the Obligations, and subject to Section 3.01(c) of the Collateral Agreement, the Designated Borrower hereby grants to the Administrative Agent, its permitted successors and assigns, for the benefit of the Secured Parties, a security interest in all the Designated Borrower’s right, title and interest in, to and under any and all of the Article 9 Collateral (as defined in the Collateral Agreement) now owned or at any time hereafter acquired by the Designated Borrower or in, to or under which the Designated Borrower now has or at any time hereafter may acquire any right, title or interest.]</w:t>
      </w:r>
      <w:r>
        <w:rPr>
          <w:rFonts w:ascii="Arial" w:cs="Arial" w:eastAsia="Arial" w:hAnsi="Arial"/>
          <w:sz w:val="26"/>
          <w:szCs w:val="26"/>
          <w:color w:val="auto"/>
          <w:vertAlign w:val="superscript"/>
        </w:rPr>
        <w:t>2</w:t>
      </w:r>
    </w:p>
    <w:p>
      <w:pPr>
        <w:spacing w:after="0" w:line="43" w:lineRule="exact"/>
        <w:rPr>
          <w:sz w:val="20"/>
          <w:szCs w:val="20"/>
          <w:color w:val="auto"/>
        </w:rPr>
      </w:pPr>
    </w:p>
    <w:p>
      <w:pPr>
        <w:jc w:val="both"/>
        <w:ind w:firstLine="656"/>
        <w:spacing w:after="0" w:line="259" w:lineRule="auto"/>
        <w:tabs>
          <w:tab w:leader="none" w:pos="132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The Designated Borrower acknowledges and confirms that it has received a copy of the Credit Agreement and the schedules and exhibits thereto and each Security Document and the schedules and exhibits thereto. The information on the schedules to the Credit Agreement and the Security Documents are hereby supplemented (to the extent permitted under the Credit Agreement or Security Documents) to reflect the information shown on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29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Company confirms that the Credit Agreement is, and upon the Designated Borrower becoming a party thereto, shall continue to be, in full force and effect. The parties hereto confirm and agree that immediately upon the Designated Borrower becoming a Borrower, the term “Loan Document Obligations,” as used in the Credit Agreement, shall include all obligations of the Designated Borrower under the Credit Agreement and under each other Loan Document.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49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of the Company and the Designated Borrower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Designated Borrower Request and Assumption Agreement.</w:t>
      </w:r>
    </w:p>
    <w:p>
      <w:pPr>
        <w:spacing w:after="0" w:line="186" w:lineRule="exact"/>
        <w:rPr>
          <w:rFonts w:ascii="Arial" w:cs="Arial" w:eastAsia="Arial" w:hAnsi="Arial"/>
          <w:sz w:val="18"/>
          <w:szCs w:val="18"/>
          <w:color w:val="auto"/>
        </w:rPr>
      </w:pPr>
    </w:p>
    <w:p>
      <w:pPr>
        <w:ind w:left="1240" w:hanging="584"/>
        <w:spacing w:after="0"/>
        <w:tabs>
          <w:tab w:leader="none" w:pos="12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address for notices of the Designated Borrower is: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6" w:lineRule="exact"/>
        <w:rPr>
          <w:sz w:val="20"/>
          <w:szCs w:val="20"/>
          <w:color w:val="auto"/>
        </w:rPr>
      </w:pPr>
    </w:p>
    <w:p>
      <w:pPr>
        <w:ind w:left="460" w:hanging="128"/>
        <w:spacing w:after="0"/>
        <w:tabs>
          <w:tab w:leader="none" w:pos="460" w:val="left"/>
        </w:tabs>
        <w:numPr>
          <w:ilvl w:val="0"/>
          <w:numId w:val="299"/>
        </w:numPr>
        <w:rPr>
          <w:rFonts w:ascii="Arial" w:cs="Arial" w:eastAsia="Arial" w:hAnsi="Arial"/>
          <w:sz w:val="30"/>
          <w:szCs w:val="30"/>
          <w:color w:val="auto"/>
          <w:vertAlign w:val="superscript"/>
        </w:rPr>
      </w:pPr>
      <w:r>
        <w:rPr>
          <w:rFonts w:ascii="Arial" w:cs="Arial" w:eastAsia="Arial" w:hAnsi="Arial"/>
          <w:sz w:val="18"/>
          <w:szCs w:val="18"/>
          <w:color w:val="auto"/>
        </w:rPr>
        <w:t>Not to be included if Designated Borrower is a CFC or CFC Holding Company.</w:t>
      </w:r>
    </w:p>
    <w:p>
      <w:pPr>
        <w:spacing w:after="0" w:line="128" w:lineRule="exact"/>
        <w:rPr>
          <w:sz w:val="20"/>
          <w:szCs w:val="20"/>
          <w:color w:val="auto"/>
        </w:rPr>
      </w:pPr>
    </w:p>
    <w:p>
      <w:pPr>
        <w:ind w:left="460" w:hanging="128"/>
        <w:spacing w:after="0"/>
        <w:tabs>
          <w:tab w:leader="none" w:pos="460" w:val="left"/>
        </w:tabs>
        <w:numPr>
          <w:ilvl w:val="0"/>
          <w:numId w:val="300"/>
        </w:numPr>
        <w:rPr>
          <w:rFonts w:ascii="Arial" w:cs="Arial" w:eastAsia="Arial" w:hAnsi="Arial"/>
          <w:sz w:val="30"/>
          <w:szCs w:val="30"/>
          <w:color w:val="auto"/>
          <w:vertAlign w:val="superscript"/>
        </w:rPr>
      </w:pPr>
      <w:r>
        <w:rPr>
          <w:rFonts w:ascii="Arial" w:cs="Arial" w:eastAsia="Arial" w:hAnsi="Arial"/>
          <w:sz w:val="18"/>
          <w:szCs w:val="18"/>
          <w:color w:val="auto"/>
        </w:rPr>
        <w:t>Not to be included if Designated Borrower is a CFC or CFC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color w:val="auto"/>
        </w:rPr>
        <w:t>EXHIBIT 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Designated Borrower Request and Assumption Agreement shall constitute a Loan Document under the Credit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DESIGNATED BORROWER REQUEST AND ASSUMPTION AGREEMENT SHALL BE GOVERNED BY, AND CONSTRUED AND ENFORCED IN ACCORDANCE WITH, THE LAWS OF THE STATE OF NEW YORK. The terms of Sections 2.26(c), 9.09 and 9.10 of the Credit Agreement are incorporated herein by reference, mutatis mutandis, and the parties hereto agree to such terms.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Designated Borrower Request and Assumption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12" w:name="page313"/>
    <w:bookmarkEnd w:id="312"/>
    <w:p>
      <w:pPr>
        <w:ind w:firstLine="648"/>
        <w:spacing w:after="0" w:line="277" w:lineRule="auto"/>
        <w:rPr>
          <w:sz w:val="20"/>
          <w:szCs w:val="20"/>
          <w:color w:val="auto"/>
        </w:rPr>
      </w:pPr>
      <w:r>
        <w:rPr>
          <w:rFonts w:ascii="Arial" w:cs="Arial" w:eastAsia="Arial" w:hAnsi="Arial"/>
          <w:sz w:val="18"/>
          <w:szCs w:val="18"/>
          <w:i w:val="1"/>
          <w:iCs w:val="1"/>
          <w:color w:val="auto"/>
        </w:rPr>
        <w:t>IN WITNESS WHEREOF</w:t>
      </w:r>
      <w:r>
        <w:rPr>
          <w:rFonts w:ascii="Arial" w:cs="Arial" w:eastAsia="Arial" w:hAnsi="Arial"/>
          <w:sz w:val="18"/>
          <w:szCs w:val="18"/>
          <w:color w:val="auto"/>
        </w:rPr>
        <w:t>, the parties hereto have caused this Designated Borrower Request and Assumption Agreement to be duly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their proper and duly authorized officers as of the day and year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[DESIGNATED BORROWER NAME]</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[Jurisdiction and Type of Organization]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ABM INDUSTRIES INCORPORATED, as the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4" w:right="25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color w:val="auto"/>
        </w:rPr>
        <w:t>EXHIBIT K</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Schedules to Credit Agreement and Security Documents</w:t>
      </w:r>
    </w:p>
    <w:p>
      <w:pPr>
        <w:spacing w:after="0" w:line="22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[TO BE COMPLETED BY DESIGNATED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12"/>
        </w:trPr>
        <w:tc>
          <w:tcPr>
            <w:tcW w:w="9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ind w:left="1000"/>
              <w:spacing w:after="0"/>
              <w:rPr>
                <w:sz w:val="20"/>
                <w:szCs w:val="20"/>
                <w:color w:val="auto"/>
              </w:rPr>
            </w:pPr>
            <w:r>
              <w:rPr>
                <w:rFonts w:ascii="Arial" w:cs="Arial" w:eastAsia="Arial" w:hAnsi="Arial"/>
                <w:sz w:val="18"/>
                <w:szCs w:val="18"/>
                <w:color w:val="auto"/>
              </w:rPr>
              <w:t>EXHIBIT L</w:t>
            </w:r>
          </w:p>
        </w:tc>
      </w:tr>
      <w:tr>
        <w:trPr>
          <w:trHeight w:val="234"/>
        </w:trPr>
        <w:tc>
          <w:tcPr>
            <w:tcW w:w="920" w:type="dxa"/>
            <w:vAlign w:val="bottom"/>
          </w:tcPr>
          <w:p>
            <w:pPr>
              <w:spacing w:after="0"/>
              <w:rPr>
                <w:sz w:val="20"/>
                <w:szCs w:val="20"/>
                <w:color w:val="auto"/>
              </w:rPr>
            </w:pPr>
          </w:p>
        </w:tc>
        <w:tc>
          <w:tcPr>
            <w:tcW w:w="10500" w:type="dxa"/>
            <w:vAlign w:val="bottom"/>
            <w:gridSpan w:val="5"/>
          </w:tcPr>
          <w:p>
            <w:pPr>
              <w:ind w:left="2760"/>
              <w:spacing w:after="0"/>
              <w:rPr>
                <w:sz w:val="20"/>
                <w:szCs w:val="20"/>
                <w:color w:val="auto"/>
              </w:rPr>
            </w:pPr>
            <w:r>
              <w:rPr>
                <w:rFonts w:ascii="Arial" w:cs="Arial" w:eastAsia="Arial" w:hAnsi="Arial"/>
                <w:sz w:val="18"/>
                <w:szCs w:val="18"/>
                <w:b w:val="1"/>
                <w:bCs w:val="1"/>
                <w:color w:val="auto"/>
              </w:rPr>
              <w:t>[FORM OF] DESIGNATED BORROWER NOTICE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rPr>
              <w:t>Bank of America, N.A., as Administrative Agent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RE:</w:t>
            </w: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w w:val="90"/>
              </w:rPr>
              <w:t>Credit Agreement (as amended, modified, supplemented, extended, increased and restated from time to time, the “Credit Agreement”) dated</w:t>
            </w:r>
          </w:p>
        </w:tc>
      </w:tr>
      <w:tr>
        <w:trPr>
          <w:trHeight w:val="20"/>
        </w:trPr>
        <w:tc>
          <w:tcPr>
            <w:tcW w:w="9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gridSpan w:val="5"/>
          </w:tcPr>
          <w:p>
            <w:pPr>
              <w:ind w:left="380"/>
              <w:spacing w:after="0" w:line="196" w:lineRule="exact"/>
              <w:rPr>
                <w:sz w:val="20"/>
                <w:szCs w:val="20"/>
                <w:color w:val="auto"/>
              </w:rPr>
            </w:pPr>
            <w:r>
              <w:rPr>
                <w:rFonts w:ascii="Arial" w:cs="Arial" w:eastAsia="Arial" w:hAnsi="Arial"/>
                <w:sz w:val="18"/>
                <w:szCs w:val="18"/>
                <w:color w:val="auto"/>
                <w:w w:val="96"/>
              </w:rPr>
              <w:t>as of September 1, 2017, among ABM Industries Incorporated, a Delaware corporation (the “Company”), the Designated Borrowers</w:t>
            </w:r>
          </w:p>
        </w:tc>
      </w:tr>
      <w:tr>
        <w:trPr>
          <w:trHeight w:val="20"/>
        </w:trPr>
        <w:tc>
          <w:tcPr>
            <w:tcW w:w="9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w w:val="97"/>
              </w:rPr>
              <w:t>identified therein, the Lenders identified therein and Bank of America, N.A., as Administrative Agent, Issuing Lender and Swingline</w:t>
            </w:r>
          </w:p>
        </w:tc>
      </w:tr>
      <w:tr>
        <w:trPr>
          <w:trHeight w:val="230"/>
        </w:trPr>
        <w:tc>
          <w:tcPr>
            <w:tcW w:w="920" w:type="dxa"/>
            <w:vAlign w:val="bottom"/>
          </w:tcPr>
          <w:p>
            <w:pPr>
              <w:spacing w:after="0"/>
              <w:rPr>
                <w:sz w:val="20"/>
                <w:szCs w:val="20"/>
                <w:color w:val="auto"/>
              </w:rPr>
            </w:pP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rPr>
              <w:t>Lender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0500" w:type="dxa"/>
            <w:vAlign w:val="bottom"/>
            <w:gridSpan w:val="5"/>
          </w:tcPr>
          <w:p>
            <w:pPr>
              <w:ind w:left="380"/>
              <w:spacing w:after="0"/>
              <w:rPr>
                <w:sz w:val="20"/>
                <w:szCs w:val="20"/>
                <w:color w:val="auto"/>
              </w:rPr>
            </w:pPr>
            <w:r>
              <w:rPr>
                <w:rFonts w:ascii="Arial" w:cs="Arial" w:eastAsia="Arial" w:hAnsi="Arial"/>
                <w:sz w:val="18"/>
                <w:szCs w:val="18"/>
                <w:color w:val="auto"/>
              </w:rPr>
              <w:t>[Date]</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and not otherwise defined shall have the meanings set forth in the Credit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Administrative Agent hereby notifies the Company and the Revolving Lenders that effective as of the date hereof [_________________________] shall be a Designated Borrower and may receive Revolving Loans for its account on the terms and conditions set forth in the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Designated Borrower Notice shall constitute a Loan Document under the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5" w:name="page316"/>
    <w:bookmarkEnd w:id="315"/>
    <w:p>
      <w:pPr>
        <w:ind w:left="10680"/>
        <w:spacing w:after="0"/>
        <w:rPr>
          <w:sz w:val="20"/>
          <w:szCs w:val="20"/>
          <w:color w:val="auto"/>
        </w:rPr>
      </w:pPr>
      <w:r>
        <w:rPr>
          <w:rFonts w:ascii="Arial" w:cs="Arial" w:eastAsia="Arial" w:hAnsi="Arial"/>
          <w:sz w:val="17"/>
          <w:szCs w:val="17"/>
          <w:color w:val="auto"/>
        </w:rPr>
        <w:t>Exhibit 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INTERCOMPANY NOTE</w:t>
      </w:r>
    </w:p>
    <w:p>
      <w:pPr>
        <w:spacing w:after="0" w:line="229" w:lineRule="exact"/>
        <w:rPr>
          <w:sz w:val="20"/>
          <w:szCs w:val="20"/>
          <w:color w:val="auto"/>
        </w:rPr>
      </w:pPr>
    </w:p>
    <w:p>
      <w:pPr>
        <w:ind w:left="10060"/>
        <w:spacing w:after="0"/>
        <w:rPr>
          <w:sz w:val="20"/>
          <w:szCs w:val="20"/>
          <w:color w:val="auto"/>
        </w:rPr>
      </w:pPr>
      <w:r>
        <w:rPr>
          <w:rFonts w:ascii="Arial" w:cs="Arial" w:eastAsia="Arial" w:hAnsi="Arial"/>
          <w:sz w:val="15"/>
          <w:szCs w:val="15"/>
          <w:color w:val="auto"/>
        </w:rPr>
        <w:t>September 1, 2017</w:t>
      </w:r>
    </w:p>
    <w:p>
      <w:pPr>
        <w:spacing w:after="0" w:line="26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Each of the parties identified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(each, an “</w:t>
      </w:r>
      <w:r>
        <w:rPr>
          <w:rFonts w:ascii="Arial" w:cs="Arial" w:eastAsia="Arial" w:hAnsi="Arial"/>
          <w:sz w:val="16"/>
          <w:szCs w:val="16"/>
          <w:u w:val="single" w:color="auto"/>
          <w:color w:val="auto"/>
        </w:rPr>
        <w:t>Issuer</w:t>
      </w:r>
      <w:r>
        <w:rPr>
          <w:rFonts w:ascii="Arial" w:cs="Arial" w:eastAsia="Arial" w:hAnsi="Arial"/>
          <w:sz w:val="16"/>
          <w:szCs w:val="16"/>
          <w:color w:val="auto"/>
        </w:rPr>
        <w:t xml:space="preserve">”) hereby promises to pay, when due and payable, to each applicable party identified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Holder</w:t>
      </w:r>
      <w:r>
        <w:rPr>
          <w:rFonts w:ascii="Arial" w:cs="Arial" w:eastAsia="Arial" w:hAnsi="Arial"/>
          <w:sz w:val="16"/>
          <w:szCs w:val="16"/>
          <w:color w:val="auto"/>
        </w:rPr>
        <w:t>” and, together with the Issuers, a “</w:t>
      </w:r>
      <w:r>
        <w:rPr>
          <w:rFonts w:ascii="Arial" w:cs="Arial" w:eastAsia="Arial" w:hAnsi="Arial"/>
          <w:sz w:val="16"/>
          <w:szCs w:val="16"/>
          <w:u w:val="single" w:color="auto"/>
          <w:color w:val="auto"/>
        </w:rPr>
        <w:t>Note Party</w:t>
      </w:r>
      <w:r>
        <w:rPr>
          <w:rFonts w:ascii="Arial" w:cs="Arial" w:eastAsia="Arial" w:hAnsi="Arial"/>
          <w:sz w:val="16"/>
          <w:szCs w:val="16"/>
          <w:color w:val="auto"/>
        </w:rPr>
        <w:t>”), in the applicable currency in immediately available funds, at such location as the applicable Holder shall from time to time designate, all Indebtedness (as defined in the Credit Agreement (as defined below)) as may be owing from time to time on and after the date hereof by each such Issuer to each such applicable Holder, whether owing in consideration of loans, advances or other extensions of credit, together with interest thereon (if any) at such rate as may be agreed upon from time to time.</w:t>
      </w:r>
    </w:p>
    <w:p>
      <w:pPr>
        <w:spacing w:after="0" w:line="15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Upon the commencement of any bankruptcy or insolvency proceeding, and any reorganization, arrangement, adjustment of debt, relief of debtors, dissolution, receivership or liquidation or similar proceeding in connection therewith, of any jurisdiction relating to any Issuer (in each case, except as expressly permitted by the Credit Agreement (as defined below)), all amounts owed by such Issuer to each Holder shall become immediately due and payable without presentment, demand, protest or notice of any kind in connection with this Note.</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All payments under this Note shall be made without setoff, counterclaim or deduction of any kind. If any Event of Default under the Credit Agreement has occurred and is continuing and the Agent (as defined below) has provided written notice to the Issuers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notice shall be required to be given in the case of any Event of Default arising under clauses (h) or (i) of Article VII of the Credit Agreement), then no amount owing by any Issuer to any Holder shall be reduced in any way by any outstanding obligations of the Holder to such Issuer, whether such obligations are monetary or otherwise. Upon the cure of such Event of Default, any such reductions shall be permitted to be made.</w:t>
      </w:r>
    </w:p>
    <w:p>
      <w:pPr>
        <w:spacing w:after="0" w:line="17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Each Holder is hereby authorized to record all Indebtedness owing by the Issuers to such Holder, all of which shall be evidenced by this Note, and all repayments thereof, in its books and records in accordance with its usual practice, such books and records constituting prima facie evidence of the accuracy of the information contained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Holder to record such information shall not affect any Issuer’s obligations hereunder.</w:t>
      </w:r>
    </w:p>
    <w:p>
      <w:pPr>
        <w:spacing w:after="0" w:line="18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To the fullest extent permitted by applicable law, each Issuer hereby waives diligence, presentment, demand, protest and notice of any kind whatsoever. No delay on the part of any Holder in the exercise of any right, power or remedy shall operate as a waiver thereof, nor shall any single or partial exercise of any right, power or remedy preclude any other or further exercise thereof, or the exercise of any other right, power or remedy. No amendment, modification or waiver of, or consent with respect to, any provision of this Note shall in any event be effective against any party hereto unless the same shall be in writing and signed and delivered by such party. This Note shall be construed as a separate agreement with respect to each item of Indebtedness governed by this Note owed by an Issuer to a Holder and may be amended, modified, supplemented, waived or released with respect to any such Issuer or such Holder with respect to such item of Indebtedness without the approval of any other party hereto and without affecting the obligations of any other Issuer or Holder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6" w:name="page317"/>
    <w:bookmarkEnd w:id="316"/>
    <w:p>
      <w:pPr>
        <w:jc w:val="both"/>
        <w:ind w:firstLine="1297"/>
        <w:spacing w:after="0" w:line="259" w:lineRule="auto"/>
        <w:rPr>
          <w:sz w:val="20"/>
          <w:szCs w:val="20"/>
          <w:color w:val="auto"/>
        </w:rPr>
      </w:pPr>
      <w:r>
        <w:rPr>
          <w:rFonts w:ascii="Arial" w:cs="Arial" w:eastAsia="Arial" w:hAnsi="Arial"/>
          <w:sz w:val="18"/>
          <w:szCs w:val="18"/>
          <w:color w:val="auto"/>
        </w:rPr>
        <w:t>Upon execution and delivery after the date hereof by any subsidiary of the Company of a counterpart signature page hereto, such subsidiary shall become an Issuer and/or Holder, as applicable, hereunder with the same force and effect as if originally named as an Issuer and/or a Holder, as applicable, hereunder. The rights and obligations of each Note Party hereunder shall remain in full force and effect notwithstanding the addition of any new Note Party as a party to this Note.</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Pursuant to the Credit Agreement, dated as of September 1, 2017 (as amended, restated, supplemented or otherwise modified from time to time, the “Credit Agreement”), among ABM Industries Incorporated, a Delaware corporation (the “Company”), certain Subsidiaries of the Company that become party thereto from time to time pursuant to Section 2.26 thereof (each a “</w:t>
      </w:r>
      <w:r>
        <w:rPr>
          <w:rFonts w:ascii="Arial" w:cs="Arial" w:eastAsia="Arial" w:hAnsi="Arial"/>
          <w:sz w:val="17"/>
          <w:szCs w:val="17"/>
          <w:u w:val="single" w:color="auto"/>
          <w:color w:val="auto"/>
        </w:rPr>
        <w:t>Designated Borrower</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Bank of America, N.A., as Administrative Agent (the “</w:t>
      </w:r>
      <w:r>
        <w:rPr>
          <w:rFonts w:ascii="Arial" w:cs="Arial" w:eastAsia="Arial" w:hAnsi="Arial"/>
          <w:sz w:val="17"/>
          <w:szCs w:val="17"/>
          <w:u w:val="single" w:color="auto"/>
          <w:color w:val="auto"/>
        </w:rPr>
        <w:t>Agent</w:t>
      </w:r>
      <w:r>
        <w:rPr>
          <w:rFonts w:ascii="Arial" w:cs="Arial" w:eastAsia="Arial" w:hAnsi="Arial"/>
          <w:sz w:val="17"/>
          <w:szCs w:val="17"/>
          <w:color w:val="auto"/>
        </w:rPr>
        <w:t>”) and the other persons from time to time party thereto, this Note shall be pledged by each Holder that is a Loan Party (and each such Holder hereby so pledges it) in accordance with the applicable Security Document (as defined in the Credit Agreement) to secure the Senior Indebtedness (as defined in Annex A hereto). The liens and security interests granted by the Holders in this Note are expressly subject to the terms of any Intercreditor Agreement (as defined in the Credit Agreement) entered into pursuant to the terms of the Credit Agreement.</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Note, and all of each Issuer’s obligations hereunder, shall be subordinate and junior to all Senior Indebtedness, regardless of the tranche(s), class(es) or series of Senior Indebtedness, with respect to which such Issuer, or the Holder of obligations owed by such Issuer, is obligated or provides security, on the terms and conditions set forth in Annex A hereto, which Annex A is incorporated herein by reference and made a part hereof in its entirety.</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With respect to any Issuer and any Holder between whom Indebtedness exists as of the date of this Note (such Indebtedness,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(a) if any Existing Obligation is evidenced by a promissory note or other instrument or agreement in existence as of the date hereof (an “</w:t>
      </w:r>
      <w:r>
        <w:rPr>
          <w:rFonts w:ascii="Arial" w:cs="Arial" w:eastAsia="Arial" w:hAnsi="Arial"/>
          <w:sz w:val="18"/>
          <w:szCs w:val="18"/>
          <w:u w:val="single" w:color="auto"/>
          <w:color w:val="auto"/>
        </w:rPr>
        <w:t>Original Note</w:t>
      </w:r>
      <w:r>
        <w:rPr>
          <w:rFonts w:ascii="Arial" w:cs="Arial" w:eastAsia="Arial" w:hAnsi="Arial"/>
          <w:sz w:val="18"/>
          <w:szCs w:val="18"/>
          <w:color w:val="auto"/>
        </w:rPr>
        <w:t xml:space="preserve">”), it is agreed to between such Issuer and such Holder that notwithstanding any provision to the contrary in this Note (other than the following proviso), the Original Note shall remain in effect in its present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Original Note shall be subject to the terms and conditions set forth in Annex A hereto if and to the extent the Holder of such Original Note is a Loan Party, then such Original Note shall have been pledged pursuant to the Collateral Agreement (as defined in the Credit Agreement) to the extent required by the Collateral and Guarantee Requirement (as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7" w:name="page318"/>
    <w:bookmarkEnd w:id="317"/>
    <w:p>
      <w:pPr>
        <w:ind w:firstLine="1297"/>
        <w:spacing w:after="0" w:line="277" w:lineRule="auto"/>
        <w:rPr>
          <w:sz w:val="20"/>
          <w:szCs w:val="20"/>
          <w:color w:val="auto"/>
        </w:rPr>
      </w:pPr>
      <w:r>
        <w:rPr>
          <w:rFonts w:ascii="Arial" w:cs="Arial" w:eastAsia="Arial" w:hAnsi="Arial"/>
          <w:sz w:val="18"/>
          <w:szCs w:val="18"/>
          <w:color w:val="auto"/>
        </w:rPr>
        <w:t>Notwithstanding anything to the contrary herein (except as set forth in the subordination provisions in Annex A), this Note may be enforced only by the Agent and its permitted successors in such capacity.</w:t>
      </w:r>
    </w:p>
    <w:p>
      <w:pPr>
        <w:spacing w:after="0" w:line="16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THIS NOTE AND THE RIGHTS AND OBLIGATIONS HEREUNDER SHALL BE GOVERNED BY AND CONSTRUED IN ACCORDANCE WITH THE LAWS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8" w:name="page319"/>
    <w:bookmarkEnd w:id="318"/>
    <w:p>
      <w:pPr>
        <w:ind w:left="452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Thomas J. Gallo</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Intercompany 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ABM AVIATION, INC.</w:t>
      </w:r>
    </w:p>
    <w:p>
      <w:pPr>
        <w:spacing w:after="0" w:line="23" w:lineRule="exact"/>
        <w:rPr>
          <w:sz w:val="20"/>
          <w:szCs w:val="20"/>
          <w:color w:val="auto"/>
        </w:rPr>
      </w:pPr>
    </w:p>
    <w:p>
      <w:pPr>
        <w:ind w:right="1340"/>
        <w:spacing w:after="0" w:line="250" w:lineRule="auto"/>
        <w:rPr>
          <w:sz w:val="20"/>
          <w:szCs w:val="20"/>
          <w:color w:val="auto"/>
        </w:rPr>
      </w:pPr>
      <w:r>
        <w:rPr>
          <w:rFonts w:ascii="Arial" w:cs="Arial" w:eastAsia="Arial" w:hAnsi="Arial"/>
          <w:sz w:val="18"/>
          <w:szCs w:val="18"/>
          <w:color w:val="auto"/>
        </w:rPr>
        <w:t>ABM BUILDING &amp; ENERGY SOLUTIONS, LLC ABM BUILDING SERVICES, LLC ABM BUILDING SOLUTIONS, LLC</w:t>
      </w:r>
    </w:p>
    <w:p>
      <w:pPr>
        <w:spacing w:after="0" w:line="1" w:lineRule="exact"/>
        <w:rPr>
          <w:sz w:val="20"/>
          <w:szCs w:val="20"/>
          <w:color w:val="auto"/>
        </w:rPr>
      </w:pPr>
    </w:p>
    <w:p>
      <w:pPr>
        <w:ind w:right="960"/>
        <w:spacing w:after="0" w:line="250" w:lineRule="auto"/>
        <w:rPr>
          <w:sz w:val="20"/>
          <w:szCs w:val="20"/>
          <w:color w:val="auto"/>
        </w:rPr>
      </w:pPr>
      <w:r>
        <w:rPr>
          <w:rFonts w:ascii="Arial" w:cs="Arial" w:eastAsia="Arial" w:hAnsi="Arial"/>
          <w:sz w:val="18"/>
          <w:szCs w:val="18"/>
          <w:color w:val="auto"/>
        </w:rPr>
        <w:t>ABM ELECTRICAL &amp; LIGHTING SERVICES, LLC ABM ELECTRICAL &amp; LIGHTING SOLUTIONS, INC. ABM ELECTRICAL NETWORK, INC.</w:t>
      </w:r>
    </w:p>
    <w:p>
      <w:pPr>
        <w:spacing w:after="0" w:line="1" w:lineRule="exact"/>
        <w:rPr>
          <w:sz w:val="20"/>
          <w:szCs w:val="20"/>
          <w:color w:val="auto"/>
        </w:rPr>
      </w:pPr>
    </w:p>
    <w:p>
      <w:pPr>
        <w:ind w:right="1380"/>
        <w:spacing w:after="0" w:line="250" w:lineRule="auto"/>
        <w:rPr>
          <w:sz w:val="20"/>
          <w:szCs w:val="20"/>
          <w:color w:val="auto"/>
        </w:rPr>
      </w:pPr>
      <w:r>
        <w:rPr>
          <w:rFonts w:ascii="Arial" w:cs="Arial" w:eastAsia="Arial" w:hAnsi="Arial"/>
          <w:sz w:val="18"/>
          <w:szCs w:val="18"/>
          <w:color w:val="auto"/>
        </w:rPr>
        <w:t>ABM ELECTRICAL POWER SERVICES, LLC ABM ELECTRICAL POWER SOLUTIONS, LLC ABM FACILITY SUPPORT SERVICES, LLC ABM FRANCHISING GROUP, LLC ABM GENERAL SERVICES,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ABM HEALTHCARE SUPPORT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INDUSTRY GROUPS,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SECURITY SERVICES, INC.</w:t>
      </w:r>
    </w:p>
    <w:p>
      <w:pPr>
        <w:spacing w:after="0" w:line="9" w:lineRule="exact"/>
        <w:rPr>
          <w:sz w:val="20"/>
          <w:szCs w:val="20"/>
          <w:color w:val="auto"/>
        </w:rPr>
      </w:pPr>
    </w:p>
    <w:p>
      <w:pPr>
        <w:ind w:right="1720"/>
        <w:spacing w:after="0" w:line="250" w:lineRule="auto"/>
        <w:rPr>
          <w:sz w:val="20"/>
          <w:szCs w:val="20"/>
          <w:color w:val="auto"/>
        </w:rPr>
      </w:pPr>
      <w:r>
        <w:rPr>
          <w:rFonts w:ascii="Arial" w:cs="Arial" w:eastAsia="Arial" w:hAnsi="Arial"/>
          <w:sz w:val="18"/>
          <w:szCs w:val="18"/>
          <w:color w:val="auto"/>
        </w:rPr>
        <w:t>ABM TEXAS GENERAL SERVICES, INC. ASSOCIATED FACILITY VENTURES, LLC ERIE ACQUISITION HOLDINGS, INC. ERIE MERGER HOLDINGS, LLC GCA CLEANING SPECIALTIES, L.P.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GCA COMMERCIAL SERVICES OF MIDWEST,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GCA EDUCATION SERVICES CENTRAL STATES,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GCA EDUCATION SERVICES OF MIDWEST,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GCA EDUCATION SERVICES OF NEW ENGLAND,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GCA EDUCATION SERVICES,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Thomas J. Gallo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GCA ENERGY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GCA FACILITY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MAINTENANCE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INTERMEDIATE HOLDING CORP.</w:t>
      </w:r>
    </w:p>
    <w:p>
      <w:pPr>
        <w:spacing w:after="0" w:line="9"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GCA INTERNATIONAL MANAGEMENT SERVICES, LLC GCA K12 EDUCATION SERVICES, INC. GCA NUCLEAR FACILITY SERVICES,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GCA PLUMBING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PRODUCTION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MOUNTAIN STATES,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COLORADO,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NORTH CAROLINA,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GCA SERVICES GROUP OF NORTHWESTERN STATES,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SPECIALTY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GCA STAFFING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GRADE SUB TWO,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GREENHOMES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 IRAQ,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 ME,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MECHANICAL SOLUTIONS, INC.</w:t>
      </w:r>
    </w:p>
    <w:p>
      <w:pPr>
        <w:spacing w:after="0" w:line="9" w:lineRule="exact"/>
        <w:rPr>
          <w:sz w:val="20"/>
          <w:szCs w:val="20"/>
          <w:color w:val="auto"/>
        </w:rPr>
      </w:pPr>
    </w:p>
    <w:p>
      <w:pPr>
        <w:ind w:right="1080"/>
        <w:spacing w:after="0" w:line="254" w:lineRule="auto"/>
        <w:rPr>
          <w:sz w:val="20"/>
          <w:szCs w:val="20"/>
          <w:color w:val="auto"/>
        </w:rPr>
      </w:pPr>
      <w:r>
        <w:rPr>
          <w:rFonts w:ascii="Arial" w:cs="Arial" w:eastAsia="Arial" w:hAnsi="Arial"/>
          <w:sz w:val="18"/>
          <w:szCs w:val="18"/>
          <w:color w:val="auto"/>
        </w:rPr>
        <w:t>NATIONAL BUILDING MAINTENANCE CORP. ONESOURCE FACILITY SERVICES, INC. ONESOURCE HOLDINGS, LLC ONESOURCE SERVICES LLC</w:t>
      </w:r>
    </w:p>
    <w:p>
      <w:pPr>
        <w:spacing w:after="0" w:line="1056" w:lineRule="exact"/>
        <w:rPr>
          <w:sz w:val="20"/>
          <w:szCs w:val="20"/>
          <w:color w:val="auto"/>
        </w:rPr>
      </w:pPr>
    </w:p>
    <w:p>
      <w:pPr>
        <w:sectPr>
          <w:pgSz w:w="11900" w:h="16838" w:orient="portrait"/>
          <w:cols w:equalWidth="0" w:num="2">
            <w:col w:w="5100" w:space="720"/>
            <w:col w:w="4820"/>
          </w:cols>
          <w:pgMar w:left="240" w:top="935" w:right="1019" w:bottom="1440" w:gutter="0" w:footer="0" w:header="0"/>
        </w:sectPr>
      </w:pPr>
    </w:p>
    <w:p>
      <w:pPr>
        <w:spacing w:after="0" w:line="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Intercompany Note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935" w:right="1019" w:bottom="1440" w:gutter="0" w:footer="0" w:header="0"/>
          <w:type w:val="continuous"/>
        </w:sectPr>
      </w:pPr>
    </w:p>
    <w:bookmarkStart w:id="320" w:name="page321"/>
    <w:bookmarkEnd w:id="320"/>
    <w:p>
      <w:pPr>
        <w:ind w:left="4520"/>
        <w:spacing w:after="0"/>
        <w:rPr>
          <w:sz w:val="20"/>
          <w:szCs w:val="20"/>
          <w:color w:val="auto"/>
        </w:rPr>
      </w:pPr>
      <w:r>
        <w:rPr>
          <w:rFonts w:ascii="Arial" w:cs="Arial" w:eastAsia="Arial" w:hAnsi="Arial"/>
          <w:sz w:val="17"/>
          <w:szCs w:val="17"/>
          <w:color w:val="auto"/>
        </w:rPr>
        <w:t>ASSOCIATED FACILITY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GCA SERVICES GROUP OF TEXAS, L.P.</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Randy Twyman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 – Finance, Chief</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Financial Officer and Secretary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Intercompany Note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SUBORDINATION PROVISIONS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Subordination of Liabilities</w:t>
      </w:r>
      <w:r>
        <w:rPr>
          <w:rFonts w:ascii="Arial" w:cs="Arial" w:eastAsia="Arial" w:hAnsi="Arial"/>
          <w:sz w:val="17"/>
          <w:szCs w:val="17"/>
          <w:color w:val="auto"/>
        </w:rPr>
        <w:t>. Each Issuer, for itself, and its successors and assigns, covenants and agrees, and each Holder of the Note to which this Annex A is attached (the “</w:t>
      </w:r>
      <w:r>
        <w:rPr>
          <w:rFonts w:ascii="Arial" w:cs="Arial" w:eastAsia="Arial" w:hAnsi="Arial"/>
          <w:sz w:val="17"/>
          <w:szCs w:val="17"/>
          <w:u w:val="single" w:color="auto"/>
          <w:color w:val="auto"/>
        </w:rPr>
        <w:t>Note</w:t>
      </w:r>
      <w:r>
        <w:rPr>
          <w:rFonts w:ascii="Arial" w:cs="Arial" w:eastAsia="Arial" w:hAnsi="Arial"/>
          <w:sz w:val="17"/>
          <w:szCs w:val="17"/>
          <w:color w:val="auto"/>
        </w:rPr>
        <w:t>”) by its acceptance thereof likewise covenants and agrees, that the payment of the principal of, interest on, and all other amounts owing in respect of, the Note (the “</w:t>
      </w:r>
      <w:r>
        <w:rPr>
          <w:rFonts w:ascii="Arial" w:cs="Arial" w:eastAsia="Arial" w:hAnsi="Arial"/>
          <w:sz w:val="17"/>
          <w:szCs w:val="17"/>
          <w:u w:val="single" w:color="auto"/>
          <w:color w:val="auto"/>
        </w:rPr>
        <w:t>Subordinated Indebtedness</w:t>
      </w:r>
      <w:r>
        <w:rPr>
          <w:rFonts w:ascii="Arial" w:cs="Arial" w:eastAsia="Arial" w:hAnsi="Arial"/>
          <w:sz w:val="17"/>
          <w:szCs w:val="17"/>
          <w:color w:val="auto"/>
        </w:rPr>
        <w:t>”) is hereby expressly subordinated, to the extent and in the manner hereinafter set forth, to the prior payment in full in cash of all Senior Indebtedness (as defined in Section 1.07 of this Annex A) other than contingent indemnification, expense reimbursement obligations and tax gross-up or yield protection obligations which, in each case, survive the termination of the Senior Indebtedness and in respect of which no claim has been made (“</w:t>
      </w:r>
      <w:r>
        <w:rPr>
          <w:rFonts w:ascii="Arial" w:cs="Arial" w:eastAsia="Arial" w:hAnsi="Arial"/>
          <w:sz w:val="17"/>
          <w:szCs w:val="17"/>
          <w:u w:val="single" w:color="auto"/>
          <w:color w:val="auto"/>
        </w:rPr>
        <w:t>Payment in Full</w:t>
      </w:r>
      <w:r>
        <w:rPr>
          <w:rFonts w:ascii="Arial" w:cs="Arial" w:eastAsia="Arial" w:hAnsi="Arial"/>
          <w:sz w:val="17"/>
          <w:szCs w:val="17"/>
          <w:color w:val="auto"/>
        </w:rPr>
        <w:t>”). The provisions of this Annex A shall constitute a continuing offer to all persons who, in reliance upon such provisions, become holders of, or continue to hold, Senior Indebtedness, and such provisions are made for the benefit of the holders of Senior Indebtedness, and such holders are hereby made obligees hereunder the same as if their names were written herein as such, and they and/or each of them may proceed to enforce such provisions.</w:t>
      </w:r>
    </w:p>
    <w:p>
      <w:pPr>
        <w:spacing w:after="0" w:line="18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Issuers Not to Make Payments with Respect to Subordinated Indebtedness in Certain Circumstances</w:t>
      </w:r>
      <w:r>
        <w:rPr>
          <w:rFonts w:ascii="Arial" w:cs="Arial" w:eastAsia="Arial" w:hAnsi="Arial"/>
          <w:sz w:val="18"/>
          <w:szCs w:val="18"/>
          <w:color w:val="auto"/>
        </w:rPr>
        <w:t>. (a) Upon the maturity of any Senior Indebtedness (including interest thereon, premium, if any, or fees or any amounts owing in respect thereof) in accordance with the terms of the Credit Agreement, whether at stated maturity, by acceleration or otherwise, all Senior Indebtedness shall first be paid in full in cash, before any payment (whether in cash, property, securities or otherwise, in each case other than Restructured Debt Securities (as defined below)) is made on account of the Subordinated Indebtedness.</w:t>
      </w:r>
    </w:p>
    <w:p>
      <w:pPr>
        <w:spacing w:after="0" w:line="188" w:lineRule="exact"/>
        <w:rPr>
          <w:sz w:val="20"/>
          <w:szCs w:val="20"/>
          <w:color w:val="auto"/>
        </w:rPr>
      </w:pPr>
    </w:p>
    <w:p>
      <w:pPr>
        <w:jc w:val="both"/>
        <w:ind w:firstLine="1305"/>
        <w:spacing w:after="0" w:line="254" w:lineRule="auto"/>
        <w:tabs>
          <w:tab w:leader="none" w:pos="158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Issuer that is a Loan Party may, directly or indirectly, make any payment of any Subordinated Indebtedness or acquire any Subordinated Indebtedness for cash or property until all Senior Indebtedness has been paid in full in cash if any Event of Default under the Credit Agreement referred to below or any other issue of Senior Indebtedness is then in existence or would result therefrom and the Agent (as defined below) has provided written notice to the Issuers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notice shall be required to be given in the case of any Event of Default arising under clauses (h) or (i) of Article VII of the Credit Agreement). Each Holder agrees that, so long as any such Event of Default exists and the Agent has provided written notice to the Holders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notice shall be required to be given in the case of any Event of Default arising under clauses (h) or (i) of Article VII of the Credit Agreement), it will not ask, demand, sue for, or otherwise take, accept or receive, any amounts owing in respect of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22" w:name="page323"/>
    <w:bookmarkEnd w:id="322"/>
    <w:p>
      <w:pPr>
        <w:jc w:val="both"/>
        <w:ind w:firstLine="1305"/>
        <w:spacing w:after="0" w:line="269" w:lineRule="auto"/>
        <w:tabs>
          <w:tab w:leader="none" w:pos="154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 the event that, notwithstanding the provisions of the preceding subsections (a) and (b) of this Section 1.02, any Issuer shall make any payment on account of (or any Holder receives any payment on account of) the Subordinated Indebtedness at a time when payment is not permitted by said subsection (a) or (b), such payment shall be held by such Holder, in trust for the benefit of, and shall be paid forthwith over and delivered, first, to the Agent, for application, subject to any Intercreditor Agreement (as defined in the Credit Agreement) entered into pursuant to the terms of the Credit Agreement, to the payment of the Obligations (as defined in the Credit Agreement) (the “</w:t>
      </w:r>
      <w:r>
        <w:rPr>
          <w:rFonts w:ascii="Arial" w:cs="Arial" w:eastAsia="Arial" w:hAnsi="Arial"/>
          <w:sz w:val="17"/>
          <w:szCs w:val="17"/>
          <w:u w:val="single" w:color="auto"/>
          <w:color w:val="auto"/>
        </w:rPr>
        <w:t>Credit Agreement Obligations</w:t>
      </w:r>
      <w:r>
        <w:rPr>
          <w:rFonts w:ascii="Arial" w:cs="Arial" w:eastAsia="Arial" w:hAnsi="Arial"/>
          <w:sz w:val="17"/>
          <w:szCs w:val="17"/>
          <w:color w:val="auto"/>
        </w:rPr>
        <w:t>”), remaining unpaid to the extent necessary to pay all such Credit Agreement Obligations in full in cash in accordance with the terms of the Credit Agreement, after giving effect to any concurrent payment or distribution to or for the holders of such Credit Agreement Obligations, and second, to the holders of other Senior Indebtedness or their representative or the trustee under any credit agreement, indenture or other agreement pursuant to which any instruments evidencing any such Senior Indebtedness may have been issued, as their respective interests may appear, for application, subject to any Intercreditor Agreement entered into pursuant to the terms of the Credit Agreement, to the payment of all such Senior Indebtedness (after giving effect to the relative priorities of such Senior Indebtedness) remaining unpaid to the extent necessary to pay all such Senior Indebtedness in full in cash in accordance with the terms of such Senior Indebtedness, after giving effect to any concurrent payment or distribution to or for the holders of such Senior Indebtedness.</w:t>
      </w:r>
    </w:p>
    <w:p>
      <w:pPr>
        <w:spacing w:after="0" w:line="18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Subordination to Prior Payment of All Senior Indebtedness, Dissolution, Liquidation or Reorganization of Issuers</w:t>
      </w:r>
      <w:r>
        <w:rPr>
          <w:rFonts w:ascii="Arial" w:cs="Arial" w:eastAsia="Arial" w:hAnsi="Arial"/>
          <w:sz w:val="16"/>
          <w:szCs w:val="16"/>
          <w:color w:val="auto"/>
        </w:rPr>
        <w:t>. Upon any distribution of assets of any Issuer (in each case, other than debt securities of such Issuer that are subordinated, to at least the same extent as this Note, to the payment of all Senior Indebtedness then outstanding (such debt securities being hereinafter referred to as “</w:t>
      </w:r>
      <w:r>
        <w:rPr>
          <w:rFonts w:ascii="Arial" w:cs="Arial" w:eastAsia="Arial" w:hAnsi="Arial"/>
          <w:sz w:val="16"/>
          <w:szCs w:val="16"/>
          <w:b w:val="1"/>
          <w:bCs w:val="1"/>
          <w:color w:val="auto"/>
        </w:rPr>
        <w:t>Restructured Debt Securities</w:t>
      </w:r>
      <w:r>
        <w:rPr>
          <w:rFonts w:ascii="Arial" w:cs="Arial" w:eastAsia="Arial" w:hAnsi="Arial"/>
          <w:sz w:val="16"/>
          <w:szCs w:val="16"/>
          <w:color w:val="auto"/>
        </w:rPr>
        <w:t>”)) upon dissolution, winding up, liquidation or reorganization of such Issuer (in each case, except as expressly permitted by the Credit Agreement) in connection with any bankruptcy, insolvency or receivership proceedings or upon an assignment for the benefit of creditors until Payment in Full:</w:t>
      </w:r>
    </w:p>
    <w:p>
      <w:pPr>
        <w:spacing w:after="0" w:line="158" w:lineRule="exact"/>
        <w:rPr>
          <w:sz w:val="20"/>
          <w:szCs w:val="20"/>
          <w:color w:val="auto"/>
        </w:rPr>
      </w:pPr>
    </w:p>
    <w:p>
      <w:pPr>
        <w:jc w:val="both"/>
        <w:ind w:firstLine="1305"/>
        <w:spacing w:after="0" w:line="259" w:lineRule="auto"/>
        <w:tabs>
          <w:tab w:leader="none" w:pos="155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holders of all Senior Indebtedness shall first be entitled to receive Payment in Full in cash of all Senior Indebtedness (including, without limitation, post-petition interest at the rate provided in the documentation with respect to the Senior Indebtedness whether or not such post-petition interest is an allowed claim against the debtor in any bankruptcy or similar proceeding) before any Holder is entitled to receive any payment of any kind or character on account of the Subordinated Indebtedness;</w:t>
      </w:r>
    </w:p>
    <w:p>
      <w:pPr>
        <w:spacing w:after="0" w:line="186" w:lineRule="exact"/>
        <w:rPr>
          <w:rFonts w:ascii="Arial" w:cs="Arial" w:eastAsia="Arial" w:hAnsi="Arial"/>
          <w:sz w:val="18"/>
          <w:szCs w:val="18"/>
          <w:color w:val="auto"/>
        </w:rPr>
      </w:pPr>
    </w:p>
    <w:p>
      <w:pPr>
        <w:jc w:val="both"/>
        <w:ind w:firstLine="1305"/>
        <w:spacing w:after="0" w:line="289" w:lineRule="auto"/>
        <w:tabs>
          <w:tab w:leader="none" w:pos="157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any payment or distributions of assets of such Issuer of any kind or character, whether in cash, property or securities, to which the Holder would be entitled except for the provisions of this Annex A, shall be paid by the liquidating trustee or agent or other person making such payment or distribution, whether a trustee in bankruptcy, a receiver or liquidating trustee or other trustee or agent, first, subject to any Intercreditor Agreement entered into pursuant to the terms of the Credit Agreement, directly to the Agent to the extent necessary to make Payment in Full in cash of all Credit Agreement Obligations remaining unpaid after giving effect to any concurrent payment or distribution to the holders of Credit Agreement Obligations and second, subject to any Intercreditor Agreement entered into pursuant to the terms of the Credit Agreement, directly to the holders of other Senior Indebtedness, their representative or representatives, or to the trustee or trustees under any credit agreement, indenture or other agreement under which any instruments evidencing any such Senior Indebtedness may have been issued, to the extent necessary to make Payment in Full in cash of all such Senior Indebtedness remaining unpaid after giving effect to any concurrent payment or distribution to the holders of such Senior Indebtedness;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3" w:name="page324"/>
    <w:bookmarkEnd w:id="323"/>
    <w:p>
      <w:pPr>
        <w:jc w:val="both"/>
        <w:ind w:firstLine="1305"/>
        <w:spacing w:after="0" w:line="288" w:lineRule="auto"/>
        <w:tabs>
          <w:tab w:leader="none" w:pos="155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in the event that, notwithstanding the foregoing provisions of this Section 1.03, any payment or distribution of assets of such Issuer of any kind or character, whether they be cash, property or securities, shall be received by the Holder on account of Subordinated Indebtedness prior to Payment in Full in cash of all Senior Indebtedness, such payment or distribution shall be received and held in trust for and shall forthwith be paid over first, subject to any Intercreditor Agreement entered into pursuant to the terms of the Credit Agreement, to the Agent, for application to the payment of the Credit Agreement Obligations until all Credit Agreement Obligations shall have been paid in full in cash, after giving effect to any concurrent payment or distribution to the holders of Credit Agreement Obligations, and second, subject to any Intercreditor Agreement entered into pursuant to the terms of the Credit Agreement, to the holders of the Senior Indebtedness (after giving effect to the relative priorities of such Senior Indebtedness) remaining unpaid or unprovided for or their representative or representatives, or to the trustee or trustees under any credit agreement, indenture or other agreement under which any instruments evidencing any such Senior Indebtedness may have been issued, for application to the payment of such Senior Indebtedness until all such Senior Indebtedness shall have been paid in full in cash, after giving effect to any concurrent payment or distribution to the holders of such Senior Indebtedness.</w:t>
      </w:r>
    </w:p>
    <w:p>
      <w:pPr>
        <w:spacing w:after="0" w:line="16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Without in any way modifying the provisions of this Annex A or affecting the subordination effected hereby if the hereafter referenced notice is not given, each Issuer shall give prompt written notice to the Holder of any dissolution, winding up, liquidation or reorganization of such Issuer in connection with any bankruptcy, insolvency or receivership proceedings or upon assignment for the benefit of creditors or otherwise (in each case, except as expressly permitted by the Credit Agreement).</w:t>
      </w:r>
    </w:p>
    <w:p>
      <w:pPr>
        <w:spacing w:after="0" w:line="1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Subrogation</w:t>
      </w:r>
      <w:r>
        <w:rPr>
          <w:rFonts w:ascii="Arial" w:cs="Arial" w:eastAsia="Arial" w:hAnsi="Arial"/>
          <w:sz w:val="17"/>
          <w:szCs w:val="17"/>
          <w:color w:val="auto"/>
        </w:rPr>
        <w:t>. Subject to the prior Payment in Full in cash of all Senior Indebtedness, each Holder shall be subrogated to the rights of the holders of Senior Indebtedness to receive payments or distributions of assets of the Issuers applicable to the Senior Indebtedness until all amounts owing on the Note shall be paid in full, and for the purpose of such subrogation no payments or distributions to the holders of the Senior Indebtedness by or on behalf of any Issuer or by or on behalf of any Holder by virtue of this Annex A that otherwise would have been made to a Holder shall, as between such Issuer, its creditors other than the holders of Senior Indebtedness, and such Holder, be deemed to be payment by such Issuer to or on account of the Senior Indebtedness, it being understood that the provisions of this Annex A are and are intended solely for the purpose of defining the relative rights of the Holders, on the one hand, and the holders of the Senior Indebtedness,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4" w:name="page325"/>
    <w:bookmarkEnd w:id="324"/>
    <w:p>
      <w:pPr>
        <w:jc w:val="both"/>
        <w:ind w:firstLine="1297"/>
        <w:spacing w:after="0" w:line="26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Obligation of the Issuers Unconditional</w:t>
      </w:r>
      <w:r>
        <w:rPr>
          <w:rFonts w:ascii="Arial" w:cs="Arial" w:eastAsia="Arial" w:hAnsi="Arial"/>
          <w:sz w:val="17"/>
          <w:szCs w:val="17"/>
          <w:color w:val="auto"/>
        </w:rPr>
        <w:t>. Nothing contained in this Annex A or in the Note is intended to or shall impair, as between the Issuers and the Holders, the obligation of each Issuer, which is absolute and unconditional, to pay to the Holders the principal of and interest on the Note as and when the same shall become due and payable in accordance with their terms, or is intended to or shall affect the relative rights of the Holders and other creditors of the Issuers other than the holders of the Senior Indebtedness, nor, except as specifically provided herein, shall anything herein or therein prevent the Holders from exercising all remedies otherwise permitted by applicable law upon an event of default under the Note, subject to the rights, if any, under this Annex A of the holders of Senior Indebtedness in respect of cash, property, or securities of the Issuers received upon the exercise of any such remedy. Upon any distribution of assets of an Issuer, each Holder shall be entitled to rely upon any order or decree made by any court of competent jurisdiction in which such dissolution, winding up, liquidation or reorganization proceedings are pending, or a certificate of the liquidating trustee or agent or other person making any distribution to the Holders,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Annex A.</w:t>
      </w:r>
    </w:p>
    <w:p>
      <w:pPr>
        <w:spacing w:after="0" w:line="183"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Subordination Rights Not Impaired by Acts or Omissions of the Issuers or Holders of Senior Indebtedness</w:t>
      </w:r>
      <w:r>
        <w:rPr>
          <w:rFonts w:ascii="Arial" w:cs="Arial" w:eastAsia="Arial" w:hAnsi="Arial"/>
          <w:sz w:val="16"/>
          <w:szCs w:val="16"/>
          <w:color w:val="auto"/>
        </w:rPr>
        <w:t>. No right of any present or future holders of any Senior Indebtedness to enforce subordination as herein provided shall at any time in any way be prejudiced or impaired by any act or failure to act on the part of an Issuer or by any act or failure to act in good faith by any such holder, or by any noncompliance by an Issuer with the terms and provisions of the Note, regardless of any knowledge thereof which any such holder may have or be otherwise charged with.</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Senior Indebtedness</w:t>
      </w:r>
      <w:r>
        <w:rPr>
          <w:rFonts w:ascii="Arial" w:cs="Arial" w:eastAsia="Arial" w:hAnsi="Arial"/>
          <w:sz w:val="18"/>
          <w:szCs w:val="18"/>
          <w:color w:val="auto"/>
        </w:rPr>
        <w:t>. The term “Senior Indebtedness” shall mean the Credit Agreement Obligations.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Miscellaneous</w:t>
      </w:r>
      <w:r>
        <w:rPr>
          <w:rFonts w:ascii="Arial" w:cs="Arial" w:eastAsia="Arial" w:hAnsi="Arial"/>
          <w:sz w:val="18"/>
          <w:szCs w:val="18"/>
          <w:color w:val="auto"/>
        </w:rPr>
        <w:t>. If, at any time, all or part of any payment with respect to Senior Indebtedness theretofore made by an Issuer or any other person is rescinded or must otherwise be returned by the holder of Senior Indebtedness for any reason whatsoever (including, without limitation, the insolvency, bankruptcy or reorganization of the Issuer or such other persons), the subordination provisions set forth herein shall continue to be effective and be reinstated, as the case may be,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5" w:name="page326"/>
    <w:bookmarkEnd w:id="325"/>
    <w:p>
      <w:pPr>
        <w:jc w:val="center"/>
        <w:ind w:right="-1220"/>
        <w:spacing w:after="0"/>
        <w:rPr>
          <w:sz w:val="20"/>
          <w:szCs w:val="20"/>
          <w:color w:val="auto"/>
        </w:rPr>
      </w:pPr>
      <w:r>
        <w:rPr>
          <w:rFonts w:ascii="Arial" w:cs="Arial" w:eastAsia="Arial" w:hAnsi="Arial"/>
          <w:sz w:val="17"/>
          <w:szCs w:val="17"/>
          <w:b w:val="1"/>
          <w:bCs w:val="1"/>
          <w:u w:val="single" w:color="auto"/>
          <w:color w:val="auto"/>
        </w:rPr>
        <w:t>SCHEDULE 1</w:t>
      </w:r>
    </w:p>
    <w:p>
      <w:pPr>
        <w:spacing w:after="0" w:line="23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Issuers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Aviation, Inc., a Georgia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Building &amp; Energy Solutions,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Building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Building Solutions,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&amp; Lighting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&amp; Lighting Solutions,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Network,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Power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Power Solutions,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Facility Support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Franchising Group,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General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Healthcare Support Services, Inc., a Michigan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Industrial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Industry Groups,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Texas General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Associated Facility Management, LLC, a Nevada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Associated Facility Ventures, LLC, a Nevada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Erie Acquisition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Erie Merger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Cleaning Specialties, L.P., a Texas limited partnership</w:t>
      </w:r>
    </w:p>
    <w:p>
      <w:pPr>
        <w:spacing w:after="0" w:line="225" w:lineRule="exact"/>
        <w:rPr>
          <w:sz w:val="20"/>
          <w:szCs w:val="20"/>
          <w:color w:val="auto"/>
        </w:rPr>
      </w:pPr>
    </w:p>
    <w:p>
      <w:pPr>
        <w:ind w:right="4179"/>
        <w:spacing w:after="0" w:line="530" w:lineRule="auto"/>
        <w:rPr>
          <w:sz w:val="20"/>
          <w:szCs w:val="20"/>
          <w:color w:val="auto"/>
        </w:rPr>
      </w:pPr>
      <w:r>
        <w:rPr>
          <w:rFonts w:ascii="Arial" w:cs="Arial" w:eastAsia="Arial" w:hAnsi="Arial"/>
          <w:sz w:val="17"/>
          <w:szCs w:val="17"/>
          <w:color w:val="auto"/>
        </w:rPr>
        <w:t>GCA Commercial Services of Midwest, LLC, a Delaware limited liability company GCA Education Services Central States, Inc., an Illinois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GCA Education Services of Midwest,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GCA Education Services of New England,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GCA Education Services, Inc., a Tennessee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Energy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Facility Operations Maintenance Services,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t>GCA Intermediate Holding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GCA International Management Services,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GCA K12 Education Services, Inc., a Texas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Nuclear Facility Services, Inc., a Texas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Plumbing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Production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Mountain States, L.P., a Texas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California, Inc., a California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Colorado, Inc., a Colorado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North Carolina, Inc., a North Carolina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Northwestern States, Inc., a Washington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Texas, L.P., a Texas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Specialty Services LLC, a Florida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Staffing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Grade Sub Two,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GreenHomes America,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 Iraq,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 ME,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Linc International,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Mechanical Solutions, Inc., a Texas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Building Maintenance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Onesource Facility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Onesource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Onesource Services,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327" w:name="page328"/>
    <w:bookmarkEnd w:id="327"/>
    <w:p>
      <w:pPr>
        <w:jc w:val="center"/>
        <w:ind w:right="-1220"/>
        <w:spacing w:after="0"/>
        <w:rPr>
          <w:sz w:val="20"/>
          <w:szCs w:val="20"/>
          <w:color w:val="auto"/>
        </w:rPr>
      </w:pPr>
      <w:r>
        <w:rPr>
          <w:rFonts w:ascii="Arial" w:cs="Arial" w:eastAsia="Arial" w:hAnsi="Arial"/>
          <w:sz w:val="17"/>
          <w:szCs w:val="17"/>
          <w:b w:val="1"/>
          <w:bCs w:val="1"/>
          <w:u w:val="single" w:color="auto"/>
          <w:color w:val="auto"/>
        </w:rPr>
        <w:t>SCHEDULE 2</w:t>
      </w:r>
    </w:p>
    <w:p>
      <w:pPr>
        <w:spacing w:after="0" w:line="23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Aviation, Inc., a Georgia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Building &amp; Energy Solutions,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Building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Building Solutions,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&amp; Lighting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&amp; Lighting Solutions,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Network,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Power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Electrical Power Solutions,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Facility Support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Franchising Group,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General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Healthcare Support Services, Inc., a Michigan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Industrial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Industry Groups,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Texas General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Associated Facility Management, LLC, a Nevada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Associated Facility Ventures, LLC, a Nevada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Erie Acquisition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Erie Merger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Cleaning Specialties, L.P., a Texas limited partnership</w:t>
      </w:r>
    </w:p>
    <w:p>
      <w:pPr>
        <w:spacing w:after="0" w:line="225" w:lineRule="exact"/>
        <w:rPr>
          <w:sz w:val="20"/>
          <w:szCs w:val="20"/>
          <w:color w:val="auto"/>
        </w:rPr>
      </w:pPr>
    </w:p>
    <w:p>
      <w:pPr>
        <w:ind w:right="4179"/>
        <w:spacing w:after="0" w:line="530" w:lineRule="auto"/>
        <w:rPr>
          <w:sz w:val="20"/>
          <w:szCs w:val="20"/>
          <w:color w:val="auto"/>
        </w:rPr>
      </w:pPr>
      <w:r>
        <w:rPr>
          <w:rFonts w:ascii="Arial" w:cs="Arial" w:eastAsia="Arial" w:hAnsi="Arial"/>
          <w:sz w:val="17"/>
          <w:szCs w:val="17"/>
          <w:color w:val="auto"/>
        </w:rPr>
        <w:t>GCA Commercial Services of Midwest, LLC, a Delaware limited liability company GCA Education Services Central States, Inc., an Illinois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GCA Education Services of Midwest,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GCA Education Services of New England,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GCA Education Services, Inc., a Tennessee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Energy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Facility Operations Maintenance Services,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t>GCA Intermediate Holding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GCA International Management Services,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GCA K12 Education Services, Inc., a Texas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Nuclear Facility Services, Inc., a Texas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Plumbing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Production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Mountain States, L.P., a Texas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California, Inc., a California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Colorado, Inc., a Colorado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North Carolina, Inc., a North Carolina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Northwestern States, Inc., a Washington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of Texas, L.P., a Texas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Specialty Services LLC, a Florida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 Staffing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Grade Sub Two,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GreenHomes America,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 Iraq,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Linc Facility Services ME,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Linc International,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Mechanical Solutions, Inc., a Texas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Building Maintenance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Onesource Facility Services,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Onesource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Onesource Services,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00" w:type="dxa"/>
            <w:vAlign w:val="bottom"/>
            <w:gridSpan w:val="2"/>
          </w:tcPr>
          <w:p>
            <w:pPr>
              <w:ind w:left="1200"/>
              <w:spacing w:after="0"/>
              <w:rPr>
                <w:sz w:val="20"/>
                <w:szCs w:val="20"/>
                <w:color w:val="auto"/>
              </w:rPr>
            </w:pPr>
            <w:r>
              <w:rPr>
                <w:rFonts w:ascii="Arial" w:cs="Arial" w:eastAsia="Arial" w:hAnsi="Arial"/>
                <w:sz w:val="18"/>
                <w:szCs w:val="18"/>
                <w:color w:val="auto"/>
                <w:w w:val="99"/>
              </w:rPr>
              <w:t>EXHIBIT N</w:t>
            </w:r>
          </w:p>
        </w:tc>
      </w:tr>
      <w:tr>
        <w:trPr>
          <w:trHeight w:val="432"/>
        </w:trPr>
        <w:tc>
          <w:tcPr>
            <w:tcW w:w="740" w:type="dxa"/>
            <w:vAlign w:val="bottom"/>
          </w:tcPr>
          <w:p>
            <w:pPr>
              <w:spacing w:after="0"/>
              <w:rPr>
                <w:sz w:val="24"/>
                <w:szCs w:val="24"/>
                <w:color w:val="auto"/>
              </w:rPr>
            </w:pPr>
          </w:p>
        </w:tc>
        <w:tc>
          <w:tcPr>
            <w:tcW w:w="10680" w:type="dxa"/>
            <w:vAlign w:val="bottom"/>
            <w:gridSpan w:val="5"/>
          </w:tcPr>
          <w:p>
            <w:pPr>
              <w:ind w:left="3180"/>
              <w:spacing w:after="0"/>
              <w:rPr>
                <w:sz w:val="20"/>
                <w:szCs w:val="20"/>
                <w:color w:val="auto"/>
              </w:rPr>
            </w:pPr>
            <w:r>
              <w:rPr>
                <w:rFonts w:ascii="Arial" w:cs="Arial" w:eastAsia="Arial" w:hAnsi="Arial"/>
                <w:sz w:val="18"/>
                <w:szCs w:val="18"/>
                <w:b w:val="1"/>
                <w:bCs w:val="1"/>
                <w:color w:val="auto"/>
              </w:rPr>
              <w:t>[FORM OF] LETTER OF CREDIT REPORT</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TO:</w:t>
            </w: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rPr>
              <w:t>Bank of America, N.A., as Administrative Agent</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RE:</w:t>
            </w: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w w:val="91"/>
              </w:rPr>
              <w:t>Credit Agreement (as amended, modified, supplemented, extended, increased and restated from time to time, the “Credit Agreement”) dated as</w:t>
            </w:r>
          </w:p>
        </w:tc>
      </w:tr>
      <w:tr>
        <w:trPr>
          <w:trHeight w:val="20"/>
        </w:trPr>
        <w:tc>
          <w:tcPr>
            <w:tcW w:w="7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680" w:type="dxa"/>
            <w:vAlign w:val="bottom"/>
            <w:gridSpan w:val="5"/>
          </w:tcPr>
          <w:p>
            <w:pPr>
              <w:ind w:left="240"/>
              <w:spacing w:after="0" w:line="196" w:lineRule="exact"/>
              <w:rPr>
                <w:sz w:val="20"/>
                <w:szCs w:val="20"/>
                <w:color w:val="auto"/>
              </w:rPr>
            </w:pPr>
            <w:r>
              <w:rPr>
                <w:rFonts w:ascii="Arial" w:cs="Arial" w:eastAsia="Arial" w:hAnsi="Arial"/>
                <w:sz w:val="18"/>
                <w:szCs w:val="18"/>
                <w:color w:val="auto"/>
                <w:w w:val="94"/>
              </w:rPr>
              <w:t>of September 1, 2017, among ABM Industries Incorporated, a Delaware corporation (the “Company”), the Designated Borrowers identified</w:t>
            </w:r>
          </w:p>
        </w:tc>
      </w:tr>
      <w:tr>
        <w:trPr>
          <w:trHeight w:val="20"/>
        </w:trPr>
        <w:tc>
          <w:tcPr>
            <w:tcW w:w="7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rPr>
              <w:t>therein, the Lenders identified therein and Bank of America, N.A., as Administrative Agent, Issuing Lender and Swingline Lender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and not otherwise defined shall have the meanings set forth in the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[insert name of Issuing Lender] (the “</w:t>
      </w:r>
      <w:r>
        <w:rPr>
          <w:rFonts w:ascii="Arial" w:cs="Arial" w:eastAsia="Arial" w:hAnsi="Arial"/>
          <w:sz w:val="18"/>
          <w:szCs w:val="18"/>
          <w:u w:val="single" w:color="auto"/>
          <w:color w:val="auto"/>
        </w:rPr>
        <w:t>Issuing Lender</w:t>
      </w:r>
      <w:r>
        <w:rPr>
          <w:rFonts w:ascii="Arial" w:cs="Arial" w:eastAsia="Arial" w:hAnsi="Arial"/>
          <w:sz w:val="18"/>
          <w:szCs w:val="18"/>
          <w:color w:val="auto"/>
        </w:rPr>
        <w:t>”) hereby delivers this report to the Administrative Agent, pursuant to the terms of Section 2.06(m) of the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Issuing Lender plans to issue, amend, renew, increase or extend the follow Letter(s) of Credit on [insert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Face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Current Face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Financials or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Beneficiary</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Issuance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Expiry</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Auto</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Date of</w:t>
            </w: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w w:val="97"/>
              </w:rPr>
              <w:t>Amount of</w:t>
            </w:r>
          </w:p>
        </w:tc>
      </w:tr>
      <w:tr>
        <w:trPr>
          <w:trHeight w:val="234"/>
        </w:trPr>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L/C No.</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Amount</w:t>
            </w:r>
          </w:p>
        </w:tc>
        <w:tc>
          <w:tcPr>
            <w:tcW w:w="258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Currency  Performance SBLC</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Name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Renewal</w:t>
            </w: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Amendment Amendment</w:t>
            </w:r>
          </w:p>
        </w:tc>
      </w:tr>
      <w:tr>
        <w:trPr>
          <w:trHeight w:val="210"/>
        </w:trPr>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Issuing Lender made a payment, with respect to L/C No. _______, on [insert date] in the amount of [$]_____________].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failed to reimburse the Issuing Lender for a payment made in the amount of [$][insert amount of such payment] pursuant to L/C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 on [insert date of such failure], with respect to L/C No.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0" w:name="page331"/>
    <w:bookmarkEnd w:id="330"/>
    <w:p>
      <w:pPr>
        <w:ind w:left="660"/>
        <w:spacing w:after="0"/>
        <w:rPr>
          <w:sz w:val="20"/>
          <w:szCs w:val="20"/>
          <w:color w:val="auto"/>
        </w:rPr>
      </w:pPr>
      <w:r>
        <w:rPr>
          <w:rFonts w:ascii="Arial" w:cs="Arial" w:eastAsia="Arial" w:hAnsi="Arial"/>
          <w:sz w:val="18"/>
          <w:szCs w:val="18"/>
          <w:color w:val="auto"/>
        </w:rPr>
        <w:t>Set forth in the table below is a description of each Letter of Credit issued by the undersigned and outstanding on the date hereof.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Face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Current Face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Financials or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Beneficiary</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Issuance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Expiry</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Auto</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Date of</w:t>
            </w: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w w:val="97"/>
              </w:rPr>
              <w:t>Amount of</w:t>
            </w:r>
          </w:p>
        </w:tc>
      </w:tr>
      <w:tr>
        <w:trPr>
          <w:trHeight w:val="234"/>
        </w:trPr>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L/C No.</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Amount</w:t>
            </w:r>
          </w:p>
        </w:tc>
        <w:tc>
          <w:tcPr>
            <w:tcW w:w="258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Currency  Performance SBLC</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Name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Renewal</w:t>
            </w: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Amendment Amendment</w:t>
            </w:r>
          </w:p>
        </w:tc>
      </w:tr>
      <w:tr>
        <w:trPr>
          <w:trHeight w:val="210"/>
        </w:trPr>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1" w:name="page332"/>
    <w:bookmarkEnd w:id="331"/>
    <w:p>
      <w:pPr>
        <w:ind w:left="4520"/>
        <w:spacing w:after="0"/>
        <w:rPr>
          <w:sz w:val="20"/>
          <w:szCs w:val="20"/>
          <w:color w:val="auto"/>
        </w:rPr>
      </w:pPr>
      <w:r>
        <w:rPr>
          <w:rFonts w:ascii="Arial" w:cs="Arial" w:eastAsia="Arial" w:hAnsi="Arial"/>
          <w:sz w:val="17"/>
          <w:szCs w:val="17"/>
          <w:b w:val="1"/>
          <w:bCs w:val="1"/>
          <w:color w:val="auto"/>
        </w:rPr>
        <w:t>[NAME OF BANK]</w:t>
      </w:r>
      <w:r>
        <w:rPr>
          <w:rFonts w:ascii="Arial" w:cs="Arial" w:eastAsia="Arial" w:hAnsi="Arial"/>
          <w:sz w:val="17"/>
          <w:szCs w:val="17"/>
          <w:color w:val="auto"/>
        </w:rPr>
        <w:t>, as Issuing Lender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441960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00" w:type="dxa"/>
            <w:vAlign w:val="bottom"/>
            <w:gridSpan w:val="2"/>
          </w:tcPr>
          <w:p>
            <w:pPr>
              <w:ind w:left="1200"/>
              <w:spacing w:after="0"/>
              <w:rPr>
                <w:sz w:val="20"/>
                <w:szCs w:val="20"/>
                <w:color w:val="auto"/>
              </w:rPr>
            </w:pPr>
            <w:r>
              <w:rPr>
                <w:rFonts w:ascii="Arial" w:cs="Arial" w:eastAsia="Arial" w:hAnsi="Arial"/>
                <w:sz w:val="18"/>
                <w:szCs w:val="18"/>
                <w:color w:val="auto"/>
                <w:w w:val="98"/>
              </w:rPr>
              <w:t>EXHIBIT O</w:t>
            </w:r>
          </w:p>
        </w:tc>
      </w:tr>
      <w:tr>
        <w:trPr>
          <w:trHeight w:val="432"/>
        </w:trPr>
        <w:tc>
          <w:tcPr>
            <w:tcW w:w="740" w:type="dxa"/>
            <w:vAlign w:val="bottom"/>
          </w:tcPr>
          <w:p>
            <w:pPr>
              <w:spacing w:after="0"/>
              <w:rPr>
                <w:sz w:val="24"/>
                <w:szCs w:val="24"/>
                <w:color w:val="auto"/>
              </w:rPr>
            </w:pPr>
          </w:p>
        </w:tc>
        <w:tc>
          <w:tcPr>
            <w:tcW w:w="10680" w:type="dxa"/>
            <w:vAlign w:val="bottom"/>
            <w:gridSpan w:val="5"/>
          </w:tcPr>
          <w:p>
            <w:pPr>
              <w:ind w:left="2560"/>
              <w:spacing w:after="0"/>
              <w:rPr>
                <w:sz w:val="20"/>
                <w:szCs w:val="20"/>
                <w:color w:val="auto"/>
              </w:rPr>
            </w:pPr>
            <w:r>
              <w:rPr>
                <w:rFonts w:ascii="Arial" w:cs="Arial" w:eastAsia="Arial" w:hAnsi="Arial"/>
                <w:sz w:val="18"/>
                <w:szCs w:val="18"/>
                <w:b w:val="1"/>
                <w:bCs w:val="1"/>
                <w:color w:val="auto"/>
              </w:rPr>
              <w:t>[FORM OF] NOTICE OF ADDITIONAL ISSUING LENDER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TO:</w:t>
            </w: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rPr>
              <w:t>Bank of America, N.A., as Administrative Agent</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RE:</w:t>
            </w: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w w:val="91"/>
              </w:rPr>
              <w:t>Credit Agreement (as amended, modified, supplemented, extended, increased and restated from time to time, the “Credit Agreement”) dated as</w:t>
            </w:r>
          </w:p>
        </w:tc>
      </w:tr>
      <w:tr>
        <w:trPr>
          <w:trHeight w:val="20"/>
        </w:trPr>
        <w:tc>
          <w:tcPr>
            <w:tcW w:w="7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680" w:type="dxa"/>
            <w:vAlign w:val="bottom"/>
            <w:gridSpan w:val="5"/>
          </w:tcPr>
          <w:p>
            <w:pPr>
              <w:ind w:left="240"/>
              <w:spacing w:after="0" w:line="196" w:lineRule="exact"/>
              <w:rPr>
                <w:sz w:val="20"/>
                <w:szCs w:val="20"/>
                <w:color w:val="auto"/>
              </w:rPr>
            </w:pPr>
            <w:r>
              <w:rPr>
                <w:rFonts w:ascii="Arial" w:cs="Arial" w:eastAsia="Arial" w:hAnsi="Arial"/>
                <w:sz w:val="18"/>
                <w:szCs w:val="18"/>
                <w:color w:val="auto"/>
                <w:w w:val="94"/>
              </w:rPr>
              <w:t>of September 1, 2017, among ABM Industries Incorporated, a Delaware corporation (the “Company”), the Designated Borrowers identified</w:t>
            </w:r>
          </w:p>
        </w:tc>
      </w:tr>
      <w:tr>
        <w:trPr>
          <w:trHeight w:val="20"/>
        </w:trPr>
        <w:tc>
          <w:tcPr>
            <w:tcW w:w="7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rPr>
              <w:t>therein, the Lenders identified therein and Bank of America, N.A., as Administrative Agent, Issuing Lender and Swingline Lender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and not otherwise defined shall have the meanings set forth in the Credit Agreement.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[Insert Name of additional Issuing Lender] </w:t>
      </w: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a Dollar Tranche Revolving Lender under the Credit Agreement and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notice to the Administrative Agent and the Issuing Lender[s] pursuant to the terms of the definition of “Issuing Lender” in Section 1.01 of the Credit Agreement that the Lender wishes to become an Issuing Lender under the Credit Agreement.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 is hereby agreed that upon receipt by the Administrative Agent of a fully executed copy of this Notice, the Lender shall be deemed an Issuing Lender under the Credit Agreement.</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duly authorized officer of the undersigned has executed this notice as of the day and year set forth above.</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3" w:name="page334"/>
    <w:bookmarkEnd w:id="333"/>
    <w:p>
      <w:pPr>
        <w:ind w:left="5720"/>
        <w:spacing w:after="0"/>
        <w:rPr>
          <w:sz w:val="20"/>
          <w:szCs w:val="20"/>
          <w:color w:val="auto"/>
        </w:rPr>
      </w:pPr>
      <w:r>
        <w:rPr>
          <w:rFonts w:ascii="Arial" w:cs="Arial" w:eastAsia="Arial" w:hAnsi="Arial"/>
          <w:sz w:val="16"/>
          <w:szCs w:val="16"/>
          <w:color w:val="auto"/>
        </w:rPr>
        <w:t>ABM INDUSTRIES INCORPORATED, as the Company</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[LENDER’S NAME]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32E20"/>
    <w:multiLevelType w:val="hybridMultilevel"/>
    <w:lvl w:ilvl="0">
      <w:lvlJc w:val="left"/>
      <w:lvlText w:val="☐"/>
      <w:numFmt w:val="bullet"/>
      <w:start w:val="1"/>
    </w:lvl>
  </w:abstractNum>
  <w:abstractNum w:abstractNumId="1">
    <w:nsid w:val="49C0E823"/>
    <w:multiLevelType w:val="hybridMultilevel"/>
    <w:lvl w:ilvl="0">
      <w:lvlJc w:val="left"/>
      <w:lvlText w:val="(%1)"/>
      <w:numFmt w:val="lowerRoman"/>
      <w:start w:val="12"/>
    </w:lvl>
  </w:abstractNum>
  <w:abstractNum w:abstractNumId="2">
    <w:nsid w:val="14D53685"/>
    <w:multiLevelType w:val="hybridMultilevel"/>
    <w:lvl w:ilvl="0">
      <w:lvlJc w:val="left"/>
      <w:lvlText w:val="(%1)"/>
      <w:numFmt w:val="lowerLetter"/>
      <w:start w:val="1"/>
    </w:lvl>
  </w:abstractNum>
  <w:abstractNum w:abstractNumId="3">
    <w:nsid w:val="230F856C"/>
    <w:multiLevelType w:val="hybridMultilevel"/>
    <w:lvl w:ilvl="0">
      <w:lvlJc w:val="left"/>
      <w:lvlText w:val="(%1)"/>
      <w:numFmt w:val="lowerLetter"/>
      <w:start w:val="2"/>
    </w:lvl>
  </w:abstractNum>
  <w:abstractNum w:abstractNumId="4">
    <w:nsid w:val="6EAA85FB"/>
    <w:multiLevelType w:val="hybridMultilevel"/>
    <w:lvl w:ilvl="0">
      <w:lvlJc w:val="left"/>
      <w:lvlText w:val="(%1)"/>
      <w:numFmt w:val="lowerLetter"/>
      <w:start w:val="4"/>
    </w:lvl>
  </w:abstractNum>
  <w:abstractNum w:abstractNumId="5">
    <w:nsid w:val="3F06EC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
    <w:nsid w:val="3B59480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
    <w:nsid w:val="6CAA2304"/>
    <w:multiLevelType w:val="hybridMultilevel"/>
    <w:lvl w:ilvl="0">
      <w:lvlJc w:val="left"/>
      <w:lvlText w:val="(%1)"/>
      <w:numFmt w:val="lowerLetter"/>
      <w:start w:val="2"/>
    </w:lvl>
  </w:abstractNum>
  <w:abstractNum w:abstractNumId="8">
    <w:nsid w:val="3F7C2FF4"/>
    <w:multiLevelType w:val="hybridMultilevel"/>
    <w:lvl w:ilvl="0">
      <w:lvlJc w:val="left"/>
      <w:lvlText w:val="(%1)"/>
      <w:numFmt w:val="lowerLetter"/>
      <w:start w:val="8"/>
    </w:lvl>
  </w:abstractNum>
  <w:abstractNum w:abstractNumId="9">
    <w:nsid w:val="25413BEC"/>
    <w:multiLevelType w:val="hybridMultilevel"/>
    <w:lvl w:ilvl="0">
      <w:lvlJc w:val="left"/>
      <w:lvlText w:val="%1"/>
      <w:numFmt w:val="decimal"/>
      <w:start w:val="1"/>
    </w:lvl>
    <w:lvl w:ilvl="1">
      <w:lvlJc w:val="left"/>
      <w:lvlText w:val="(%2)"/>
      <w:numFmt w:val="lowerLetter"/>
      <w:start w:val="16"/>
    </w:lvl>
  </w:abstractNum>
  <w:abstractNum w:abstractNumId="10">
    <w:nsid w:val="17180B0B"/>
    <w:multiLevelType w:val="hybridMultilevel"/>
    <w:lvl w:ilvl="0">
      <w:lvlJc w:val="left"/>
      <w:lvlText w:val="%1."/>
      <w:numFmt w:val="decimal"/>
      <w:start w:val="2"/>
    </w:lvl>
    <w:lvl w:ilvl="1">
      <w:lvlJc w:val="left"/>
      <w:lvlText w:val="%2"/>
      <w:numFmt w:val="lowerLetter"/>
      <w:start w:val="1"/>
    </w:lvl>
  </w:abstractNum>
  <w:abstractNum w:abstractNumId="11">
    <w:nsid w:val="579328B9"/>
    <w:multiLevelType w:val="hybridMultilevel"/>
    <w:lvl w:ilvl="0">
      <w:lvlJc w:val="left"/>
      <w:lvlText w:val="(%1)"/>
      <w:numFmt w:val="lowerLetter"/>
      <w:start w:val="1"/>
    </w:lvl>
  </w:abstractNum>
  <w:abstractNum w:abstractNumId="12">
    <w:nsid w:val="5D205E20"/>
    <w:multiLevelType w:val="hybridMultilevel"/>
    <w:lvl w:ilvl="0">
      <w:lvlJc w:val="left"/>
      <w:lvlText w:val="%1."/>
      <w:numFmt w:val="decimal"/>
      <w:start w:val="4"/>
    </w:lvl>
    <w:lvl w:ilvl="1">
      <w:lvlJc w:val="left"/>
      <w:lvlText w:val="(%2)"/>
      <w:numFmt w:val="lowerLetter"/>
      <w:start w:val="1"/>
    </w:lvl>
  </w:abstractNum>
  <w:abstractNum w:abstractNumId="13">
    <w:nsid w:val="11CCA8BA"/>
    <w:multiLevelType w:val="hybridMultilevel"/>
    <w:lvl w:ilvl="0">
      <w:lvlJc w:val="left"/>
      <w:lvlText w:val="(%1)"/>
      <w:numFmt w:val="lowerLetter"/>
      <w:start w:val="2"/>
    </w:lvl>
    <w:lvl w:ilvl="1">
      <w:lvlJc w:val="left"/>
      <w:lvlText w:val="(%2)"/>
      <w:numFmt w:val="lowerRoman"/>
      <w:start w:val="1"/>
    </w:lvl>
  </w:abstractNum>
  <w:abstractNum w:abstractNumId="14">
    <w:nsid w:val="4D32AB86"/>
    <w:multiLevelType w:val="hybridMultilevel"/>
    <w:lvl w:ilvl="0">
      <w:lvlJc w:val="left"/>
      <w:lvlText w:val="%1"/>
      <w:numFmt w:val="lowerLetter"/>
      <w:start w:val="1"/>
    </w:lvl>
    <w:lvl w:ilvl="1">
      <w:lvlJc w:val="left"/>
      <w:lvlText w:val="(%2)"/>
      <w:numFmt w:val="lowerRoman"/>
      <w:start w:val="3"/>
    </w:lvl>
  </w:abstractNum>
  <w:abstractNum w:abstractNumId="15">
    <w:nsid w:val="3F07ACC3"/>
    <w:multiLevelType w:val="hybridMultilevel"/>
    <w:lvl w:ilvl="0">
      <w:lvlJc w:val="left"/>
      <w:lvlText w:val="(%1)"/>
      <w:numFmt w:val="lowerLetter"/>
      <w:start w:val="3"/>
    </w:lvl>
    <w:lvl w:ilvl="1">
      <w:lvlJc w:val="left"/>
      <w:lvlText w:val="%2"/>
      <w:numFmt w:val="lowerRoman"/>
      <w:start w:val="1"/>
    </w:lvl>
  </w:abstractNum>
  <w:abstractNum w:abstractNumId="16">
    <w:nsid w:val="6B47F63E"/>
    <w:multiLevelType w:val="hybridMultilevel"/>
    <w:lvl w:ilvl="0">
      <w:lvlJc w:val="left"/>
      <w:lvlText w:val="(%1)"/>
      <w:numFmt w:val="lowerLetter"/>
      <w:start w:val="5"/>
    </w:lvl>
  </w:abstractNum>
  <w:abstractNum w:abstractNumId="17">
    <w:nsid w:val="5CB44A05"/>
    <w:multiLevelType w:val="hybridMultilevel"/>
    <w:lvl w:ilvl="0">
      <w:lvlJc w:val="left"/>
      <w:lvlText w:val="(%1)"/>
      <w:numFmt w:val="lowerLetter"/>
      <w:start w:val="1"/>
    </w:lvl>
  </w:abstractNum>
  <w:abstractNum w:abstractNumId="18">
    <w:nsid w:val="16CF80F1"/>
    <w:multiLevelType w:val="hybridMultilevel"/>
    <w:lvl w:ilvl="0">
      <w:lvlJc w:val="left"/>
      <w:lvlText w:val="(%1)"/>
      <w:numFmt w:val="lowerLetter"/>
      <w:start w:val="2"/>
    </w:lvl>
    <w:lvl w:ilvl="1">
      <w:lvlJc w:val="left"/>
      <w:lvlText w:val="(%2)"/>
      <w:numFmt w:val="lowerRoman"/>
      <w:start w:val="1"/>
    </w:lvl>
  </w:abstractNum>
  <w:abstractNum w:abstractNumId="19">
    <w:nsid w:val="1C695DEC"/>
    <w:multiLevelType w:val="hybridMultilevel"/>
    <w:lvl w:ilvl="0">
      <w:lvlJc w:val="left"/>
      <w:lvlText w:val="(%1)"/>
      <w:numFmt w:val="lowerLetter"/>
      <w:start w:val="6"/>
    </w:lvl>
  </w:abstractNum>
  <w:abstractNum w:abstractNumId="20">
    <w:nsid w:val="3FCFAED9"/>
    <w:multiLevelType w:val="hybridMultilevel"/>
    <w:lvl w:ilvl="0">
      <w:lvlJc w:val="left"/>
      <w:lvlText w:val="(%1)"/>
      <w:numFmt w:val="lowerLetter"/>
      <w:start w:val="13"/>
    </w:lvl>
  </w:abstractNum>
  <w:abstractNum w:abstractNumId="21">
    <w:nsid w:val="F856867"/>
    <w:multiLevelType w:val="hybridMultilevel"/>
    <w:lvl w:ilvl="0">
      <w:lvlJc w:val="left"/>
      <w:lvlText w:val="(%1)"/>
      <w:numFmt w:val="lowerLetter"/>
      <w:start w:val="1"/>
    </w:lvl>
  </w:abstractNum>
  <w:abstractNum w:abstractNumId="22">
    <w:nsid w:val="11B1CC33"/>
    <w:multiLevelType w:val="hybridMultilevel"/>
    <w:lvl w:ilvl="0">
      <w:lvlJc w:val="left"/>
      <w:lvlText w:val="(%1)"/>
      <w:numFmt w:val="lowerLetter"/>
      <w:start w:val="1"/>
    </w:lvl>
  </w:abstractNum>
  <w:abstractNum w:abstractNumId="23">
    <w:nsid w:val="2E22FBB7"/>
    <w:multiLevelType w:val="hybridMultilevel"/>
    <w:lvl w:ilvl="0">
      <w:lvlJc w:val="left"/>
      <w:lvlText w:val="(%1)"/>
      <w:numFmt w:val="lowerLetter"/>
      <w:start w:val="3"/>
    </w:lvl>
  </w:abstractNum>
  <w:abstractNum w:abstractNumId="24">
    <w:nsid w:val="29934699"/>
    <w:multiLevelType w:val="hybridMultilevel"/>
    <w:lvl w:ilvl="0">
      <w:lvlJc w:val="left"/>
      <w:lvlText w:val="%1"/>
      <w:numFmt w:val="lowerLetter"/>
      <w:start w:val="1"/>
    </w:lvl>
    <w:lvl w:ilvl="1">
      <w:lvlJc w:val="left"/>
      <w:lvlText w:val="(%2)"/>
      <w:numFmt w:val="lowerLetter"/>
      <w:start w:val="1"/>
    </w:lvl>
  </w:abstractNum>
  <w:abstractNum w:abstractNumId="25">
    <w:nsid w:val="77485850"/>
    <w:multiLevelType w:val="hybridMultilevel"/>
    <w:lvl w:ilvl="0">
      <w:lvlJc w:val="left"/>
      <w:lvlText w:val="(%1)"/>
      <w:numFmt w:val="lowerLetter"/>
      <w:start w:val="61"/>
    </w:lvl>
    <w:lvl w:ilvl="1">
      <w:lvlJc w:val="left"/>
      <w:lvlText w:val="%2"/>
      <w:numFmt w:val="lowerLetter"/>
      <w:start w:val="1"/>
    </w:lvl>
  </w:abstractNum>
  <w:abstractNum w:abstractNumId="26">
    <w:nsid w:val="744939A3"/>
    <w:multiLevelType w:val="hybridMultilevel"/>
    <w:lvl w:ilvl="0">
      <w:lvlJc w:val="left"/>
      <w:lvlText w:val="%1."/>
      <w:numFmt w:val="decimal"/>
      <w:start w:val="5"/>
    </w:lvl>
  </w:abstractNum>
  <w:abstractNum w:abstractNumId="27">
    <w:nsid w:val="4FA0D2E3"/>
    <w:multiLevelType w:val="hybridMultilevel"/>
    <w:lvl w:ilvl="0">
      <w:lvlJc w:val="left"/>
      <w:lvlText w:val="%1."/>
      <w:numFmt w:val="decimal"/>
      <w:start w:val="6"/>
    </w:lvl>
    <w:lvl w:ilvl="1">
      <w:lvlJc w:val="left"/>
      <w:lvlText w:val="(%2)"/>
      <w:numFmt w:val="lowerLetter"/>
      <w:start w:val="1"/>
    </w:lvl>
  </w:abstractNum>
  <w:abstractNum w:abstractNumId="28">
    <w:nsid w:val="6B1D2C14"/>
    <w:multiLevelType w:val="hybridMultilevel"/>
    <w:lvl w:ilvl="0">
      <w:lvlJc w:val="left"/>
      <w:lvlText w:val="(%1)"/>
      <w:numFmt w:val="lowerLetter"/>
      <w:start w:val="2"/>
    </w:lvl>
  </w:abstractNum>
  <w:abstractNum w:abstractNumId="29">
    <w:nsid w:val="68B867D3"/>
    <w:multiLevelType w:val="hybridMultilevel"/>
    <w:lvl w:ilvl="0">
      <w:lvlJc w:val="left"/>
      <w:lvlText w:val="(%1)"/>
      <w:numFmt w:val="lowerLetter"/>
      <w:start w:val="7"/>
    </w:lvl>
  </w:abstractNum>
  <w:abstractNum w:abstractNumId="30">
    <w:nsid w:val="3F7F5DD9"/>
    <w:multiLevelType w:val="hybridMultilevel"/>
    <w:lvl w:ilvl="0">
      <w:lvlJc w:val="left"/>
      <w:lvlText w:val="(%1)"/>
      <w:numFmt w:val="lowerLetter"/>
      <w:start w:val="8"/>
    </w:lvl>
  </w:abstractNum>
  <w:abstractNum w:abstractNumId="31">
    <w:nsid w:val="2AE05A34"/>
    <w:multiLevelType w:val="hybridMultilevel"/>
    <w:lvl w:ilvl="0">
      <w:lvlJc w:val="left"/>
      <w:lvlText w:val="(%1)"/>
      <w:numFmt w:val="lowerLetter"/>
      <w:start w:val="1"/>
    </w:lvl>
  </w:abstractNum>
  <w:abstractNum w:abstractNumId="32">
    <w:nsid w:val="32794FF7"/>
    <w:multiLevelType w:val="hybridMultilevel"/>
    <w:lvl w:ilvl="0">
      <w:lvlJc w:val="left"/>
      <w:lvlText w:val="(%1)"/>
      <w:numFmt w:val="lowerLetter"/>
      <w:start w:val="1"/>
    </w:lvl>
  </w:abstractNum>
  <w:abstractNum w:abstractNumId="33">
    <w:nsid w:val="5454945E"/>
    <w:multiLevelType w:val="hybridMultilevel"/>
    <w:lvl w:ilvl="0">
      <w:lvlJc w:val="left"/>
      <w:lvlText w:val="(%1)"/>
      <w:numFmt w:val="lowerLetter"/>
      <w:start w:val="2"/>
    </w:lvl>
  </w:abstractNum>
  <w:abstractNum w:abstractNumId="34">
    <w:nsid w:val="4DEFDFA0"/>
    <w:multiLevelType w:val="hybridMultilevel"/>
    <w:lvl w:ilvl="0">
      <w:lvlJc w:val="left"/>
      <w:lvlText w:val="(%1)"/>
      <w:numFmt w:val="lowerLetter"/>
      <w:start w:val="2"/>
    </w:lvl>
  </w:abstractNum>
  <w:abstractNum w:abstractNumId="35">
    <w:nsid w:val="2123D5F2"/>
    <w:multiLevelType w:val="hybridMultilevel"/>
    <w:lvl w:ilvl="0">
      <w:lvlJc w:val="left"/>
      <w:lvlText w:val="(%1)"/>
      <w:numFmt w:val="lowerLetter"/>
      <w:start w:val="1"/>
    </w:lvl>
  </w:abstractNum>
  <w:abstractNum w:abstractNumId="36">
    <w:nsid w:val="135B8110"/>
    <w:multiLevelType w:val="hybridMultilevel"/>
    <w:lvl w:ilvl="0">
      <w:lvlJc w:val="left"/>
      <w:lvlText w:val="%1"/>
      <w:numFmt w:val="upperLetter"/>
      <w:start w:val="1"/>
    </w:lvl>
    <w:lvl w:ilvl="1">
      <w:lvlJc w:val="left"/>
      <w:lvlText w:val="(%2)"/>
      <w:numFmt w:val="lowerLetter"/>
      <w:start w:val="4"/>
    </w:lvl>
  </w:abstractNum>
  <w:abstractNum w:abstractNumId="37">
    <w:nsid w:val="94927A8"/>
    <w:multiLevelType w:val="hybridMultilevel"/>
    <w:lvl w:ilvl="0">
      <w:lvlJc w:val="left"/>
      <w:lvlText w:val="(%1)"/>
      <w:numFmt w:val="upperLetter"/>
      <w:start w:val="2"/>
    </w:lvl>
    <w:lvl w:ilvl="1">
      <w:lvlJc w:val="left"/>
      <w:lvlText w:val="%2"/>
      <w:numFmt w:val="lowerLetter"/>
      <w:start w:val="1"/>
    </w:lvl>
  </w:abstractNum>
  <w:abstractNum w:abstractNumId="38">
    <w:nsid w:val="DCDF8F6"/>
    <w:multiLevelType w:val="hybridMultilevel"/>
    <w:lvl w:ilvl="0">
      <w:lvlJc w:val="left"/>
      <w:lvlText w:val="(%1)"/>
      <w:numFmt w:val="lowerRoman"/>
      <w:start w:val="1"/>
    </w:lvl>
  </w:abstractNum>
  <w:abstractNum w:abstractNumId="39">
    <w:nsid w:val="52D7B105"/>
    <w:multiLevelType w:val="hybridMultilevel"/>
    <w:lvl w:ilvl="0">
      <w:lvlJc w:val="left"/>
      <w:lvlText w:val="(%1)"/>
      <w:numFmt w:val="lowerRoman"/>
      <w:start w:val="11"/>
    </w:lvl>
  </w:abstractNum>
  <w:abstractNum w:abstractNumId="40">
    <w:nsid w:val="2E8A6394"/>
    <w:multiLevelType w:val="hybridMultilevel"/>
    <w:lvl w:ilvl="0">
      <w:lvlJc w:val="left"/>
      <w:lvlText w:val="(%1)"/>
      <w:numFmt w:val="lowerLetter"/>
      <w:start w:val="2"/>
    </w:lvl>
    <w:lvl w:ilvl="1">
      <w:lvlJc w:val="left"/>
      <w:lvlText w:val="(%2)"/>
      <w:numFmt w:val="lowerRoman"/>
      <w:start w:val="1"/>
    </w:lvl>
  </w:abstractNum>
  <w:abstractNum w:abstractNumId="41">
    <w:nsid w:val="24E60401"/>
    <w:multiLevelType w:val="hybridMultilevel"/>
    <w:lvl w:ilvl="0">
      <w:lvlJc w:val="left"/>
      <w:lvlText w:val="(%1)"/>
      <w:numFmt w:val="lowerLetter"/>
      <w:start w:val="4"/>
    </w:lvl>
  </w:abstractNum>
  <w:abstractNum w:abstractNumId="42">
    <w:nsid w:val="2A6AD9BE"/>
    <w:multiLevelType w:val="hybridMultilevel"/>
    <w:lvl w:ilvl="0">
      <w:lvlJc w:val="left"/>
      <w:lvlText w:val="(%1)"/>
      <w:numFmt w:val="lowerLetter"/>
      <w:start w:val="1"/>
    </w:lvl>
  </w:abstractNum>
  <w:abstractNum w:abstractNumId="43">
    <w:nsid w:val="BAAC1B4"/>
    <w:multiLevelType w:val="hybridMultilevel"/>
    <w:lvl w:ilvl="0">
      <w:lvlJc w:val="left"/>
      <w:lvlText w:val="(%1)"/>
      <w:numFmt w:val="lowerLetter"/>
      <w:start w:val="1"/>
    </w:lvl>
  </w:abstractNum>
  <w:abstractNum w:abstractNumId="44">
    <w:nsid w:val="36B2ACBC"/>
    <w:multiLevelType w:val="hybridMultilevel"/>
    <w:lvl w:ilvl="0">
      <w:lvlJc w:val="left"/>
      <w:lvlText w:val="(%1)"/>
      <w:numFmt w:val="lowerLetter"/>
      <w:start w:val="2"/>
    </w:lvl>
  </w:abstractNum>
  <w:abstractNum w:abstractNumId="45">
    <w:nsid w:val="779D8544"/>
    <w:multiLevelType w:val="hybridMultilevel"/>
    <w:lvl w:ilvl="0">
      <w:lvlJc w:val="left"/>
      <w:lvlText w:val="(%1)"/>
      <w:numFmt w:val="lowerLetter"/>
      <w:start w:val="1"/>
    </w:lvl>
    <w:lvl w:ilvl="1">
      <w:lvlJc w:val="left"/>
      <w:lvlText w:val="(%2)"/>
      <w:numFmt w:val="lowerLetter"/>
      <w:start w:val="9"/>
    </w:lvl>
  </w:abstractNum>
  <w:abstractNum w:abstractNumId="46">
    <w:nsid w:val="4AB26E78"/>
    <w:multiLevelType w:val="hybridMultilevel"/>
    <w:lvl w:ilvl="0">
      <w:lvlJc w:val="left"/>
      <w:lvlText w:val="%1"/>
      <w:numFmt w:val="lowerLetter"/>
      <w:start w:val="1"/>
    </w:lvl>
    <w:lvl w:ilvl="1">
      <w:lvlJc w:val="left"/>
      <w:lvlText w:val="(%2)"/>
      <w:numFmt w:val="lowerLetter"/>
      <w:start w:val="35"/>
    </w:lvl>
  </w:abstractNum>
  <w:abstractNum w:abstractNumId="47">
    <w:nsid w:val="21FAA2FA"/>
    <w:multiLevelType w:val="hybridMultilevel"/>
    <w:lvl w:ilvl="0">
      <w:lvlJc w:val="left"/>
      <w:lvlText w:val="(%1)"/>
      <w:numFmt w:val="lowerLetter"/>
      <w:start w:val="2"/>
    </w:lvl>
    <w:lvl w:ilvl="1">
      <w:lvlJc w:val="left"/>
      <w:lvlText w:val="%2"/>
      <w:numFmt w:val="lowerLetter"/>
      <w:start w:val="1"/>
    </w:lvl>
  </w:abstractNum>
  <w:abstractNum w:abstractNumId="48">
    <w:nsid w:val="5451CF49"/>
    <w:multiLevelType w:val="hybridMultilevel"/>
    <w:lvl w:ilvl="0">
      <w:lvlJc w:val="left"/>
      <w:lvlText w:val="(%1)"/>
      <w:numFmt w:val="lowerLetter"/>
      <w:start w:val="1"/>
    </w:lvl>
  </w:abstractNum>
  <w:abstractNum w:abstractNumId="49">
    <w:nsid w:val="6181EF69"/>
    <w:multiLevelType w:val="hybridMultilevel"/>
    <w:lvl w:ilvl="0">
      <w:lvlJc w:val="left"/>
      <w:lvlText w:val="(%1)"/>
      <w:numFmt w:val="lowerLetter"/>
      <w:start w:val="6"/>
    </w:lvl>
  </w:abstractNum>
  <w:abstractNum w:abstractNumId="50">
    <w:nsid w:val="3E6400E6"/>
    <w:multiLevelType w:val="hybridMultilevel"/>
    <w:lvl w:ilvl="0">
      <w:lvlJc w:val="left"/>
      <w:lvlText w:val="(%1)"/>
      <w:numFmt w:val="lowerLetter"/>
      <w:start w:val="2"/>
    </w:lvl>
  </w:abstractNum>
  <w:abstractNum w:abstractNumId="51">
    <w:nsid w:val="14217E23"/>
    <w:multiLevelType w:val="hybridMultilevel"/>
    <w:lvl w:ilvl="0">
      <w:lvlJc w:val="left"/>
      <w:lvlText w:val="(%1)"/>
      <w:numFmt w:val="lowerRoman"/>
      <w:start w:val="1"/>
    </w:lvl>
  </w:abstractNum>
  <w:abstractNum w:abstractNumId="52">
    <w:nsid w:val="710757D0"/>
    <w:multiLevelType w:val="hybridMultilevel"/>
    <w:lvl w:ilvl="0">
      <w:lvlJc w:val="left"/>
      <w:lvlText w:val="(%1)"/>
      <w:numFmt w:val="lowerLetter"/>
      <w:start w:val="10"/>
    </w:lvl>
  </w:abstractNum>
  <w:abstractNum w:abstractNumId="53">
    <w:nsid w:val="5015CD1A"/>
    <w:multiLevelType w:val="hybridMultilevel"/>
    <w:lvl w:ilvl="0">
      <w:lvlJc w:val="left"/>
      <w:lvlText w:val="(%1)"/>
      <w:numFmt w:val="lowerRoman"/>
      <w:start w:val="1"/>
    </w:lvl>
  </w:abstractNum>
  <w:abstractNum w:abstractNumId="54">
    <w:nsid w:val="424479DA"/>
    <w:multiLevelType w:val="hybridMultilevel"/>
    <w:lvl w:ilvl="0">
      <w:lvlJc w:val="left"/>
      <w:lvlText w:val="(%1)"/>
      <w:numFmt w:val="lowerRoman"/>
      <w:start w:val="2"/>
    </w:lvl>
  </w:abstractNum>
  <w:abstractNum w:abstractNumId="55">
    <w:nsid w:val="1A9A9E69"/>
    <w:multiLevelType w:val="hybridMultilevel"/>
    <w:lvl w:ilvl="0">
      <w:lvlJc w:val="left"/>
      <w:lvlText w:val="(%1)"/>
      <w:numFmt w:val="lowerLetter"/>
      <w:start w:val="1"/>
    </w:lvl>
  </w:abstractNum>
  <w:abstractNum w:abstractNumId="56">
    <w:nsid w:val="475E256A"/>
    <w:multiLevelType w:val="hybridMultilevel"/>
    <w:lvl w:ilvl="0">
      <w:lvlJc w:val="left"/>
      <w:lvlText w:val="(%1)"/>
      <w:numFmt w:val="lowerLetter"/>
      <w:start w:val="8"/>
    </w:lvl>
  </w:abstractNum>
  <w:abstractNum w:abstractNumId="57">
    <w:nsid w:val="368DB37E"/>
    <w:multiLevelType w:val="hybridMultilevel"/>
    <w:lvl w:ilvl="0">
      <w:lvlJc w:val="left"/>
      <w:lvlText w:val="(%1)"/>
      <w:numFmt w:val="lowerLetter"/>
      <w:start w:val="1"/>
    </w:lvl>
  </w:abstractNum>
  <w:abstractNum w:abstractNumId="58">
    <w:nsid w:val="6A3B714C"/>
    <w:multiLevelType w:val="hybridMultilevel"/>
    <w:lvl w:ilvl="0">
      <w:lvlJc w:val="left"/>
      <w:lvlText w:val="(%1)"/>
      <w:numFmt w:val="lowerLetter"/>
      <w:start w:val="5"/>
    </w:lvl>
  </w:abstractNum>
  <w:abstractNum w:abstractNumId="59">
    <w:nsid w:val="327B517E"/>
    <w:multiLevelType w:val="hybridMultilevel"/>
    <w:lvl w:ilvl="0">
      <w:lvlJc w:val="left"/>
      <w:lvlText w:val="(%1)"/>
      <w:numFmt w:val="lowerLetter"/>
      <w:start w:val="1"/>
    </w:lvl>
  </w:abstractNum>
  <w:abstractNum w:abstractNumId="60">
    <w:nsid w:val="1F461B51"/>
    <w:multiLevelType w:val="hybridMultilevel"/>
    <w:lvl w:ilvl="0">
      <w:lvlJc w:val="left"/>
      <w:lvlText w:val="(%1)"/>
      <w:numFmt w:val="lowerLetter"/>
      <w:start w:val="2"/>
    </w:lvl>
  </w:abstractNum>
  <w:abstractNum w:abstractNumId="61">
    <w:nsid w:val="29BACF25"/>
    <w:multiLevelType w:val="hybridMultilevel"/>
    <w:lvl w:ilvl="0">
      <w:lvlJc w:val="left"/>
      <w:lvlText w:val="(%1)"/>
      <w:numFmt w:val="lowerRoman"/>
      <w:start w:val="1"/>
    </w:lvl>
  </w:abstractNum>
  <w:abstractNum w:abstractNumId="62">
    <w:nsid w:val="5D5BABB3"/>
    <w:multiLevelType w:val="hybridMultilevel"/>
    <w:lvl w:ilvl="0">
      <w:lvlJc w:val="left"/>
      <w:lvlText w:val="(%1)"/>
      <w:numFmt w:val="lowerLetter"/>
      <w:start w:val="2"/>
    </w:lvl>
  </w:abstractNum>
  <w:abstractNum w:abstractNumId="63">
    <w:nsid w:val="51BF6B48"/>
    <w:multiLevelType w:val="hybridMultilevel"/>
    <w:lvl w:ilvl="0">
      <w:lvlJc w:val="left"/>
      <w:lvlText w:val="(%1)"/>
      <w:numFmt w:val="lowerLetter"/>
      <w:start w:val="1"/>
    </w:lvl>
  </w:abstractNum>
  <w:abstractNum w:abstractNumId="64">
    <w:nsid w:val="7E0F6384"/>
    <w:multiLevelType w:val="hybridMultilevel"/>
    <w:lvl w:ilvl="0">
      <w:lvlJc w:val="left"/>
      <w:lvlText w:val="(%1)"/>
      <w:numFmt w:val="lowerRoman"/>
      <w:start w:val="1"/>
    </w:lvl>
  </w:abstractNum>
  <w:abstractNum w:abstractNumId="65">
    <w:nsid w:val="2B4B8B53"/>
    <w:multiLevelType w:val="hybridMultilevel"/>
    <w:lvl w:ilvl="0">
      <w:lvlJc w:val="left"/>
      <w:lvlText w:val="(%1)"/>
      <w:numFmt w:val="lowerLetter"/>
      <w:start w:val="2"/>
    </w:lvl>
  </w:abstractNum>
  <w:abstractNum w:abstractNumId="66">
    <w:nsid w:val="72E3413A"/>
    <w:multiLevelType w:val="hybridMultilevel"/>
    <w:lvl w:ilvl="0">
      <w:lvlJc w:val="left"/>
      <w:lvlText w:val="%1"/>
      <w:numFmt w:val="upperLetter"/>
      <w:start w:val="1"/>
    </w:lvl>
    <w:lvl w:ilvl="1">
      <w:lvlJc w:val="left"/>
      <w:lvlText w:val="(%2)"/>
      <w:numFmt w:val="lowerLetter"/>
      <w:start w:val="2"/>
    </w:lvl>
  </w:abstractNum>
  <w:abstractNum w:abstractNumId="67">
    <w:nsid w:val="116AE494"/>
    <w:multiLevelType w:val="hybridMultilevel"/>
    <w:lvl w:ilvl="0">
      <w:lvlJc w:val="left"/>
      <w:lvlText w:val="(%1)"/>
      <w:numFmt w:val="upperLetter"/>
      <w:start w:val="1"/>
    </w:lvl>
    <w:lvl w:ilvl="1">
      <w:lvlJc w:val="left"/>
      <w:lvlText w:val="%2"/>
      <w:numFmt w:val="lowerLetter"/>
      <w:start w:val="1"/>
    </w:lvl>
  </w:abstractNum>
  <w:abstractNum w:abstractNumId="68">
    <w:nsid w:val="3494B2FB"/>
    <w:multiLevelType w:val="hybridMultilevel"/>
    <w:lvl w:ilvl="0">
      <w:lvlJc w:val="left"/>
      <w:lvlText w:val="(%1)"/>
      <w:numFmt w:val="lowerLetter"/>
      <w:start w:val="2"/>
    </w:lvl>
  </w:abstractNum>
  <w:abstractNum w:abstractNumId="69">
    <w:nsid w:val="B13A31"/>
    <w:multiLevelType w:val="hybridMultilevel"/>
    <w:lvl w:ilvl="0">
      <w:lvlJc w:val="left"/>
      <w:lvlText w:val="(%1)"/>
      <w:numFmt w:val="lowerLetter"/>
      <w:start w:val="2"/>
    </w:lvl>
  </w:abstractNum>
  <w:abstractNum w:abstractNumId="70">
    <w:nsid w:val="64429599"/>
    <w:multiLevelType w:val="hybridMultilevel"/>
    <w:lvl w:ilvl="0">
      <w:lvlJc w:val="left"/>
      <w:lvlText w:val="(%1)"/>
      <w:numFmt w:val="lowerRoman"/>
      <w:start w:val="2"/>
    </w:lvl>
  </w:abstractNum>
  <w:abstractNum w:abstractNumId="71">
    <w:nsid w:val="631F1690"/>
    <w:multiLevelType w:val="hybridMultilevel"/>
    <w:lvl w:ilvl="0">
      <w:lvlJc w:val="left"/>
      <w:lvlText w:val="(%1)"/>
      <w:numFmt w:val="lowerLetter"/>
      <w:start w:val="2"/>
    </w:lvl>
  </w:abstractNum>
  <w:abstractNum w:abstractNumId="72">
    <w:nsid w:val="25973E32"/>
    <w:multiLevelType w:val="hybridMultilevel"/>
    <w:lvl w:ilvl="0">
      <w:lvlJc w:val="left"/>
      <w:lvlText w:val="(%1)"/>
      <w:numFmt w:val="lowerRoman"/>
      <w:start w:val="1"/>
    </w:lvl>
  </w:abstractNum>
  <w:abstractNum w:abstractNumId="73">
    <w:nsid w:val="EAD6F57"/>
    <w:multiLevelType w:val="hybridMultilevel"/>
    <w:lvl w:ilvl="0">
      <w:lvlJc w:val="left"/>
      <w:lvlText w:val="(%1)"/>
      <w:numFmt w:val="lowerLetter"/>
      <w:start w:val="2"/>
    </w:lvl>
  </w:abstractNum>
  <w:abstractNum w:abstractNumId="74">
    <w:nsid w:val="6EC9D844"/>
    <w:multiLevelType w:val="hybridMultilevel"/>
    <w:lvl w:ilvl="0">
      <w:lvlJc w:val="left"/>
      <w:lvlText w:val="(%1)"/>
      <w:numFmt w:val="lowerLetter"/>
      <w:start w:val="2"/>
    </w:lvl>
  </w:abstractNum>
  <w:abstractNum w:abstractNumId="75">
    <w:nsid w:val="5C49EAEE"/>
    <w:multiLevelType w:val="hybridMultilevel"/>
    <w:lvl w:ilvl="0">
      <w:lvlJc w:val="left"/>
      <w:lvlText w:val="(%1)"/>
      <w:numFmt w:val="lowerRoman"/>
      <w:start w:val="1"/>
    </w:lvl>
    <w:lvl w:ilvl="1">
      <w:lvlJc w:val="left"/>
      <w:lvlText w:val="(%2)"/>
      <w:numFmt w:val="upperLetter"/>
      <w:start w:val="1"/>
    </w:lvl>
  </w:abstractNum>
  <w:abstractNum w:abstractNumId="76">
    <w:nsid w:val="64AF49B"/>
    <w:multiLevelType w:val="hybridMultilevel"/>
    <w:lvl w:ilvl="0">
      <w:lvlJc w:val="left"/>
      <w:lvlText w:val="%1"/>
      <w:numFmt w:val="lowerRoman"/>
      <w:start w:val="1"/>
    </w:lvl>
    <w:lvl w:ilvl="1">
      <w:lvlJc w:val="left"/>
      <w:lvlText w:val="(%2)"/>
      <w:numFmt w:val="upperLetter"/>
      <w:start w:val="5"/>
    </w:lvl>
  </w:abstractNum>
  <w:abstractNum w:abstractNumId="77">
    <w:nsid w:val="397C46BC"/>
    <w:multiLevelType w:val="hybridMultilevel"/>
    <w:lvl w:ilvl="0">
      <w:lvlJc w:val="left"/>
      <w:lvlText w:val="(%1)"/>
      <w:numFmt w:val="lowerRoman"/>
      <w:start w:val="4"/>
    </w:lvl>
    <w:lvl w:ilvl="1">
      <w:lvlJc w:val="left"/>
      <w:lvlText w:val="%2"/>
      <w:numFmt w:val="upperLetter"/>
      <w:start w:val="1"/>
    </w:lvl>
  </w:abstractNum>
  <w:abstractNum w:abstractNumId="78">
    <w:nsid w:val="7E448DE9"/>
    <w:multiLevelType w:val="hybridMultilevel"/>
    <w:lvl w:ilvl="0">
      <w:lvlJc w:val="left"/>
      <w:lvlText w:val="(%1)"/>
      <w:numFmt w:val="lowerLetter"/>
      <w:start w:val="2"/>
    </w:lvl>
  </w:abstractNum>
  <w:abstractNum w:abstractNumId="79">
    <w:nsid w:val="5A9CC3E5"/>
    <w:multiLevelType w:val="hybridMultilevel"/>
    <w:lvl w:ilvl="0">
      <w:lvlJc w:val="left"/>
      <w:lvlText w:val="(%1)"/>
      <w:numFmt w:val="lowerRoman"/>
      <w:start w:val="1"/>
    </w:lvl>
  </w:abstractNum>
  <w:abstractNum w:abstractNumId="80">
    <w:nsid w:val="1AFE3625"/>
    <w:multiLevelType w:val="hybridMultilevel"/>
    <w:lvl w:ilvl="0">
      <w:lvlJc w:val="left"/>
      <w:lvlText w:val="(%1)"/>
      <w:numFmt w:val="lowerRoman"/>
      <w:start w:val="2"/>
    </w:lvl>
  </w:abstractNum>
  <w:abstractNum w:abstractNumId="81">
    <w:nsid w:val="3CA88ECF"/>
    <w:multiLevelType w:val="hybridMultilevel"/>
    <w:lvl w:ilvl="0">
      <w:lvlJc w:val="left"/>
      <w:lvlText w:val="(%1)"/>
      <w:numFmt w:val="lowerRoman"/>
      <w:start w:val="5"/>
    </w:lvl>
  </w:abstractNum>
  <w:abstractNum w:abstractNumId="82">
    <w:nsid w:val="6EBE4208"/>
    <w:multiLevelType w:val="hybridMultilevel"/>
    <w:lvl w:ilvl="0">
      <w:lvlJc w:val="left"/>
      <w:lvlText w:val="(%1)"/>
      <w:numFmt w:val="lowerLetter"/>
      <w:start w:val="3"/>
    </w:lvl>
  </w:abstractNum>
  <w:abstractNum w:abstractNumId="83">
    <w:nsid w:val="C058DF5"/>
    <w:multiLevelType w:val="hybridMultilevel"/>
    <w:lvl w:ilvl="0">
      <w:lvlJc w:val="left"/>
      <w:lvlText w:val="(%1)"/>
      <w:numFmt w:val="lowerRoman"/>
      <w:start w:val="2"/>
    </w:lvl>
  </w:abstractNum>
  <w:abstractNum w:abstractNumId="84">
    <w:nsid w:val="CBE5BE9"/>
    <w:multiLevelType w:val="hybridMultilevel"/>
    <w:lvl w:ilvl="0">
      <w:lvlJc w:val="left"/>
      <w:lvlText w:val="(%1)"/>
      <w:numFmt w:val="lowerLetter"/>
      <w:start w:val="4"/>
    </w:lvl>
  </w:abstractNum>
  <w:abstractNum w:abstractNumId="85">
    <w:nsid w:val="3102BBE2"/>
    <w:multiLevelType w:val="hybridMultilevel"/>
    <w:lvl w:ilvl="0">
      <w:lvlJc w:val="left"/>
      <w:lvlText w:val="%1"/>
      <w:numFmt w:val="lowerRoman"/>
      <w:start w:val="1"/>
    </w:lvl>
    <w:lvl w:ilvl="1">
      <w:lvlJc w:val="left"/>
      <w:lvlText w:val="(%2)"/>
      <w:numFmt w:val="lowerRoman"/>
      <w:start w:val="2"/>
    </w:lvl>
  </w:abstractNum>
  <w:abstractNum w:abstractNumId="86">
    <w:nsid w:val="26A02C5E"/>
    <w:multiLevelType w:val="hybridMultilevel"/>
    <w:lvl w:ilvl="0">
      <w:lvlJc w:val="left"/>
      <w:lvlText w:val="(%1)"/>
      <w:numFmt w:val="lowerRoman"/>
      <w:start w:val="1"/>
    </w:lvl>
    <w:lvl w:ilvl="1">
      <w:lvlJc w:val="left"/>
      <w:lvlText w:val="(%2)"/>
      <w:numFmt w:val="lowerRoman"/>
      <w:start w:val="3"/>
    </w:lvl>
  </w:abstractNum>
  <w:abstractNum w:abstractNumId="87">
    <w:nsid w:val="541C8153"/>
    <w:multiLevelType w:val="hybridMultilevel"/>
    <w:lvl w:ilvl="0">
      <w:lvlJc w:val="left"/>
      <w:lvlText w:val="(%1)"/>
      <w:numFmt w:val="lowerLetter"/>
      <w:start w:val="5"/>
    </w:lvl>
  </w:abstractNum>
  <w:abstractNum w:abstractNumId="88">
    <w:nsid w:val="67906F60"/>
    <w:multiLevelType w:val="hybridMultilevel"/>
    <w:lvl w:ilvl="0">
      <w:lvlJc w:val="left"/>
      <w:lvlText w:val="(%1)"/>
      <w:numFmt w:val="lowerLetter"/>
      <w:start w:val="6"/>
    </w:lvl>
  </w:abstractNum>
  <w:abstractNum w:abstractNumId="89">
    <w:nsid w:val="10DB9DAA"/>
    <w:multiLevelType w:val="hybridMultilevel"/>
    <w:lvl w:ilvl="0">
      <w:lvlJc w:val="left"/>
      <w:lvlText w:val="(%1)"/>
      <w:numFmt w:val="lowerLetter"/>
      <w:start w:val="7"/>
    </w:lvl>
  </w:abstractNum>
  <w:abstractNum w:abstractNumId="90">
    <w:nsid w:val="697D2D2"/>
    <w:multiLevelType w:val="hybridMultilevel"/>
    <w:lvl w:ilvl="0">
      <w:lvlJc w:val="left"/>
      <w:lvlText w:val="%1"/>
      <w:numFmt w:val="lowerLetter"/>
      <w:start w:val="1"/>
    </w:lvl>
    <w:lvl w:ilvl="1">
      <w:lvlJc w:val="left"/>
      <w:lvlText w:val="(%2)"/>
      <w:numFmt w:val="lowerLetter"/>
      <w:start w:val="9"/>
    </w:lvl>
  </w:abstractNum>
  <w:abstractNum w:abstractNumId="91">
    <w:nsid w:val="6D68AB2"/>
    <w:multiLevelType w:val="hybridMultilevel"/>
    <w:lvl w:ilvl="0">
      <w:lvlJc w:val="left"/>
      <w:lvlText w:val="(%1)"/>
      <w:numFmt w:val="lowerLetter"/>
      <w:start w:val="35"/>
    </w:lvl>
    <w:lvl w:ilvl="1">
      <w:lvlJc w:val="left"/>
      <w:lvlText w:val="(%2)"/>
      <w:numFmt w:val="lowerLetter"/>
      <w:start w:val="11"/>
    </w:lvl>
  </w:abstractNum>
  <w:abstractNum w:abstractNumId="92">
    <w:nsid w:val="3A966CD0"/>
    <w:multiLevelType w:val="hybridMultilevel"/>
    <w:lvl w:ilvl="0">
      <w:lvlJc w:val="left"/>
      <w:lvlText w:val="(%1)"/>
      <w:numFmt w:val="lowerLetter"/>
      <w:start w:val="1"/>
    </w:lvl>
  </w:abstractNum>
  <w:abstractNum w:abstractNumId="93">
    <w:nsid w:val="63F37E85"/>
    <w:multiLevelType w:val="hybridMultilevel"/>
    <w:lvl w:ilvl="0">
      <w:lvlJc w:val="left"/>
      <w:lvlText w:val="(%1)"/>
      <w:numFmt w:val="lowerLetter"/>
      <w:start w:val="2"/>
    </w:lvl>
  </w:abstractNum>
  <w:abstractNum w:abstractNumId="94">
    <w:nsid w:val="5895F5FA"/>
    <w:multiLevelType w:val="hybridMultilevel"/>
    <w:lvl w:ilvl="0">
      <w:lvlJc w:val="left"/>
      <w:lvlText w:val="(%1)"/>
      <w:numFmt w:val="lowerRoman"/>
      <w:start w:val="1"/>
    </w:lvl>
  </w:abstractNum>
  <w:abstractNum w:abstractNumId="95">
    <w:nsid w:val="38A5D054"/>
    <w:multiLevelType w:val="hybridMultilevel"/>
    <w:lvl w:ilvl="0">
      <w:lvlJc w:val="left"/>
      <w:lvlText w:val="(%1)"/>
      <w:numFmt w:val="lowerLetter"/>
      <w:start w:val="3"/>
    </w:lvl>
  </w:abstractNum>
  <w:abstractNum w:abstractNumId="96">
    <w:nsid w:val="F3F09D8"/>
    <w:multiLevelType w:val="hybridMultilevel"/>
    <w:lvl w:ilvl="0">
      <w:lvlJc w:val="left"/>
      <w:lvlText w:val="(%1)"/>
      <w:numFmt w:val="lowerLetter"/>
      <w:start w:val="5"/>
    </w:lvl>
  </w:abstractNum>
  <w:abstractNum w:abstractNumId="97">
    <w:nsid w:val="4B793735"/>
    <w:multiLevelType w:val="hybridMultilevel"/>
    <w:lvl w:ilvl="0">
      <w:lvlJc w:val="left"/>
      <w:lvlText w:val="(%1)"/>
      <w:numFmt w:val="lowerLetter"/>
      <w:start w:val="2"/>
    </w:lvl>
  </w:abstractNum>
  <w:abstractNum w:abstractNumId="98">
    <w:nsid w:val="4A10B4E8"/>
    <w:multiLevelType w:val="hybridMultilevel"/>
    <w:lvl w:ilvl="0">
      <w:lvlJc w:val="left"/>
      <w:lvlText w:val="(%1)"/>
      <w:numFmt w:val="lowerLetter"/>
      <w:start w:val="2"/>
    </w:lvl>
  </w:abstractNum>
  <w:abstractNum w:abstractNumId="99">
    <w:nsid w:val="43D3BCD4"/>
    <w:multiLevelType w:val="hybridMultilevel"/>
    <w:lvl w:ilvl="0">
      <w:lvlJc w:val="left"/>
      <w:lvlText w:val="(%1)"/>
      <w:numFmt w:val="lowerLetter"/>
      <w:start w:val="2"/>
    </w:lvl>
  </w:abstractNum>
  <w:abstractNum w:abstractNumId="100">
    <w:nsid w:val="4C2A7166"/>
    <w:multiLevelType w:val="hybridMultilevel"/>
    <w:lvl w:ilvl="0">
      <w:lvlJc w:val="left"/>
      <w:lvlText w:val="(%1)"/>
      <w:numFmt w:val="lowerLetter"/>
      <w:start w:val="2"/>
    </w:lvl>
  </w:abstractNum>
  <w:abstractNum w:abstractNumId="101">
    <w:nsid w:val="2E534A82"/>
    <w:multiLevelType w:val="hybridMultilevel"/>
    <w:lvl w:ilvl="0">
      <w:lvlJc w:val="left"/>
      <w:lvlText w:val="(%1)"/>
      <w:numFmt w:val="lowerLetter"/>
      <w:start w:val="5"/>
    </w:lvl>
  </w:abstractNum>
  <w:abstractNum w:abstractNumId="102">
    <w:nsid w:val="26F2D364"/>
    <w:multiLevelType w:val="hybridMultilevel"/>
    <w:lvl w:ilvl="0">
      <w:lvlJc w:val="left"/>
      <w:lvlText w:val="(%1)"/>
      <w:numFmt w:val="lowerLetter"/>
      <w:start w:val="1"/>
    </w:lvl>
  </w:abstractNum>
  <w:abstractNum w:abstractNumId="103">
    <w:nsid w:val="71C1AF98"/>
    <w:multiLevelType w:val="hybridMultilevel"/>
    <w:lvl w:ilvl="0">
      <w:lvlJc w:val="left"/>
      <w:lvlText w:val="(%1)"/>
      <w:numFmt w:val="lowerLetter"/>
      <w:start w:val="2"/>
    </w:lvl>
  </w:abstractNum>
  <w:abstractNum w:abstractNumId="104">
    <w:nsid w:val="3D00B9D9"/>
    <w:multiLevelType w:val="hybridMultilevel"/>
    <w:lvl w:ilvl="0">
      <w:lvlJc w:val="left"/>
      <w:lvlText w:val="(%1)"/>
      <w:numFmt w:val="lowerLetter"/>
      <w:start w:val="2"/>
    </w:lvl>
  </w:abstractNum>
  <w:abstractNum w:abstractNumId="105">
    <w:nsid w:val="15BCABA8"/>
    <w:multiLevelType w:val="hybridMultilevel"/>
    <w:lvl w:ilvl="0">
      <w:lvlJc w:val="left"/>
      <w:lvlText w:val="(%1)"/>
      <w:numFmt w:val="lowerLetter"/>
      <w:start w:val="7"/>
    </w:lvl>
  </w:abstractNum>
  <w:abstractNum w:abstractNumId="106">
    <w:nsid w:val="4E0B9A87"/>
    <w:multiLevelType w:val="hybridMultilevel"/>
    <w:lvl w:ilvl="0">
      <w:lvlJc w:val="left"/>
      <w:lvlText w:val="(%1)"/>
      <w:numFmt w:val="lowerRoman"/>
      <w:start w:val="1"/>
    </w:lvl>
  </w:abstractNum>
  <w:abstractNum w:abstractNumId="107">
    <w:nsid w:val="434BAE75"/>
    <w:multiLevelType w:val="hybridMultilevel"/>
    <w:lvl w:ilvl="0">
      <w:lvlJc w:val="left"/>
      <w:lvlText w:val="(%1)"/>
      <w:numFmt w:val="lowerLetter"/>
      <w:start w:val="2"/>
    </w:lvl>
  </w:abstractNum>
  <w:abstractNum w:abstractNumId="108">
    <w:nsid w:val="4F38F265"/>
    <w:multiLevelType w:val="hybridMultilevel"/>
    <w:lvl w:ilvl="0">
      <w:lvlJc w:val="left"/>
      <w:lvlText w:val="%1"/>
      <w:numFmt w:val="lowerLetter"/>
      <w:start w:val="1"/>
    </w:lvl>
    <w:lvl w:ilvl="1">
      <w:lvlJc w:val="left"/>
      <w:lvlText w:val="(%2)"/>
      <w:numFmt w:val="lowerLetter"/>
      <w:start w:val="5"/>
    </w:lvl>
  </w:abstractNum>
  <w:abstractNum w:abstractNumId="109">
    <w:nsid w:val="4C502870"/>
    <w:multiLevelType w:val="hybridMultilevel"/>
    <w:lvl w:ilvl="0">
      <w:lvlJc w:val="left"/>
      <w:lvlText w:val="(%1)"/>
      <w:numFmt w:val="lowerLetter"/>
      <w:start w:val="9"/>
    </w:lvl>
    <w:lvl w:ilvl="1">
      <w:lvlJc w:val="left"/>
      <w:lvlText w:val="%2"/>
      <w:numFmt w:val="lowerLetter"/>
      <w:start w:val="1"/>
    </w:lvl>
  </w:abstractNum>
  <w:abstractNum w:abstractNumId="110">
    <w:nsid w:val="1DE8725A"/>
    <w:multiLevelType w:val="hybridMultilevel"/>
    <w:lvl w:ilvl="0">
      <w:lvlJc w:val="left"/>
      <w:lvlText w:val="%1"/>
      <w:numFmt w:val="lowerLetter"/>
      <w:start w:val="1"/>
    </w:lvl>
    <w:lvl w:ilvl="1">
      <w:lvlJc w:val="left"/>
      <w:lvlText w:val="(%2)"/>
      <w:numFmt w:val="lowerRoman"/>
      <w:start w:val="1"/>
    </w:lvl>
  </w:abstractNum>
  <w:abstractNum w:abstractNumId="111">
    <w:nsid w:val="6A37288A"/>
    <w:multiLevelType w:val="hybridMultilevel"/>
    <w:lvl w:ilvl="0">
      <w:lvlJc w:val="left"/>
      <w:lvlText w:val="(%1)"/>
      <w:numFmt w:val="lowerLetter"/>
      <w:start w:val="2"/>
    </w:lvl>
    <w:lvl w:ilvl="1">
      <w:lvlJc w:val="left"/>
      <w:lvlText w:val="%2"/>
      <w:numFmt w:val="lowerRoman"/>
      <w:start w:val="1"/>
    </w:lvl>
  </w:abstractNum>
  <w:abstractNum w:abstractNumId="112">
    <w:nsid w:val="8F8B73F"/>
    <w:multiLevelType w:val="hybridMultilevel"/>
    <w:lvl w:ilvl="0">
      <w:lvlJc w:val="left"/>
      <w:lvlText w:val="(%1)"/>
      <w:numFmt w:val="lowerRoman"/>
      <w:start w:val="1"/>
    </w:lvl>
    <w:lvl w:ilvl="1">
      <w:lvlJc w:val="left"/>
      <w:lvlText w:val="(%2)"/>
      <w:numFmt w:val="lowerLetter"/>
      <w:start w:val="1"/>
    </w:lvl>
  </w:abstractNum>
  <w:abstractNum w:abstractNumId="113">
    <w:nsid w:val="CA6B462"/>
    <w:multiLevelType w:val="hybridMultilevel"/>
    <w:lvl w:ilvl="0">
      <w:lvlJc w:val="left"/>
      <w:lvlText w:val="%1"/>
      <w:numFmt w:val="lowerRoman"/>
      <w:start w:val="1"/>
    </w:lvl>
    <w:lvl w:ilvl="1">
      <w:lvlJc w:val="left"/>
      <w:lvlText w:val="(%2)"/>
      <w:numFmt w:val="lowerLetter"/>
      <w:start w:val="1"/>
    </w:lvl>
  </w:abstractNum>
  <w:abstractNum w:abstractNumId="114">
    <w:nsid w:val="763CB680"/>
    <w:multiLevelType w:val="hybridMultilevel"/>
    <w:lvl w:ilvl="0">
      <w:lvlJc w:val="left"/>
      <w:lvlText w:val="(%1)"/>
      <w:numFmt w:val="lowerRoman"/>
      <w:start w:val="4"/>
    </w:lvl>
    <w:lvl w:ilvl="1">
      <w:lvlJc w:val="left"/>
      <w:lvlText w:val="%2"/>
      <w:numFmt w:val="lowerLetter"/>
      <w:start w:val="1"/>
    </w:lvl>
  </w:abstractNum>
  <w:abstractNum w:abstractNumId="115">
    <w:nsid w:val="15B71329"/>
    <w:multiLevelType w:val="hybridMultilevel"/>
    <w:lvl w:ilvl="0">
      <w:lvlJc w:val="left"/>
      <w:lvlText w:val="(%1)"/>
      <w:numFmt w:val="lowerLetter"/>
      <w:start w:val="3"/>
    </w:lvl>
  </w:abstractNum>
  <w:abstractNum w:abstractNumId="116">
    <w:nsid w:val="3DA97044"/>
    <w:multiLevelType w:val="hybridMultilevel"/>
    <w:lvl w:ilvl="0">
      <w:lvlJc w:val="left"/>
      <w:lvlText w:val="(%1)"/>
      <w:numFmt w:val="lowerLetter"/>
      <w:start w:val="7"/>
    </w:lvl>
  </w:abstractNum>
  <w:abstractNum w:abstractNumId="117">
    <w:nsid w:val="1CDCE2D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18">
    <w:nsid w:val="69D3947C"/>
    <w:multiLevelType w:val="hybridMultilevel"/>
    <w:lvl w:ilvl="0">
      <w:lvlJc w:val="left"/>
      <w:lvlText w:val="%1"/>
      <w:numFmt w:val="upperLetter"/>
      <w:start w:val="1"/>
    </w:lvl>
    <w:lvl w:ilvl="1">
      <w:lvlJc w:val="left"/>
      <w:lvlText w:val="(%2)"/>
      <w:numFmt w:val="decimal"/>
      <w:start w:val="2"/>
    </w:lvl>
  </w:abstractNum>
  <w:abstractNum w:abstractNumId="119">
    <w:nsid w:val="2539DFA5"/>
    <w:multiLevelType w:val="hybridMultilevel"/>
    <w:lvl w:ilvl="0">
      <w:lvlJc w:val="left"/>
      <w:lvlText w:val="(%1)"/>
      <w:numFmt w:val="upperLetter"/>
      <w:start w:val="3"/>
    </w:lvl>
    <w:lvl w:ilvl="1">
      <w:lvlJc w:val="left"/>
      <w:lvlText w:val="%2"/>
      <w:numFmt w:val="decimal"/>
      <w:start w:val="1"/>
    </w:lvl>
  </w:abstractNum>
  <w:abstractNum w:abstractNumId="120">
    <w:nsid w:val="2DB88089"/>
    <w:multiLevelType w:val="hybridMultilevel"/>
    <w:lvl w:ilvl="0">
      <w:lvlJc w:val="left"/>
      <w:lvlText w:val="(%1)"/>
      <w:numFmt w:val="lowerRoman"/>
      <w:start w:val="3"/>
    </w:lvl>
    <w:lvl w:ilvl="1">
      <w:lvlJc w:val="left"/>
      <w:lvlText w:val="(%2)"/>
      <w:numFmt w:val="upperLetter"/>
      <w:start w:val="1"/>
    </w:lvl>
  </w:abstractNum>
  <w:abstractNum w:abstractNumId="121">
    <w:nsid w:val="706B674E"/>
    <w:multiLevelType w:val="hybridMultilevel"/>
    <w:lvl w:ilvl="0">
      <w:lvlJc w:val="left"/>
      <w:lvlText w:val="(%1)"/>
      <w:numFmt w:val="decimal"/>
      <w:start w:val="1"/>
    </w:lvl>
  </w:abstractNum>
  <w:abstractNum w:abstractNumId="122">
    <w:nsid w:val="2C106A57"/>
    <w:multiLevelType w:val="hybridMultilevel"/>
    <w:lvl w:ilvl="0">
      <w:lvlJc w:val="left"/>
      <w:lvlText w:val="&amp;"/>
      <w:numFmt w:val="bullet"/>
      <w:start w:val="1"/>
    </w:lvl>
    <w:lvl w:ilvl="1">
      <w:lvlJc w:val="left"/>
      <w:lvlText w:val="(%2)"/>
      <w:numFmt w:val="upperLetter"/>
      <w:start w:val="3"/>
    </w:lvl>
  </w:abstractNum>
  <w:abstractNum w:abstractNumId="123">
    <w:nsid w:val="684EED59"/>
    <w:multiLevelType w:val="hybridMultilevel"/>
    <w:lvl w:ilvl="0">
      <w:lvlJc w:val="left"/>
      <w:lvlText w:val="&amp;"/>
      <w:numFmt w:val="bullet"/>
      <w:start w:val="1"/>
    </w:lvl>
    <w:lvl w:ilvl="1">
      <w:lvlJc w:val="left"/>
      <w:lvlText w:val="(%2)"/>
      <w:numFmt w:val="upperLetter"/>
      <w:start w:val="5"/>
    </w:lvl>
  </w:abstractNum>
  <w:abstractNum w:abstractNumId="124">
    <w:nsid w:val="545EE5D3"/>
    <w:multiLevelType w:val="hybridMultilevel"/>
    <w:lvl w:ilvl="0">
      <w:lvlJc w:val="left"/>
      <w:lvlText w:val="%1"/>
      <w:numFmt w:val="lowerLetter"/>
      <w:start w:val="1"/>
    </w:lvl>
    <w:lvl w:ilvl="1">
      <w:lvlJc w:val="left"/>
      <w:lvlText w:val="(%2)"/>
      <w:numFmt w:val="upperLetter"/>
      <w:start w:val="7"/>
    </w:lvl>
  </w:abstractNum>
  <w:abstractNum w:abstractNumId="125">
    <w:nsid w:val="4A66051"/>
    <w:multiLevelType w:val="hybridMultilevel"/>
    <w:lvl w:ilvl="0">
      <w:lvlJc w:val="left"/>
      <w:lvlText w:val="(%1)"/>
      <w:numFmt w:val="lowerLetter"/>
      <w:start w:val="8"/>
    </w:lvl>
    <w:lvl w:ilvl="1">
      <w:lvlJc w:val="left"/>
      <w:lvlText w:val="(%2)"/>
      <w:numFmt w:val="upperLetter"/>
      <w:start w:val="1"/>
    </w:lvl>
  </w:abstractNum>
  <w:abstractNum w:abstractNumId="126">
    <w:nsid w:val="20F4BDAD"/>
    <w:multiLevelType w:val="hybridMultilevel"/>
    <w:lvl w:ilvl="0">
      <w:lvlJc w:val="left"/>
      <w:lvlText w:val="(%1)"/>
      <w:numFmt w:val="upperLetter"/>
      <w:start w:val="2"/>
    </w:lvl>
    <w:lvl w:ilvl="1">
      <w:lvlJc w:val="left"/>
      <w:lvlText w:val="(%2)"/>
      <w:numFmt w:val="decimal"/>
      <w:start w:val="1"/>
    </w:lvl>
  </w:abstractNum>
  <w:abstractNum w:abstractNumId="127">
    <w:nsid w:val="639DEFAC"/>
    <w:multiLevelType w:val="hybridMultilevel"/>
    <w:lvl w:ilvl="0">
      <w:lvlJc w:val="left"/>
      <w:lvlText w:val="(%1)"/>
      <w:numFmt w:val="lowerRoman"/>
      <w:start w:val="2"/>
    </w:lvl>
  </w:abstractNum>
  <w:abstractNum w:abstractNumId="128">
    <w:nsid w:val="501F9786"/>
    <w:multiLevelType w:val="hybridMultilevel"/>
    <w:lvl w:ilvl="0">
      <w:lvlJc w:val="left"/>
      <w:lvlText w:val="(%1)"/>
      <w:numFmt w:val="lowerLetter"/>
      <w:start w:val="2"/>
    </w:lvl>
  </w:abstractNum>
  <w:abstractNum w:abstractNumId="129">
    <w:nsid w:val="6B057295"/>
    <w:multiLevelType w:val="hybridMultilevel"/>
    <w:lvl w:ilvl="0">
      <w:lvlJc w:val="left"/>
      <w:lvlText w:val="(%1)"/>
      <w:numFmt w:val="lowerLetter"/>
      <w:start w:val="4"/>
    </w:lvl>
  </w:abstractNum>
  <w:abstractNum w:abstractNumId="130">
    <w:nsid w:val="2771AC80"/>
    <w:multiLevelType w:val="hybridMultilevel"/>
    <w:lvl w:ilvl="0">
      <w:lvlJc w:val="left"/>
      <w:lvlText w:val="(%1)"/>
      <w:numFmt w:val="lowerLetter"/>
      <w:start w:val="2"/>
    </w:lvl>
  </w:abstractNum>
  <w:abstractNum w:abstractNumId="131">
    <w:nsid w:val="1C4A08EC"/>
    <w:multiLevelType w:val="hybridMultilevel"/>
    <w:lvl w:ilvl="0">
      <w:lvlJc w:val="left"/>
      <w:lvlText w:val="(%1)"/>
      <w:numFmt w:val="lowerLetter"/>
      <w:start w:val="1"/>
    </w:lvl>
    <w:lvl w:ilvl="1">
      <w:lvlJc w:val="left"/>
      <w:lvlText w:val="(%2)"/>
      <w:numFmt w:val="lowerLetter"/>
      <w:start w:val="9"/>
    </w:lvl>
  </w:abstractNum>
  <w:abstractNum w:abstractNumId="132">
    <w:nsid w:val="1958BD17"/>
    <w:multiLevelType w:val="hybridMultilevel"/>
    <w:lvl w:ilvl="0">
      <w:lvlJc w:val="left"/>
      <w:lvlText w:val="%1"/>
      <w:numFmt w:val="upperLetter"/>
      <w:start w:val="1"/>
    </w:lvl>
    <w:lvl w:ilvl="1">
      <w:lvlJc w:val="left"/>
      <w:lvlText w:val="(%2)"/>
      <w:numFmt w:val="lowerRoman"/>
      <w:start w:val="2"/>
    </w:lvl>
  </w:abstractNum>
  <w:abstractNum w:abstractNumId="133">
    <w:nsid w:val="4E647FE4"/>
    <w:multiLevelType w:val="hybridMultilevel"/>
    <w:lvl w:ilvl="0">
      <w:lvlJc w:val="left"/>
      <w:lvlText w:val="(%1)"/>
      <w:numFmt w:val="upperLetter"/>
      <w:start w:val="1"/>
    </w:lvl>
    <w:lvl w:ilvl="1">
      <w:lvlJc w:val="left"/>
      <w:lvlText w:val="%2"/>
      <w:numFmt w:val="lowerRoman"/>
      <w:start w:val="1"/>
    </w:lvl>
  </w:abstractNum>
  <w:abstractNum w:abstractNumId="134">
    <w:nsid w:val="E0BB885"/>
    <w:multiLevelType w:val="hybridMultilevel"/>
    <w:lvl w:ilvl="0">
      <w:lvlJc w:val="left"/>
      <w:lvlText w:val="%1"/>
      <w:numFmt w:val="lowerLetter"/>
      <w:start w:val="1"/>
    </w:lvl>
    <w:lvl w:ilvl="1">
      <w:lvlJc w:val="left"/>
      <w:lvlText w:val="(%2)"/>
      <w:numFmt w:val="lowerRoman"/>
      <w:start w:val="4"/>
    </w:lvl>
  </w:abstractNum>
  <w:abstractNum w:abstractNumId="135">
    <w:nsid w:val="565976F1"/>
    <w:multiLevelType w:val="hybridMultilevel"/>
    <w:lvl w:ilvl="0">
      <w:lvlJc w:val="left"/>
      <w:lvlText w:val="(%1)"/>
      <w:numFmt w:val="lowerLetter"/>
      <w:start w:val="2"/>
    </w:lvl>
    <w:lvl w:ilvl="1">
      <w:lvlJc w:val="left"/>
      <w:lvlText w:val="(%2)"/>
      <w:numFmt w:val="lowerRoman"/>
      <w:start w:val="1"/>
    </w:lvl>
  </w:abstractNum>
  <w:abstractNum w:abstractNumId="136">
    <w:nsid w:val="64212B8C"/>
    <w:multiLevelType w:val="hybridMultilevel"/>
    <w:lvl w:ilvl="0">
      <w:lvlJc w:val="left"/>
      <w:lvlText w:val="(%1)"/>
      <w:numFmt w:val="lowerRoman"/>
      <w:start w:val="2"/>
    </w:lvl>
  </w:abstractNum>
  <w:abstractNum w:abstractNumId="137">
    <w:nsid w:val="5C17530C"/>
    <w:multiLevelType w:val="hybridMultilevel"/>
    <w:lvl w:ilvl="0">
      <w:lvlJc w:val="left"/>
      <w:lvlText w:val="(%1)"/>
      <w:numFmt w:val="lowerRoman"/>
      <w:start w:val="10"/>
    </w:lvl>
  </w:abstractNum>
  <w:abstractNum w:abstractNumId="138">
    <w:nsid w:val="19A52566"/>
    <w:multiLevelType w:val="hybridMultilevel"/>
    <w:lvl w:ilvl="0">
      <w:lvlJc w:val="left"/>
      <w:lvlText w:val="(%1)"/>
      <w:numFmt w:val="lowerLetter"/>
      <w:start w:val="2"/>
    </w:lvl>
  </w:abstractNum>
  <w:abstractNum w:abstractNumId="139">
    <w:nsid w:val="335A1DF1"/>
    <w:multiLevelType w:val="hybridMultilevel"/>
    <w:lvl w:ilvl="0">
      <w:lvlJc w:val="left"/>
      <w:lvlText w:val="(%1)"/>
      <w:numFmt w:val="lowerLetter"/>
      <w:start w:val="4"/>
    </w:lvl>
  </w:abstractNum>
  <w:abstractNum w:abstractNumId="140">
    <w:nsid w:val="28677B7C"/>
    <w:multiLevelType w:val="hybridMultilevel"/>
    <w:lvl w:ilvl="0">
      <w:lvlJc w:val="left"/>
      <w:lvlText w:val="(%1)"/>
      <w:numFmt w:val="lowerLetter"/>
      <w:start w:val="2"/>
    </w:lvl>
  </w:abstractNum>
  <w:abstractNum w:abstractNumId="141">
    <w:nsid w:val="378D97C0"/>
    <w:multiLevelType w:val="hybridMultilevel"/>
    <w:lvl w:ilvl="0">
      <w:lvlJc w:val="left"/>
      <w:lvlText w:val="(%1)"/>
      <w:numFmt w:val="lowerLetter"/>
      <w:start w:val="3"/>
    </w:lvl>
  </w:abstractNum>
  <w:abstractNum w:abstractNumId="142">
    <w:nsid w:val="1D91467C"/>
    <w:multiLevelType w:val="hybridMultilevel"/>
    <w:lvl w:ilvl="0">
      <w:lvlJc w:val="left"/>
      <w:lvlText w:val="(%1)"/>
      <w:numFmt w:val="lowerLetter"/>
      <w:start w:val="4"/>
    </w:lvl>
  </w:abstractNum>
  <w:abstractNum w:abstractNumId="143">
    <w:nsid w:val="316032BB"/>
    <w:multiLevelType w:val="hybridMultilevel"/>
    <w:lvl w:ilvl="0">
      <w:lvlJc w:val="left"/>
      <w:lvlText w:val="(%1)"/>
      <w:numFmt w:val="lowerLetter"/>
      <w:start w:val="2"/>
    </w:lvl>
  </w:abstractNum>
  <w:abstractNum w:abstractNumId="144">
    <w:nsid w:val="44344C22"/>
    <w:multiLevelType w:val="hybridMultilevel"/>
    <w:lvl w:ilvl="0">
      <w:lvlJc w:val="left"/>
      <w:lvlText w:val="(%1)"/>
      <w:numFmt w:val="lowerLetter"/>
      <w:start w:val="2"/>
    </w:lvl>
  </w:abstractNum>
  <w:abstractNum w:abstractNumId="145">
    <w:nsid w:val="13CDFCFC"/>
    <w:multiLevelType w:val="hybridMultilevel"/>
    <w:lvl w:ilvl="0">
      <w:lvlJc w:val="left"/>
      <w:lvlText w:val="(%1)"/>
      <w:numFmt w:val="lowerLetter"/>
      <w:start w:val="2"/>
    </w:lvl>
  </w:abstractNum>
  <w:abstractNum w:abstractNumId="146">
    <w:nsid w:val="471745E4"/>
    <w:multiLevelType w:val="hybridMultilevel"/>
    <w:lvl w:ilvl="0">
      <w:lvlJc w:val="left"/>
      <w:lvlText w:val="(%1)"/>
      <w:numFmt w:val="lowerLetter"/>
      <w:start w:val="3"/>
    </w:lvl>
  </w:abstractNum>
  <w:abstractNum w:abstractNumId="147">
    <w:nsid w:val="1DDBC66"/>
    <w:multiLevelType w:val="hybridMultilevel"/>
    <w:lvl w:ilvl="0">
      <w:lvlJc w:val="left"/>
      <w:lvlText w:val="(%1)"/>
      <w:numFmt w:val="lowerRoman"/>
      <w:start w:val="2"/>
    </w:lvl>
  </w:abstractNum>
  <w:abstractNum w:abstractNumId="148">
    <w:nsid w:val="30AADFDA"/>
    <w:multiLevelType w:val="hybridMultilevel"/>
    <w:lvl w:ilvl="0">
      <w:lvlJc w:val="left"/>
      <w:lvlText w:val="(%1)"/>
      <w:numFmt w:val="lowerLetter"/>
      <w:start w:val="2"/>
    </w:lvl>
  </w:abstractNum>
  <w:abstractNum w:abstractNumId="149">
    <w:nsid w:val="30EADA61"/>
    <w:multiLevelType w:val="hybridMultilevel"/>
    <w:lvl w:ilvl="0">
      <w:lvlJc w:val="left"/>
      <w:lvlText w:val="(%1)"/>
      <w:numFmt w:val="lowerLetter"/>
      <w:start w:val="2"/>
    </w:lvl>
  </w:abstractNum>
  <w:abstractNum w:abstractNumId="150">
    <w:nsid w:val="27179C0B"/>
    <w:multiLevelType w:val="hybridMultilevel"/>
    <w:lvl w:ilvl="0">
      <w:lvlJc w:val="left"/>
      <w:lvlText w:val="(%1)"/>
      <w:numFmt w:val="lowerLetter"/>
      <w:start w:val="2"/>
    </w:lvl>
  </w:abstractNum>
  <w:abstractNum w:abstractNumId="151">
    <w:nsid w:val="5E636063"/>
    <w:multiLevelType w:val="hybridMultilevel"/>
    <w:lvl w:ilvl="0">
      <w:lvlJc w:val="left"/>
      <w:lvlText w:val="(%1)"/>
      <w:numFmt w:val="lowerLetter"/>
      <w:start w:val="1"/>
    </w:lvl>
  </w:abstractNum>
  <w:abstractNum w:abstractNumId="152">
    <w:nsid w:val="215641AF"/>
    <w:multiLevelType w:val="hybridMultilevel"/>
    <w:lvl w:ilvl="0">
      <w:lvlJc w:val="left"/>
      <w:lvlText w:val="(%1)"/>
      <w:numFmt w:val="lowerLetter"/>
      <w:start w:val="3"/>
    </w:lvl>
  </w:abstractNum>
  <w:abstractNum w:abstractNumId="153">
    <w:nsid w:val="53280662"/>
    <w:multiLevelType w:val="hybridMultilevel"/>
    <w:lvl w:ilvl="0">
      <w:lvlJc w:val="left"/>
      <w:lvlText w:val="(%1)"/>
      <w:numFmt w:val="lowerLetter"/>
      <w:start w:val="1"/>
    </w:lvl>
  </w:abstractNum>
  <w:abstractNum w:abstractNumId="154">
    <w:nsid w:val="46B24DBC"/>
    <w:multiLevelType w:val="hybridMultilevel"/>
    <w:lvl w:ilvl="0">
      <w:lvlJc w:val="left"/>
      <w:lvlText w:val="(%1)"/>
      <w:numFmt w:val="lowerLetter"/>
      <w:start w:val="1"/>
    </w:lvl>
  </w:abstractNum>
  <w:abstractNum w:abstractNumId="155">
    <w:nsid w:val="75B52783"/>
    <w:multiLevelType w:val="hybridMultilevel"/>
    <w:lvl w:ilvl="0">
      <w:lvlJc w:val="left"/>
      <w:lvlText w:val="(%1)"/>
      <w:numFmt w:val="lowerLetter"/>
      <w:start w:val="6"/>
    </w:lvl>
    <w:lvl w:ilvl="1">
      <w:lvlJc w:val="left"/>
      <w:lvlText w:val="(%2)"/>
      <w:numFmt w:val="lowerRoman"/>
      <w:start w:val="1"/>
    </w:lvl>
  </w:abstractNum>
  <w:abstractNum w:abstractNumId="156">
    <w:nsid w:val="57CE66B4"/>
    <w:multiLevelType w:val="hybridMultilevel"/>
    <w:lvl w:ilvl="0">
      <w:lvlJc w:val="left"/>
      <w:lvlText w:val="(%1)"/>
      <w:numFmt w:val="lowerLetter"/>
      <w:start w:val="10"/>
    </w:lvl>
  </w:abstractNum>
  <w:abstractNum w:abstractNumId="157">
    <w:nsid w:val="67A70B69"/>
    <w:multiLevelType w:val="hybridMultilevel"/>
    <w:lvl w:ilvl="0">
      <w:lvlJc w:val="left"/>
      <w:lvlText w:val="%1"/>
      <w:numFmt w:val="lowerLetter"/>
      <w:start w:val="1"/>
    </w:lvl>
    <w:lvl w:ilvl="1">
      <w:lvlJc w:val="left"/>
      <w:lvlText w:val="(%2)"/>
      <w:numFmt w:val="lowerLetter"/>
      <w:start w:val="1"/>
    </w:lvl>
  </w:abstractNum>
  <w:abstractNum w:abstractNumId="158">
    <w:nsid w:val="5953172F"/>
    <w:multiLevelType w:val="hybridMultilevel"/>
    <w:lvl w:ilvl="0">
      <w:lvlJc w:val="left"/>
      <w:lvlText w:val="(%1)"/>
      <w:numFmt w:val="lowerLetter"/>
      <w:start w:val="9"/>
    </w:lvl>
    <w:lvl w:ilvl="1">
      <w:lvlJc w:val="left"/>
      <w:lvlText w:val="(%2)"/>
      <w:numFmt w:val="lowerLetter"/>
      <w:start w:val="2"/>
    </w:lvl>
  </w:abstractNum>
  <w:abstractNum w:abstractNumId="159">
    <w:nsid w:val="27EDFE3A"/>
    <w:multiLevelType w:val="hybridMultilevel"/>
    <w:lvl w:ilvl="0">
      <w:lvlJc w:val="left"/>
      <w:lvlText w:val="(%1)"/>
      <w:numFmt w:val="lowerLetter"/>
      <w:start w:val="1"/>
    </w:lvl>
  </w:abstractNum>
  <w:abstractNum w:abstractNumId="160">
    <w:nsid w:val="52AC7DFF"/>
    <w:multiLevelType w:val="hybridMultilevel"/>
    <w:lvl w:ilvl="0">
      <w:lvlJc w:val="left"/>
      <w:lvlText w:val="(%1)"/>
      <w:numFmt w:val="lowerLetter"/>
      <w:start w:val="3"/>
    </w:lvl>
  </w:abstractNum>
  <w:abstractNum w:abstractNumId="161">
    <w:nsid w:val="C4C3AF"/>
    <w:multiLevelType w:val="hybridMultilevel"/>
    <w:lvl w:ilvl="0">
      <w:lvlJc w:val="left"/>
      <w:lvlText w:val="(%1)"/>
      <w:numFmt w:val="lowerLetter"/>
      <w:start w:val="1"/>
    </w:lvl>
  </w:abstractNum>
  <w:abstractNum w:abstractNumId="162">
    <w:nsid w:val="44380727"/>
    <w:multiLevelType w:val="hybridMultilevel"/>
    <w:lvl w:ilvl="0">
      <w:lvlJc w:val="left"/>
      <w:lvlText w:val="(%1)"/>
      <w:numFmt w:val="lowerLetter"/>
      <w:start w:val="2"/>
    </w:lvl>
  </w:abstractNum>
  <w:abstractNum w:abstractNumId="163">
    <w:nsid w:val="6C053B16"/>
    <w:multiLevelType w:val="hybridMultilevel"/>
    <w:lvl w:ilvl="0">
      <w:lvlJc w:val="left"/>
      <w:lvlText w:val="(%1)"/>
      <w:numFmt w:val="lowerLetter"/>
      <w:start w:val="2"/>
    </w:lvl>
  </w:abstractNum>
  <w:abstractNum w:abstractNumId="164">
    <w:nsid w:val="4F294393"/>
    <w:multiLevelType w:val="hybridMultilevel"/>
    <w:lvl w:ilvl="0">
      <w:lvlJc w:val="left"/>
      <w:lvlText w:val="(%1)"/>
      <w:numFmt w:val="lowerLetter"/>
      <w:start w:val="2"/>
    </w:lvl>
  </w:abstractNum>
  <w:abstractNum w:abstractNumId="165">
    <w:nsid w:val="5243BFAC"/>
    <w:multiLevelType w:val="hybridMultilevel"/>
    <w:lvl w:ilvl="0">
      <w:lvlJc w:val="left"/>
      <w:lvlText w:val="(%1)"/>
      <w:numFmt w:val="lowerRoman"/>
      <w:start w:val="1"/>
    </w:lvl>
  </w:abstractNum>
  <w:abstractNum w:abstractNumId="166">
    <w:nsid w:val="425EB207"/>
    <w:multiLevelType w:val="hybridMultilevel"/>
    <w:lvl w:ilvl="0">
      <w:lvlJc w:val="left"/>
      <w:lvlText w:val="(%1)"/>
      <w:numFmt w:val="lowerLetter"/>
      <w:start w:val="1"/>
    </w:lvl>
  </w:abstractNum>
  <w:abstractNum w:abstractNumId="167">
    <w:nsid w:val="334A6F1F"/>
    <w:multiLevelType w:val="hybridMultilevel"/>
    <w:lvl w:ilvl="0">
      <w:lvlJc w:val="left"/>
      <w:lvlText w:val="(%1)"/>
      <w:numFmt w:val="lowerLetter"/>
      <w:start w:val="3"/>
    </w:lvl>
  </w:abstractNum>
  <w:abstractNum w:abstractNumId="168">
    <w:nsid w:val="2E5B12B8"/>
    <w:multiLevelType w:val="hybridMultilevel"/>
    <w:lvl w:ilvl="0">
      <w:lvlJc w:val="left"/>
      <w:lvlText w:val="%1"/>
      <w:numFmt w:val="lowerLetter"/>
      <w:start w:val="1"/>
    </w:lvl>
    <w:lvl w:ilvl="1">
      <w:lvlJc w:val="left"/>
      <w:lvlText w:val="(%2)"/>
      <w:numFmt w:val="lowerLetter"/>
      <w:start w:val="8"/>
    </w:lvl>
  </w:abstractNum>
  <w:abstractNum w:abstractNumId="169">
    <w:nsid w:val="5C03D76D"/>
    <w:multiLevelType w:val="hybridMultilevel"/>
    <w:lvl w:ilvl="0">
      <w:lvlJc w:val="left"/>
      <w:lvlText w:val="(%1)"/>
      <w:numFmt w:val="lowerLetter"/>
      <w:start w:val="24"/>
    </w:lvl>
    <w:lvl w:ilvl="1">
      <w:lvlJc w:val="left"/>
      <w:lvlText w:val="(%2)"/>
      <w:numFmt w:val="lowerLetter"/>
      <w:start w:val="9"/>
    </w:lvl>
  </w:abstractNum>
  <w:abstractNum w:abstractNumId="170">
    <w:nsid w:val="66A48D11"/>
    <w:multiLevelType w:val="hybridMultilevel"/>
    <w:lvl w:ilvl="0">
      <w:lvlJc w:val="left"/>
      <w:lvlText w:val="(%1)"/>
      <w:numFmt w:val="lowerLetter"/>
      <w:start w:val="13"/>
    </w:lvl>
  </w:abstractNum>
  <w:abstractNum w:abstractNumId="171">
    <w:nsid w:val="56C28E34"/>
    <w:multiLevelType w:val="hybridMultilevel"/>
    <w:lvl w:ilvl="0">
      <w:lvlJc w:val="left"/>
      <w:lvlText w:val="%1"/>
      <w:numFmt w:val="lowerLetter"/>
      <w:start w:val="1"/>
    </w:lvl>
    <w:lvl w:ilvl="1">
      <w:lvlJc w:val="left"/>
      <w:lvlText w:val="(%2)"/>
      <w:numFmt w:val="lowerLetter"/>
      <w:start w:val="1"/>
    </w:lvl>
  </w:abstractNum>
  <w:abstractNum w:abstractNumId="172">
    <w:nsid w:val="13916F2D"/>
    <w:multiLevelType w:val="hybridMultilevel"/>
    <w:lvl w:ilvl="0">
      <w:lvlJc w:val="left"/>
      <w:lvlText w:val="(%1)"/>
      <w:numFmt w:val="lowerLetter"/>
      <w:start w:val="9"/>
    </w:lvl>
    <w:lvl w:ilvl="1">
      <w:lvlJc w:val="left"/>
      <w:lvlText w:val="(%2)"/>
      <w:numFmt w:val="lowerLetter"/>
      <w:start w:val="4"/>
    </w:lvl>
  </w:abstractNum>
  <w:abstractNum w:abstractNumId="173">
    <w:nsid w:val="435D38D"/>
    <w:multiLevelType w:val="hybridMultilevel"/>
    <w:lvl w:ilvl="0">
      <w:lvlJc w:val="left"/>
      <w:lvlText w:val="(%1)"/>
      <w:numFmt w:val="lowerLetter"/>
      <w:start w:val="35"/>
    </w:lvl>
    <w:lvl w:ilvl="1">
      <w:lvlJc w:val="left"/>
      <w:lvlText w:val="%2"/>
      <w:numFmt w:val="lowerLetter"/>
      <w:start w:val="1"/>
    </w:lvl>
  </w:abstractNum>
  <w:abstractNum w:abstractNumId="174">
    <w:nsid w:val="822C0EF"/>
    <w:multiLevelType w:val="hybridMultilevel"/>
    <w:lvl w:ilvl="0">
      <w:lvlJc w:val="left"/>
      <w:lvlText w:val="(%1)"/>
      <w:numFmt w:val="lowerLetter"/>
      <w:start w:val="6"/>
    </w:lvl>
  </w:abstractNum>
  <w:abstractNum w:abstractNumId="175">
    <w:nsid w:val="57C5BB4F"/>
    <w:multiLevelType w:val="hybridMultilevel"/>
    <w:lvl w:ilvl="0">
      <w:lvlJc w:val="left"/>
      <w:lvlText w:val="(%1)"/>
      <w:numFmt w:val="lowerLetter"/>
      <w:start w:val="16"/>
    </w:lvl>
  </w:abstractNum>
  <w:abstractNum w:abstractNumId="176">
    <w:nsid w:val="1803D089"/>
    <w:multiLevelType w:val="hybridMultilevel"/>
    <w:lvl w:ilvl="0">
      <w:lvlJc w:val="left"/>
      <w:lvlText w:val="(%1)"/>
      <w:numFmt w:val="lowerRoman"/>
      <w:start w:val="1"/>
    </w:lvl>
  </w:abstractNum>
  <w:abstractNum w:abstractNumId="177">
    <w:nsid w:val="4F3A06D4"/>
    <w:multiLevelType w:val="hybridMultilevel"/>
    <w:lvl w:ilvl="0">
      <w:lvlJc w:val="left"/>
      <w:lvlText w:val="(%1)"/>
      <w:numFmt w:val="lowerLetter"/>
      <w:start w:val="2"/>
    </w:lvl>
  </w:abstractNum>
  <w:abstractNum w:abstractNumId="178">
    <w:nsid w:val="59A377B6"/>
    <w:multiLevelType w:val="hybridMultilevel"/>
    <w:lvl w:ilvl="0">
      <w:lvlJc w:val="left"/>
      <w:lvlText w:val="(%1)"/>
      <w:numFmt w:val="lowerLetter"/>
      <w:start w:val="1"/>
    </w:lvl>
  </w:abstractNum>
  <w:abstractNum w:abstractNumId="179">
    <w:nsid w:val="48AEB063"/>
    <w:multiLevelType w:val="hybridMultilevel"/>
    <w:lvl w:ilvl="0">
      <w:lvlJc w:val="left"/>
      <w:lvlText w:val="(%1)"/>
      <w:numFmt w:val="lowerLetter"/>
      <w:start w:val="3"/>
    </w:lvl>
  </w:abstractNum>
  <w:abstractNum w:abstractNumId="180">
    <w:nsid w:val="24E135"/>
    <w:multiLevelType w:val="hybridMultilevel"/>
    <w:lvl w:ilvl="0">
      <w:lvlJc w:val="left"/>
      <w:lvlText w:val="(%1)"/>
      <w:numFmt w:val="lowerLetter"/>
      <w:start w:val="8"/>
    </w:lvl>
  </w:abstractNum>
  <w:abstractNum w:abstractNumId="181">
    <w:nsid w:val="BB13C1"/>
    <w:multiLevelType w:val="hybridMultilevel"/>
    <w:lvl w:ilvl="0">
      <w:lvlJc w:val="left"/>
      <w:lvlText w:val="(%1)"/>
      <w:numFmt w:val="lowerLetter"/>
      <w:start w:val="19"/>
    </w:lvl>
  </w:abstractNum>
  <w:abstractNum w:abstractNumId="182">
    <w:nsid w:val="271210C7"/>
    <w:multiLevelType w:val="hybridMultilevel"/>
    <w:lvl w:ilvl="0">
      <w:lvlJc w:val="left"/>
      <w:lvlText w:val="(%1)"/>
      <w:numFmt w:val="lowerLetter"/>
      <w:start w:val="27"/>
    </w:lvl>
  </w:abstractNum>
  <w:abstractNum w:abstractNumId="183">
    <w:nsid w:val="217B22E4"/>
    <w:multiLevelType w:val="hybridMultilevel"/>
    <w:lvl w:ilvl="0">
      <w:lvlJc w:val="left"/>
      <w:lvlText w:val="(%1)"/>
      <w:numFmt w:val="lowerLetter"/>
      <w:start w:val="32"/>
    </w:lvl>
  </w:abstractNum>
  <w:abstractNum w:abstractNumId="184">
    <w:nsid w:val="53E31A24"/>
    <w:multiLevelType w:val="hybridMultilevel"/>
    <w:lvl w:ilvl="0">
      <w:lvlJc w:val="left"/>
      <w:lvlText w:val="(%1)"/>
      <w:numFmt w:val="lowerLetter"/>
      <w:start w:val="1"/>
    </w:lvl>
  </w:abstractNum>
  <w:abstractNum w:abstractNumId="185">
    <w:nsid w:val="6DC45E83"/>
    <w:multiLevelType w:val="hybridMultilevel"/>
    <w:lvl w:ilvl="0">
      <w:lvlJc w:val="left"/>
      <w:lvlText w:val="(%1)"/>
      <w:numFmt w:val="lowerLetter"/>
      <w:start w:val="7"/>
    </w:lvl>
  </w:abstractNum>
  <w:abstractNum w:abstractNumId="186">
    <w:nsid w:val="17304A67"/>
    <w:multiLevelType w:val="hybridMultilevel"/>
    <w:lvl w:ilvl="0">
      <w:lvlJc w:val="left"/>
      <w:lvlText w:val="(%1)"/>
      <w:numFmt w:val="lowerLetter"/>
      <w:start w:val="16"/>
    </w:lvl>
  </w:abstractNum>
  <w:abstractNum w:abstractNumId="187">
    <w:nsid w:val="2BB180D8"/>
    <w:multiLevelType w:val="hybridMultilevel"/>
    <w:lvl w:ilvl="0">
      <w:lvlJc w:val="left"/>
      <w:lvlText w:val="(%1)"/>
      <w:numFmt w:val="lowerRoman"/>
      <w:start w:val="1"/>
    </w:lvl>
  </w:abstractNum>
  <w:abstractNum w:abstractNumId="188">
    <w:nsid w:val="556B69ED"/>
    <w:multiLevelType w:val="hybridMultilevel"/>
    <w:lvl w:ilvl="0">
      <w:lvlJc w:val="left"/>
      <w:lvlText w:val="(%1)"/>
      <w:numFmt w:val="lowerRoman"/>
      <w:start w:val="4"/>
    </w:lvl>
  </w:abstractNum>
  <w:abstractNum w:abstractNumId="189">
    <w:nsid w:val="70836196"/>
    <w:multiLevelType w:val="hybridMultilevel"/>
    <w:lvl w:ilvl="0">
      <w:lvlJc w:val="left"/>
      <w:lvlText w:val="(%1)"/>
      <w:numFmt w:val="lowerLetter"/>
      <w:start w:val="2"/>
    </w:lvl>
  </w:abstractNum>
  <w:abstractNum w:abstractNumId="190">
    <w:nsid w:val="539F7F12"/>
    <w:multiLevelType w:val="hybridMultilevel"/>
    <w:lvl w:ilvl="0">
      <w:lvlJc w:val="left"/>
      <w:lvlText w:val="(%1)"/>
      <w:numFmt w:val="lowerRoman"/>
      <w:start w:val="1"/>
    </w:lvl>
  </w:abstractNum>
  <w:abstractNum w:abstractNumId="191">
    <w:nsid w:val="2817E7EC"/>
    <w:multiLevelType w:val="hybridMultilevel"/>
    <w:lvl w:ilvl="0">
      <w:lvlJc w:val="left"/>
      <w:lvlText w:val="(%1)"/>
      <w:numFmt w:val="lowerLetter"/>
      <w:start w:val="8"/>
    </w:lvl>
  </w:abstractNum>
  <w:abstractNum w:abstractNumId="192">
    <w:nsid w:val="71482545"/>
    <w:multiLevelType w:val="hybridMultilevel"/>
    <w:lvl w:ilvl="0">
      <w:lvlJc w:val="left"/>
      <w:lvlText w:val="(%1)"/>
      <w:numFmt w:val="lowerLetter"/>
      <w:start w:val="26"/>
    </w:lvl>
  </w:abstractNum>
  <w:abstractNum w:abstractNumId="193">
    <w:nsid w:val="17D78639"/>
    <w:multiLevelType w:val="hybridMultilevel"/>
    <w:lvl w:ilvl="0">
      <w:lvlJc w:val="left"/>
      <w:lvlText w:val="(%1)"/>
      <w:numFmt w:val="lowerLetter"/>
      <w:start w:val="1"/>
    </w:lvl>
  </w:abstractNum>
  <w:abstractNum w:abstractNumId="194">
    <w:nsid w:val="141D2302"/>
    <w:multiLevelType w:val="hybridMultilevel"/>
    <w:lvl w:ilvl="0">
      <w:lvlJc w:val="left"/>
      <w:lvlText w:val="%1"/>
      <w:numFmt w:val="lowerLetter"/>
      <w:start w:val="1"/>
    </w:lvl>
    <w:lvl w:ilvl="1">
      <w:lvlJc w:val="left"/>
      <w:lvlText w:val="(%2)"/>
      <w:numFmt w:val="lowerLetter"/>
      <w:start w:val="1"/>
    </w:lvl>
  </w:abstractNum>
  <w:abstractNum w:abstractNumId="195">
    <w:nsid w:val="407168D8"/>
    <w:multiLevelType w:val="hybridMultilevel"/>
    <w:lvl w:ilvl="0">
      <w:lvlJc w:val="left"/>
      <w:lvlText w:val="(%1)"/>
      <w:numFmt w:val="lowerLetter"/>
      <w:start w:val="1"/>
    </w:lvl>
    <w:lvl w:ilvl="1">
      <w:lvlJc w:val="left"/>
      <w:lvlText w:val="(%2)"/>
      <w:numFmt w:val="lowerLetter"/>
      <w:start w:val="3"/>
    </w:lvl>
  </w:abstractNum>
  <w:abstractNum w:abstractNumId="196">
    <w:nsid w:val="6A1B45E5"/>
    <w:multiLevelType w:val="hybridMultilevel"/>
    <w:lvl w:ilvl="0">
      <w:lvlJc w:val="left"/>
      <w:lvlText w:val="(%1)"/>
      <w:numFmt w:val="lowerLetter"/>
      <w:start w:val="4"/>
    </w:lvl>
  </w:abstractNum>
  <w:abstractNum w:abstractNumId="197">
    <w:nsid w:val="567BD50A"/>
    <w:multiLevelType w:val="hybridMultilevel"/>
    <w:lvl w:ilvl="0">
      <w:lvlJc w:val="left"/>
      <w:lvlText w:val="(%1)"/>
      <w:numFmt w:val="lowerLetter"/>
      <w:start w:val="9"/>
    </w:lvl>
  </w:abstractNum>
  <w:abstractNum w:abstractNumId="198">
    <w:nsid w:val="73BBD7F8"/>
    <w:multiLevelType w:val="hybridMultilevel"/>
    <w:lvl w:ilvl="0">
      <w:lvlJc w:val="left"/>
      <w:lvlText w:val="(%1)"/>
      <w:numFmt w:val="lowerLetter"/>
      <w:start w:val="1"/>
    </w:lvl>
  </w:abstractNum>
  <w:abstractNum w:abstractNumId="199">
    <w:nsid w:val="1876589D"/>
    <w:multiLevelType w:val="hybridMultilevel"/>
    <w:lvl w:ilvl="0">
      <w:lvlJc w:val="left"/>
      <w:lvlText w:val="(%1)"/>
      <w:numFmt w:val="lowerLetter"/>
      <w:start w:val="2"/>
    </w:lvl>
  </w:abstractNum>
  <w:abstractNum w:abstractNumId="200">
    <w:nsid w:val="327FAC77"/>
    <w:multiLevelType w:val="hybridMultilevel"/>
    <w:lvl w:ilvl="0">
      <w:lvlJc w:val="left"/>
      <w:lvlText w:val="(%1)"/>
      <w:numFmt w:val="lowerLetter"/>
      <w:start w:val="1"/>
    </w:lvl>
  </w:abstractNum>
  <w:abstractNum w:abstractNumId="201">
    <w:nsid w:val="5A606509"/>
    <w:multiLevelType w:val="hybridMultilevel"/>
    <w:lvl w:ilvl="0">
      <w:lvlJc w:val="left"/>
      <w:lvlText w:val="(%1)"/>
      <w:numFmt w:val="lowerLetter"/>
      <w:start w:val="1"/>
    </w:lvl>
  </w:abstractNum>
  <w:abstractNum w:abstractNumId="202">
    <w:nsid w:val="6F38E6D1"/>
    <w:multiLevelType w:val="hybridMultilevel"/>
    <w:lvl w:ilvl="0">
      <w:lvlJc w:val="left"/>
      <w:lvlText w:val="(%1)"/>
      <w:numFmt w:val="lowerLetter"/>
      <w:start w:val="4"/>
    </w:lvl>
  </w:abstractNum>
  <w:abstractNum w:abstractNumId="203">
    <w:nsid w:val="46111BA5"/>
    <w:multiLevelType w:val="hybridMultilevel"/>
    <w:lvl w:ilvl="0">
      <w:lvlJc w:val="left"/>
      <w:lvlText w:val="(%1)"/>
      <w:numFmt w:val="lowerLetter"/>
      <w:start w:val="1"/>
    </w:lvl>
  </w:abstractNum>
  <w:abstractNum w:abstractNumId="204">
    <w:nsid w:val="5E963896"/>
    <w:multiLevelType w:val="hybridMultilevel"/>
    <w:lvl w:ilvl="0">
      <w:lvlJc w:val="left"/>
      <w:lvlText w:val="(%1)"/>
      <w:numFmt w:val="lowerLetter"/>
      <w:start w:val="2"/>
    </w:lvl>
  </w:abstractNum>
  <w:abstractNum w:abstractNumId="205">
    <w:nsid w:val="775BA7C1"/>
    <w:multiLevelType w:val="hybridMultilevel"/>
    <w:lvl w:ilvl="0">
      <w:lvlJc w:val="left"/>
      <w:lvlText w:val="(%1)"/>
      <w:numFmt w:val="lowerLetter"/>
      <w:start w:val="1"/>
    </w:lvl>
  </w:abstractNum>
  <w:abstractNum w:abstractNumId="206">
    <w:nsid w:val="1DD6D6F4"/>
    <w:multiLevelType w:val="hybridMultilevel"/>
    <w:lvl w:ilvl="0">
      <w:lvlJc w:val="left"/>
      <w:lvlText w:val="(%1)"/>
      <w:numFmt w:val="lowerRoman"/>
      <w:start w:val="1"/>
    </w:lvl>
  </w:abstractNum>
  <w:abstractNum w:abstractNumId="207">
    <w:nsid w:val="769A091F"/>
    <w:multiLevelType w:val="hybridMultilevel"/>
    <w:lvl w:ilvl="0">
      <w:lvlJc w:val="left"/>
      <w:lvlText w:val="(%1)"/>
      <w:numFmt w:val="lowerLetter"/>
      <w:start w:val="2"/>
    </w:lvl>
  </w:abstractNum>
  <w:abstractNum w:abstractNumId="208">
    <w:nsid w:val="4695AE95"/>
    <w:multiLevelType w:val="hybridMultilevel"/>
    <w:lvl w:ilvl="0">
      <w:lvlJc w:val="left"/>
      <w:lvlText w:val="(%1)"/>
      <w:numFmt w:val="lowerLetter"/>
      <w:start w:val="3"/>
    </w:lvl>
  </w:abstractNum>
  <w:abstractNum w:abstractNumId="209">
    <w:nsid w:val="777A4EAA"/>
    <w:multiLevelType w:val="hybridMultilevel"/>
    <w:lvl w:ilvl="0">
      <w:lvlJc w:val="left"/>
      <w:lvlText w:val="(%1)"/>
      <w:numFmt w:val="lowerLetter"/>
      <w:start w:val="4"/>
    </w:lvl>
  </w:abstractNum>
  <w:abstractNum w:abstractNumId="210">
    <w:nsid w:val="3F48B982"/>
    <w:multiLevelType w:val="hybridMultilevel"/>
    <w:lvl w:ilvl="0">
      <w:lvlJc w:val="left"/>
      <w:lvlText w:val="%1"/>
      <w:numFmt w:val="lowerLetter"/>
      <w:start w:val="1"/>
    </w:lvl>
    <w:lvl w:ilvl="1">
      <w:lvlJc w:val="left"/>
      <w:lvlText w:val="(%2)"/>
      <w:numFmt w:val="lowerLetter"/>
      <w:start w:val="2"/>
    </w:lvl>
  </w:abstractNum>
  <w:abstractNum w:abstractNumId="211">
    <w:nsid w:val="46BA8FCA"/>
    <w:multiLevelType w:val="hybridMultilevel"/>
    <w:lvl w:ilvl="0">
      <w:lvlJc w:val="left"/>
      <w:lvlText w:val="(%1)"/>
      <w:numFmt w:val="lowerLetter"/>
      <w:start w:val="35"/>
    </w:lvl>
    <w:lvl w:ilvl="1">
      <w:lvlJc w:val="left"/>
      <w:lvlText w:val="%2"/>
      <w:numFmt w:val="lowerLetter"/>
      <w:start w:val="1"/>
    </w:lvl>
  </w:abstractNum>
  <w:abstractNum w:abstractNumId="212">
    <w:nsid w:val="7835626C"/>
    <w:multiLevelType w:val="hybridMultilevel"/>
    <w:lvl w:ilvl="0">
      <w:lvlJc w:val="left"/>
      <w:lvlText w:val="(%1)"/>
      <w:numFmt w:val="lowerLetter"/>
      <w:start w:val="3"/>
    </w:lvl>
  </w:abstractNum>
  <w:abstractNum w:abstractNumId="213">
    <w:nsid w:val="665ACA49"/>
    <w:multiLevelType w:val="hybridMultilevel"/>
    <w:lvl w:ilvl="0">
      <w:lvlJc w:val="left"/>
      <w:lvlText w:val="(%1)"/>
      <w:numFmt w:val="lowerLetter"/>
      <w:start w:val="2"/>
    </w:lvl>
  </w:abstractNum>
  <w:abstractNum w:abstractNumId="214">
    <w:nsid w:val="6835B2AE"/>
    <w:multiLevelType w:val="hybridMultilevel"/>
    <w:lvl w:ilvl="0">
      <w:lvlJc w:val="left"/>
      <w:lvlText w:val="(%1)"/>
      <w:numFmt w:val="lowerLetter"/>
      <w:start w:val="3"/>
    </w:lvl>
  </w:abstractNum>
  <w:abstractNum w:abstractNumId="215">
    <w:nsid w:val="4C187C90"/>
    <w:multiLevelType w:val="hybridMultilevel"/>
    <w:lvl w:ilvl="0">
      <w:lvlJc w:val="left"/>
      <w:lvlText w:val="(%1)"/>
      <w:numFmt w:val="lowerLetter"/>
      <w:start w:val="2"/>
    </w:lvl>
    <w:lvl w:ilvl="1">
      <w:lvlJc w:val="left"/>
      <w:lvlText w:val="(%2)"/>
      <w:numFmt w:val="upperLetter"/>
      <w:start w:val="1"/>
    </w:lvl>
  </w:abstractNum>
  <w:abstractNum w:abstractNumId="216">
    <w:nsid w:val="541F28CD"/>
    <w:multiLevelType w:val="hybridMultilevel"/>
    <w:lvl w:ilvl="0">
      <w:lvlJc w:val="left"/>
      <w:lvlText w:val="(%1)"/>
      <w:numFmt w:val="lowerLetter"/>
      <w:start w:val="8"/>
    </w:lvl>
    <w:lvl w:ilvl="1">
      <w:lvlJc w:val="left"/>
      <w:lvlText w:val="(%2)"/>
      <w:numFmt w:val="upperLetter"/>
      <w:start w:val="2"/>
    </w:lvl>
  </w:abstractNum>
  <w:abstractNum w:abstractNumId="217">
    <w:nsid w:val="7F65FD16"/>
    <w:multiLevelType w:val="hybridMultilevel"/>
    <w:lvl w:ilvl="0">
      <w:lvlJc w:val="left"/>
      <w:lvlText w:val="(%1)"/>
      <w:numFmt w:val="lowerLetter"/>
      <w:start w:val="35"/>
    </w:lvl>
    <w:lvl w:ilvl="1">
      <w:lvlJc w:val="left"/>
      <w:lvlText w:val="(%2)"/>
      <w:numFmt w:val="upperLetter"/>
      <w:start w:val="1"/>
    </w:lvl>
  </w:abstractNum>
  <w:abstractNum w:abstractNumId="218">
    <w:nsid w:val="77C9FD68"/>
    <w:multiLevelType w:val="hybridMultilevel"/>
    <w:lvl w:ilvl="0">
      <w:lvlJc w:val="left"/>
      <w:lvlText w:val="(%1)"/>
      <w:numFmt w:val="lowerLetter"/>
      <w:start w:val="25"/>
    </w:lvl>
    <w:lvl w:ilvl="1">
      <w:lvlJc w:val="left"/>
      <w:lvlText w:val="%2"/>
      <w:numFmt w:val="upperLetter"/>
      <w:start w:val="1"/>
    </w:lvl>
  </w:abstractNum>
  <w:abstractNum w:abstractNumId="219">
    <w:nsid w:val="298A92BA"/>
    <w:multiLevelType w:val="hybridMultilevel"/>
    <w:lvl w:ilvl="0">
      <w:lvlJc w:val="left"/>
      <w:lvlText w:val="%1"/>
      <w:numFmt w:val="decimal"/>
      <w:start w:val="1"/>
    </w:lvl>
    <w:lvl w:ilvl="1">
      <w:lvlJc w:val="left"/>
      <w:lvlText w:val="(%2)"/>
      <w:numFmt w:val="upperLetter"/>
      <w:start w:val="2"/>
    </w:lvl>
  </w:abstractNum>
  <w:abstractNum w:abstractNumId="220">
    <w:nsid w:val="6FE95EAC"/>
    <w:multiLevelType w:val="hybridMultilevel"/>
    <w:lvl w:ilvl="0">
      <w:lvlJc w:val="left"/>
      <w:lvlText w:val="(%1)"/>
      <w:numFmt w:val="decimal"/>
      <w:start w:val="2"/>
    </w:lvl>
    <w:lvl w:ilvl="1">
      <w:lvlJc w:val="left"/>
      <w:lvlText w:val="(%2)"/>
      <w:numFmt w:val="upperLetter"/>
      <w:start w:val="5"/>
    </w:lvl>
  </w:abstractNum>
  <w:abstractNum w:abstractNumId="221">
    <w:nsid w:val="4B697C7A"/>
    <w:multiLevelType w:val="hybridMultilevel"/>
    <w:lvl w:ilvl="0">
      <w:lvlJc w:val="left"/>
      <w:lvlText w:val="(%1)"/>
      <w:numFmt w:val="lowerRoman"/>
      <w:start w:val="3"/>
    </w:lvl>
  </w:abstractNum>
  <w:abstractNum w:abstractNumId="222">
    <w:nsid w:val="51A27AA6"/>
    <w:multiLevelType w:val="hybridMultilevel"/>
    <w:lvl w:ilvl="0">
      <w:lvlJc w:val="left"/>
      <w:lvlText w:val="(%1)"/>
      <w:numFmt w:val="lowerRoman"/>
      <w:start w:val="4"/>
    </w:lvl>
  </w:abstractNum>
  <w:abstractNum w:abstractNumId="223">
    <w:nsid w:val="613183F2"/>
    <w:multiLevelType w:val="hybridMultilevel"/>
    <w:lvl w:ilvl="0">
      <w:lvlJc w:val="left"/>
      <w:lvlText w:val="%1"/>
      <w:numFmt w:val="upperLetter"/>
      <w:start w:val="1"/>
    </w:lvl>
    <w:lvl w:ilvl="1">
      <w:lvlJc w:val="left"/>
      <w:lvlText w:val="(%2)"/>
      <w:numFmt w:val="lowerLetter"/>
      <w:start w:val="3"/>
    </w:lvl>
  </w:abstractNum>
  <w:abstractNum w:abstractNumId="224">
    <w:nsid w:val="634102B4"/>
    <w:multiLevelType w:val="hybridMultilevel"/>
    <w:lvl w:ilvl="0">
      <w:lvlJc w:val="left"/>
      <w:lvlText w:val="(%1)"/>
      <w:numFmt w:val="upperLetter"/>
      <w:start w:val="3"/>
    </w:lvl>
    <w:lvl w:ilvl="1">
      <w:lvlJc w:val="left"/>
      <w:lvlText w:val="(%2)"/>
      <w:numFmt w:val="lowerLetter"/>
      <w:start w:val="4"/>
    </w:lvl>
  </w:abstractNum>
  <w:abstractNum w:abstractNumId="225">
    <w:nsid w:val="65BF9DA8"/>
    <w:multiLevelType w:val="hybridMultilevel"/>
    <w:lvl w:ilvl="0">
      <w:lvlJc w:val="left"/>
      <w:lvlText w:val="(%1)"/>
      <w:numFmt w:val="lowerLetter"/>
      <w:start w:val="5"/>
    </w:lvl>
    <w:lvl w:ilvl="1">
      <w:lvlJc w:val="left"/>
      <w:lvlText w:val="(%2)"/>
      <w:numFmt w:val="lowerRoman"/>
      <w:start w:val="1"/>
    </w:lvl>
  </w:abstractNum>
  <w:abstractNum w:abstractNumId="226">
    <w:nsid w:val="21A2ECCA"/>
    <w:multiLevelType w:val="hybridMultilevel"/>
    <w:lvl w:ilvl="0">
      <w:lvlJc w:val="left"/>
      <w:lvlText w:val="(%1)"/>
      <w:numFmt w:val="lowerRoman"/>
      <w:start w:val="4"/>
    </w:lvl>
  </w:abstractNum>
  <w:abstractNum w:abstractNumId="227">
    <w:nsid w:val="4D5C4899"/>
    <w:multiLevelType w:val="hybridMultilevel"/>
    <w:lvl w:ilvl="0">
      <w:lvlJc w:val="left"/>
      <w:lvlText w:val="(%1)"/>
      <w:numFmt w:val="lowerLetter"/>
      <w:start w:val="2"/>
    </w:lvl>
  </w:abstractNum>
  <w:abstractNum w:abstractNumId="228">
    <w:nsid w:val="3C3B72B2"/>
    <w:multiLevelType w:val="hybridMultilevel"/>
    <w:lvl w:ilvl="0">
      <w:lvlJc w:val="left"/>
      <w:lvlText w:val="(%1)"/>
      <w:numFmt w:val="lowerLetter"/>
      <w:start w:val="3"/>
    </w:lvl>
  </w:abstractNum>
  <w:abstractNum w:abstractNumId="229">
    <w:nsid w:val="155EC4C2"/>
    <w:multiLevelType w:val="hybridMultilevel"/>
    <w:lvl w:ilvl="0">
      <w:lvlJc w:val="left"/>
      <w:lvlText w:val="(%1)"/>
      <w:numFmt w:val="lowerLetter"/>
      <w:start w:val="2"/>
    </w:lvl>
  </w:abstractNum>
  <w:abstractNum w:abstractNumId="230">
    <w:nsid w:val="65D2A137"/>
    <w:multiLevelType w:val="hybridMultilevel"/>
    <w:lvl w:ilvl="0">
      <w:lvlJc w:val="left"/>
      <w:lvlText w:val="(%1)"/>
      <w:numFmt w:val="lowerLetter"/>
      <w:start w:val="2"/>
    </w:lvl>
  </w:abstractNum>
  <w:abstractNum w:abstractNumId="231">
    <w:nsid w:val="6EBB1F2A"/>
    <w:multiLevelType w:val="hybridMultilevel"/>
    <w:lvl w:ilvl="0">
      <w:lvlJc w:val="left"/>
      <w:lvlText w:val="(%1)"/>
      <w:numFmt w:val="lowerLetter"/>
      <w:start w:val="1"/>
    </w:lvl>
  </w:abstractNum>
  <w:abstractNum w:abstractNumId="232">
    <w:nsid w:val="6FBF29CB"/>
    <w:multiLevelType w:val="hybridMultilevel"/>
    <w:lvl w:ilvl="0">
      <w:lvlJc w:val="left"/>
      <w:lvlText w:val="(%1)"/>
      <w:numFmt w:val="lowerRoman"/>
      <w:start w:val="1"/>
    </w:lvl>
  </w:abstractNum>
  <w:abstractNum w:abstractNumId="233">
    <w:nsid w:val="550B8808"/>
    <w:multiLevelType w:val="hybridMultilevel"/>
    <w:lvl w:ilvl="0">
      <w:lvlJc w:val="left"/>
      <w:lvlText w:val="%1."/>
      <w:numFmt w:val="decimal"/>
      <w:start w:val="1"/>
    </w:lvl>
    <w:lvl w:ilvl="1">
      <w:lvlJc w:val="left"/>
      <w:lvlText w:val="%2."/>
      <w:numFmt w:val="lowerLetter"/>
      <w:start w:val="1"/>
    </w:lvl>
  </w:abstractNum>
  <w:abstractNum w:abstractNumId="234">
    <w:nsid w:val="34CC3ACF"/>
    <w:multiLevelType w:val="hybridMultilevel"/>
    <w:lvl w:ilvl="0">
      <w:lvlJc w:val="left"/>
      <w:lvlText w:val="%1."/>
      <w:numFmt w:val="decimal"/>
      <w:start w:val="1"/>
    </w:lvl>
  </w:abstractNum>
  <w:abstractNum w:abstractNumId="235">
    <w:nsid w:val="4E556261"/>
    <w:multiLevelType w:val="hybridMultilevel"/>
    <w:lvl w:ilvl="0">
      <w:lvlJc w:val="left"/>
      <w:lvlText w:val="1"/>
      <w:numFmt w:val="bullet"/>
      <w:start w:val="1"/>
    </w:lvl>
  </w:abstractNum>
  <w:abstractNum w:abstractNumId="236">
    <w:nsid w:val="4C672FC9"/>
    <w:multiLevelType w:val="hybridMultilevel"/>
    <w:lvl w:ilvl="0">
      <w:lvlJc w:val="left"/>
      <w:lvlText w:val="%1."/>
      <w:numFmt w:val="decimal"/>
      <w:start w:val="6"/>
    </w:lvl>
  </w:abstractNum>
  <w:abstractNum w:abstractNumId="237">
    <w:nsid w:val="52A311C3"/>
    <w:multiLevelType w:val="hybridMultilevel"/>
    <w:lvl w:ilvl="0">
      <w:lvlJc w:val="left"/>
      <w:lvlText w:val="2"/>
      <w:numFmt w:val="bullet"/>
      <w:start w:val="1"/>
    </w:lvl>
  </w:abstractNum>
  <w:abstractNum w:abstractNumId="238">
    <w:nsid w:val="44EF6B80"/>
    <w:multiLevelType w:val="hybridMultilevel"/>
    <w:lvl w:ilvl="0">
      <w:lvlJc w:val="left"/>
      <w:lvlText w:val="3"/>
      <w:numFmt w:val="bullet"/>
      <w:start w:val="1"/>
    </w:lvl>
  </w:abstractNum>
  <w:abstractNum w:abstractNumId="239">
    <w:nsid w:val="12FCDE5E"/>
    <w:multiLevelType w:val="hybridMultilevel"/>
    <w:lvl w:ilvl="0">
      <w:lvlJc w:val="left"/>
      <w:lvlText w:val="4"/>
      <w:numFmt w:val="bullet"/>
      <w:start w:val="1"/>
    </w:lvl>
  </w:abstractNum>
  <w:abstractNum w:abstractNumId="240">
    <w:nsid w:val="4A1D606E"/>
    <w:multiLevelType w:val="hybridMultilevel"/>
    <w:lvl w:ilvl="0">
      <w:lvlJc w:val="left"/>
      <w:lvlText w:val="1"/>
      <w:numFmt w:val="bullet"/>
      <w:start w:val="1"/>
    </w:lvl>
  </w:abstractNum>
  <w:abstractNum w:abstractNumId="241">
    <w:nsid w:val="4382503"/>
    <w:multiLevelType w:val="hybridMultilevel"/>
    <w:lvl w:ilvl="0">
      <w:lvlJc w:val="left"/>
      <w:lvlText w:val="2"/>
      <w:numFmt w:val="bullet"/>
      <w:start w:val="1"/>
    </w:lvl>
  </w:abstractNum>
  <w:abstractNum w:abstractNumId="242">
    <w:nsid w:val="59B76E28"/>
    <w:multiLevelType w:val="hybridMultilevel"/>
    <w:lvl w:ilvl="0">
      <w:lvlJc w:val="left"/>
      <w:lvlText w:val="3"/>
      <w:numFmt w:val="bullet"/>
      <w:start w:val="1"/>
    </w:lvl>
  </w:abstractNum>
  <w:abstractNum w:abstractNumId="243">
    <w:nsid w:val="4252C2DA"/>
    <w:multiLevelType w:val="hybridMultilevel"/>
    <w:lvl w:ilvl="0">
      <w:lvlJc w:val="left"/>
      <w:lvlText w:val="4"/>
      <w:numFmt w:val="bullet"/>
      <w:start w:val="1"/>
    </w:lvl>
  </w:abstractNum>
  <w:abstractNum w:abstractNumId="244">
    <w:nsid w:val="6A92EF4C"/>
    <w:multiLevelType w:val="hybridMultilevel"/>
    <w:lvl w:ilvl="0">
      <w:lvlJc w:val="left"/>
      <w:lvlText w:val="%1."/>
      <w:numFmt w:val="decimal"/>
      <w:start w:val="1"/>
    </w:lvl>
  </w:abstractNum>
  <w:abstractNum w:abstractNumId="245">
    <w:nsid w:val="41ED20D7"/>
    <w:multiLevelType w:val="hybridMultilevel"/>
    <w:lvl w:ilvl="0">
      <w:lvlJc w:val="left"/>
      <w:lvlText w:val="(%1)"/>
      <w:numFmt w:val="lowerRoman"/>
      <w:start w:val="1"/>
    </w:lvl>
  </w:abstractNum>
  <w:abstractNum w:abstractNumId="246">
    <w:nsid w:val="E6B3F6A"/>
    <w:multiLevelType w:val="hybridMultilevel"/>
    <w:lvl w:ilvl="0">
      <w:lvlJc w:val="left"/>
      <w:lvlText w:val="(%1)"/>
      <w:numFmt w:val="lowerRoman"/>
      <w:start w:val="3"/>
    </w:lvl>
  </w:abstractNum>
  <w:abstractNum w:abstractNumId="247">
    <w:nsid w:val="3EB21819"/>
    <w:multiLevelType w:val="hybridMultilevel"/>
    <w:lvl w:ilvl="0">
      <w:lvlJc w:val="left"/>
      <w:lvlText w:val="(%1)"/>
      <w:numFmt w:val="lowerRoman"/>
      <w:start w:val="2"/>
    </w:lvl>
  </w:abstractNum>
  <w:abstractNum w:abstractNumId="248">
    <w:nsid w:val="41531DED"/>
    <w:multiLevelType w:val="hybridMultilevel"/>
    <w:lvl w:ilvl="0">
      <w:lvlJc w:val="left"/>
      <w:lvlText w:val="%1."/>
      <w:numFmt w:val="decimal"/>
      <w:start w:val="2"/>
    </w:lvl>
  </w:abstractNum>
  <w:abstractNum w:abstractNumId="249">
    <w:nsid w:val="6353CD2"/>
    <w:multiLevelType w:val="hybridMultilevel"/>
    <w:lvl w:ilvl="0">
      <w:lvlJc w:val="left"/>
      <w:lvlText w:val="(%1)"/>
      <w:numFmt w:val="upperLetter"/>
      <w:start w:val="1"/>
    </w:lvl>
  </w:abstractNum>
  <w:abstractNum w:abstractNumId="250">
    <w:nsid w:val="683CAAD3"/>
    <w:multiLevelType w:val="hybridMultilevel"/>
    <w:lvl w:ilvl="0">
      <w:lvlJc w:val="left"/>
      <w:lvlText w:val="1"/>
      <w:numFmt w:val="bullet"/>
      <w:start w:val="1"/>
    </w:lvl>
  </w:abstractNum>
  <w:abstractNum w:abstractNumId="251">
    <w:nsid w:val="313C7C99"/>
    <w:multiLevelType w:val="hybridMultilevel"/>
    <w:lvl w:ilvl="0">
      <w:lvlJc w:val="left"/>
      <w:lvlText w:val="2"/>
      <w:numFmt w:val="bullet"/>
      <w:start w:val="1"/>
    </w:lvl>
  </w:abstractNum>
  <w:abstractNum w:abstractNumId="252">
    <w:nsid w:val="519EB94C"/>
    <w:multiLevelType w:val="hybridMultilevel"/>
    <w:lvl w:ilvl="0">
      <w:lvlJc w:val="left"/>
      <w:lvlText w:val="3"/>
      <w:numFmt w:val="bullet"/>
      <w:start w:val="1"/>
    </w:lvl>
  </w:abstractNum>
  <w:abstractNum w:abstractNumId="253">
    <w:nsid w:val="39DF2579"/>
    <w:multiLevelType w:val="hybridMultilevel"/>
    <w:lvl w:ilvl="0">
      <w:lvlJc w:val="left"/>
      <w:lvlText w:val="4"/>
      <w:numFmt w:val="bullet"/>
      <w:start w:val="1"/>
    </w:lvl>
  </w:abstractNum>
  <w:abstractNum w:abstractNumId="254">
    <w:nsid w:val="126E008B"/>
    <w:multiLevelType w:val="hybridMultilevel"/>
    <w:lvl w:ilvl="0">
      <w:lvlJc w:val="left"/>
      <w:lvlText w:val="5"/>
      <w:numFmt w:val="bullet"/>
      <w:start w:val="1"/>
    </w:lvl>
  </w:abstractNum>
  <w:abstractNum w:abstractNumId="255">
    <w:nsid w:val="34DFBC00"/>
    <w:multiLevelType w:val="hybridMultilevel"/>
    <w:lvl w:ilvl="0">
      <w:lvlJc w:val="left"/>
      <w:lvlText w:val="6"/>
      <w:numFmt w:val="bullet"/>
      <w:start w:val="1"/>
    </w:lvl>
  </w:abstractNum>
  <w:abstractNum w:abstractNumId="256">
    <w:nsid w:val="1F9EC322"/>
    <w:multiLevelType w:val="hybridMultilevel"/>
    <w:lvl w:ilvl="0">
      <w:lvlJc w:val="left"/>
      <w:lvlText w:val="%1."/>
      <w:numFmt w:val="decimal"/>
      <w:start w:val="1"/>
    </w:lvl>
  </w:abstractNum>
  <w:abstractNum w:abstractNumId="257">
    <w:nsid w:val="3410ED56"/>
    <w:multiLevelType w:val="hybridMultilevel"/>
    <w:lvl w:ilvl="0">
      <w:lvlJc w:val="left"/>
      <w:lvlText w:val="(%1)"/>
      <w:numFmt w:val="lowerLetter"/>
      <w:start w:val="1"/>
    </w:lvl>
  </w:abstractNum>
  <w:abstractNum w:abstractNumId="258">
    <w:nsid w:val="23C049A"/>
    <w:multiLevelType w:val="hybridMultilevel"/>
    <w:lvl w:ilvl="0">
      <w:lvlJc w:val="left"/>
      <w:lvlText w:val="1"/>
      <w:numFmt w:val="bullet"/>
      <w:start w:val="1"/>
    </w:lvl>
  </w:abstractNum>
  <w:abstractNum w:abstractNumId="259">
    <w:nsid w:val="5BDA35D4"/>
    <w:multiLevelType w:val="hybridMultilevel"/>
    <w:lvl w:ilvl="0">
      <w:lvlJc w:val="left"/>
      <w:lvlText w:val="2"/>
      <w:numFmt w:val="bullet"/>
      <w:start w:val="1"/>
    </w:lvl>
  </w:abstractNum>
  <w:abstractNum w:abstractNumId="260">
    <w:nsid w:val="496FB218"/>
    <w:multiLevelType w:val="hybridMultilevel"/>
    <w:lvl w:ilvl="0">
      <w:lvlJc w:val="left"/>
      <w:lvlText w:val="☐"/>
      <w:numFmt w:val="bullet"/>
      <w:start w:val="1"/>
    </w:lvl>
  </w:abstractNum>
  <w:abstractNum w:abstractNumId="261">
    <w:nsid w:val="680EA5D1"/>
    <w:multiLevelType w:val="hybridMultilevel"/>
    <w:lvl w:ilvl="0">
      <w:lvlJc w:val="left"/>
      <w:lvlText w:val="☐"/>
      <w:numFmt w:val="bullet"/>
      <w:start w:val="1"/>
    </w:lvl>
  </w:abstractNum>
  <w:abstractNum w:abstractNumId="262">
    <w:nsid w:val="4A9554FE"/>
    <w:multiLevelType w:val="hybridMultilevel"/>
    <w:lvl w:ilvl="0">
      <w:lvlJc w:val="left"/>
      <w:lvlText w:val="1"/>
      <w:numFmt w:val="bullet"/>
      <w:start w:val="1"/>
    </w:lvl>
  </w:abstractNum>
  <w:abstractNum w:abstractNumId="263">
    <w:nsid w:val="392EDBE4"/>
    <w:multiLevelType w:val="hybridMultilevel"/>
    <w:lvl w:ilvl="0">
      <w:lvlJc w:val="left"/>
      <w:lvlText w:val="3"/>
      <w:numFmt w:val="bullet"/>
      <w:start w:val="1"/>
    </w:lvl>
  </w:abstractNum>
  <w:abstractNum w:abstractNumId="264">
    <w:nsid w:val="3D1A2DD9"/>
    <w:multiLevelType w:val="hybridMultilevel"/>
    <w:lvl w:ilvl="0">
      <w:lvlJc w:val="left"/>
      <w:lvlText w:val="4"/>
      <w:numFmt w:val="bullet"/>
      <w:start w:val="1"/>
    </w:lvl>
  </w:abstractNum>
  <w:abstractNum w:abstractNumId="265">
    <w:nsid w:val="7F618FCD"/>
    <w:multiLevelType w:val="hybridMultilevel"/>
    <w:lvl w:ilvl="0">
      <w:lvlJc w:val="left"/>
      <w:lvlText w:val="5"/>
      <w:numFmt w:val="bullet"/>
      <w:start w:val="1"/>
    </w:lvl>
  </w:abstractNum>
  <w:abstractNum w:abstractNumId="266">
    <w:nsid w:val="7843E45"/>
    <w:multiLevelType w:val="hybridMultilevel"/>
    <w:lvl w:ilvl="0">
      <w:lvlJc w:val="left"/>
      <w:lvlText w:val="%1."/>
      <w:numFmt w:val="decimal"/>
      <w:start w:val="1"/>
    </w:lvl>
  </w:abstractNum>
  <w:abstractNum w:abstractNumId="267">
    <w:nsid w:val="9815DA3"/>
    <w:multiLevelType w:val="hybridMultilevel"/>
    <w:lvl w:ilvl="0">
      <w:lvlJc w:val="left"/>
      <w:lvlText w:val="%1."/>
      <w:numFmt w:val="decimal"/>
      <w:start w:val="2"/>
    </w:lvl>
  </w:abstractNum>
  <w:abstractNum w:abstractNumId="268">
    <w:nsid w:val="5204A191"/>
    <w:multiLevelType w:val="hybridMultilevel"/>
    <w:lvl w:ilvl="0">
      <w:lvlJc w:val="left"/>
      <w:lvlText w:val="1"/>
      <w:numFmt w:val="bullet"/>
      <w:start w:val="1"/>
    </w:lvl>
  </w:abstractNum>
  <w:abstractNum w:abstractNumId="269">
    <w:nsid w:val="4C73A9C6"/>
    <w:multiLevelType w:val="hybridMultilevel"/>
    <w:lvl w:ilvl="0">
      <w:lvlJc w:val="left"/>
      <w:lvlText w:val="2"/>
      <w:numFmt w:val="bullet"/>
      <w:start w:val="1"/>
    </w:lvl>
  </w:abstractNum>
  <w:abstractNum w:abstractNumId="270">
    <w:nsid w:val="1C7E3C01"/>
    <w:multiLevelType w:val="hybridMultilevel"/>
    <w:lvl w:ilvl="0">
      <w:lvlJc w:val="left"/>
      <w:lvlText w:val="3"/>
      <w:numFmt w:val="bullet"/>
      <w:start w:val="1"/>
    </w:lvl>
  </w:abstractNum>
  <w:abstractNum w:abstractNumId="271">
    <w:nsid w:val="1C2201FF"/>
    <w:multiLevelType w:val="hybridMultilevel"/>
    <w:lvl w:ilvl="0">
      <w:lvlJc w:val="left"/>
      <w:lvlText w:val="%1."/>
      <w:numFmt w:val="decimal"/>
      <w:start w:val="1"/>
    </w:lvl>
  </w:abstractNum>
  <w:abstractNum w:abstractNumId="272">
    <w:nsid w:val="50ABCEC9"/>
    <w:multiLevelType w:val="hybridMultilevel"/>
    <w:lvl w:ilvl="0">
      <w:lvlJc w:val="left"/>
      <w:lvlText w:val="1"/>
      <w:numFmt w:val="bullet"/>
      <w:start w:val="1"/>
    </w:lvl>
  </w:abstractNum>
  <w:abstractNum w:abstractNumId="273">
    <w:nsid w:val="7635AA2A"/>
    <w:multiLevelType w:val="hybridMultilevel"/>
    <w:lvl w:ilvl="0">
      <w:lvlJc w:val="left"/>
      <w:lvlText w:val="2"/>
      <w:numFmt w:val="bullet"/>
      <w:start w:val="1"/>
    </w:lvl>
  </w:abstractNum>
  <w:abstractNum w:abstractNumId="274">
    <w:nsid w:val="5E74C4D9"/>
    <w:multiLevelType w:val="hybridMultilevel"/>
    <w:lvl w:ilvl="0">
      <w:lvlJc w:val="left"/>
      <w:lvlText w:val="3"/>
      <w:numFmt w:val="bullet"/>
      <w:start w:val="1"/>
    </w:lvl>
  </w:abstractNum>
  <w:abstractNum w:abstractNumId="275">
    <w:nsid w:val="3B3EBE15"/>
    <w:multiLevelType w:val="hybridMultilevel"/>
    <w:lvl w:ilvl="0">
      <w:lvlJc w:val="left"/>
      <w:lvlText w:val="4"/>
      <w:numFmt w:val="bullet"/>
      <w:start w:val="1"/>
    </w:lvl>
  </w:abstractNum>
  <w:abstractNum w:abstractNumId="276">
    <w:nsid w:val="3822CB01"/>
    <w:multiLevelType w:val="hybridMultilevel"/>
    <w:lvl w:ilvl="0">
      <w:lvlJc w:val="left"/>
      <w:lvlText w:val="5"/>
      <w:numFmt w:val="bullet"/>
      <w:start w:val="1"/>
    </w:lvl>
  </w:abstractNum>
  <w:abstractNum w:abstractNumId="277">
    <w:nsid w:val="6CE00443"/>
    <w:multiLevelType w:val="hybridMultilevel"/>
    <w:lvl w:ilvl="0">
      <w:lvlJc w:val="left"/>
      <w:lvlText w:val="6"/>
      <w:numFmt w:val="bullet"/>
      <w:start w:val="1"/>
    </w:lvl>
  </w:abstractNum>
  <w:abstractNum w:abstractNumId="278">
    <w:nsid w:val="79F0D62F"/>
    <w:multiLevelType w:val="hybridMultilevel"/>
    <w:lvl w:ilvl="0">
      <w:lvlJc w:val="left"/>
      <w:lvlText w:val="7"/>
      <w:numFmt w:val="bullet"/>
      <w:start w:val="1"/>
    </w:lvl>
  </w:abstractNum>
  <w:abstractNum w:abstractNumId="279">
    <w:nsid w:val="7975E8EE"/>
    <w:multiLevelType w:val="hybridMultilevel"/>
    <w:lvl w:ilvl="0">
      <w:lvlJc w:val="left"/>
      <w:lvlText w:val="8"/>
      <w:numFmt w:val="bullet"/>
      <w:start w:val="1"/>
    </w:lvl>
  </w:abstractNum>
  <w:abstractNum w:abstractNumId="280">
    <w:nsid w:val="73154115"/>
    <w:multiLevelType w:val="hybridMultilevel"/>
    <w:lvl w:ilvl="0">
      <w:lvlJc w:val="left"/>
      <w:lvlText w:val="9"/>
      <w:numFmt w:val="bullet"/>
      <w:start w:val="1"/>
    </w:lvl>
  </w:abstractNum>
  <w:abstractNum w:abstractNumId="281">
    <w:nsid w:val="622D8102"/>
    <w:multiLevelType w:val="hybridMultilevel"/>
    <w:lvl w:ilvl="0">
      <w:lvlJc w:val="left"/>
      <w:lvlText w:val="(%1)"/>
      <w:numFmt w:val="lowerLetter"/>
      <w:start w:val="1"/>
    </w:lvl>
  </w:abstractNum>
  <w:abstractNum w:abstractNumId="282">
    <w:nsid w:val="2AB26587"/>
    <w:multiLevelType w:val="hybridMultilevel"/>
    <w:lvl w:ilvl="0">
      <w:lvlJc w:val="left"/>
      <w:lvlText w:val="(%1)"/>
      <w:numFmt w:val="lowerLetter"/>
      <w:start w:val="1"/>
    </w:lvl>
  </w:abstractNum>
  <w:abstractNum w:abstractNumId="283">
    <w:nsid w:val="44B3FA61"/>
    <w:multiLevelType w:val="hybridMultilevel"/>
    <w:lvl w:ilvl="0">
      <w:lvlJc w:val="left"/>
      <w:lvlText w:val="(%1)"/>
      <w:numFmt w:val="lowerLetter"/>
      <w:start w:val="1"/>
    </w:lvl>
  </w:abstractNum>
  <w:abstractNum w:abstractNumId="284">
    <w:nsid w:val="1C0CA67C"/>
    <w:multiLevelType w:val="hybridMultilevel"/>
    <w:lvl w:ilvl="0">
      <w:lvlJc w:val="left"/>
      <w:lvlText w:val="(%1)"/>
      <w:numFmt w:val="lowerLetter"/>
      <w:start w:val="1"/>
    </w:lvl>
  </w:abstractNum>
  <w:abstractNum w:abstractNumId="285">
    <w:nsid w:val="3D206613"/>
    <w:multiLevelType w:val="hybridMultilevel"/>
    <w:lvl w:ilvl="0">
      <w:lvlJc w:val="left"/>
      <w:lvlText w:val="(%1)"/>
      <w:numFmt w:val="lowerLetter"/>
      <w:start w:val="4"/>
    </w:lvl>
  </w:abstractNum>
  <w:abstractNum w:abstractNumId="286">
    <w:nsid w:val="7993B662"/>
    <w:multiLevelType w:val="hybridMultilevel"/>
    <w:lvl w:ilvl="0">
      <w:lvlJc w:val="left"/>
      <w:lvlText w:val="%1."/>
      <w:numFmt w:val="decimal"/>
      <w:start w:val="1"/>
    </w:lvl>
  </w:abstractNum>
  <w:abstractNum w:abstractNumId="287">
    <w:nsid w:val="3BAB699E"/>
    <w:multiLevelType w:val="hybridMultilevel"/>
    <w:lvl w:ilvl="0">
      <w:lvlJc w:val="left"/>
      <w:lvlText w:val="%1."/>
      <w:numFmt w:val="decimal"/>
      <w:start w:val="1"/>
    </w:lvl>
  </w:abstractNum>
  <w:abstractNum w:abstractNumId="288">
    <w:nsid w:val="71315369"/>
    <w:multiLevelType w:val="hybridMultilevel"/>
    <w:lvl w:ilvl="0">
      <w:lvlJc w:val="left"/>
      <w:lvlText w:val="(%1)"/>
      <w:numFmt w:val="lowerLetter"/>
      <w:start w:val="1"/>
    </w:lvl>
  </w:abstractNum>
  <w:abstractNum w:abstractNumId="289">
    <w:nsid w:val="7BCFBAFC"/>
    <w:multiLevelType w:val="hybridMultilevel"/>
    <w:lvl w:ilvl="0">
      <w:lvlJc w:val="left"/>
      <w:lvlText w:val="%1."/>
      <w:numFmt w:val="decimal"/>
      <w:start w:val="2"/>
    </w:lvl>
  </w:abstractNum>
  <w:abstractNum w:abstractNumId="290">
    <w:nsid w:val="17859F72"/>
    <w:multiLevelType w:val="hybridMultilevel"/>
    <w:lvl w:ilvl="0">
      <w:lvlJc w:val="left"/>
      <w:lvlText w:val="%1."/>
      <w:numFmt w:val="decimal"/>
      <w:start w:val="3"/>
    </w:lvl>
  </w:abstractNum>
  <w:abstractNum w:abstractNumId="291">
    <w:nsid w:val="3AA10581"/>
    <w:multiLevelType w:val="hybridMultilevel"/>
    <w:lvl w:ilvl="0">
      <w:lvlJc w:val="left"/>
      <w:lvlText w:val="%1."/>
      <w:numFmt w:val="decimal"/>
      <w:start w:val="4"/>
    </w:lvl>
  </w:abstractNum>
  <w:abstractNum w:abstractNumId="292">
    <w:nsid w:val="63DE60CD"/>
    <w:multiLevelType w:val="hybridMultilevel"/>
    <w:lvl w:ilvl="0">
      <w:lvlJc w:val="left"/>
      <w:lvlText w:val="1"/>
      <w:numFmt w:val="bullet"/>
      <w:start w:val="1"/>
    </w:lvl>
  </w:abstractNum>
  <w:abstractNum w:abstractNumId="293">
    <w:nsid w:val="621AF471"/>
    <w:multiLevelType w:val="hybridMultilevel"/>
    <w:lvl w:ilvl="0">
      <w:lvlJc w:val="left"/>
      <w:lvlText w:val="2"/>
      <w:numFmt w:val="bullet"/>
      <w:start w:val="1"/>
    </w:lvl>
  </w:abstractNum>
  <w:abstractNum w:abstractNumId="294">
    <w:nsid w:val="73CFE165"/>
    <w:multiLevelType w:val="hybridMultilevel"/>
    <w:lvl w:ilvl="0">
      <w:lvlJc w:val="left"/>
      <w:lvlText w:val="/"/>
      <w:numFmt w:val="bullet"/>
      <w:start w:val="1"/>
    </w:lvl>
    <w:lvl w:ilvl="1">
      <w:lvlJc w:val="left"/>
      <w:lvlText w:val="%2."/>
      <w:numFmt w:val="decimal"/>
      <w:start w:val="1"/>
    </w:lvl>
  </w:abstractNum>
  <w:abstractNum w:abstractNumId="295">
    <w:nsid w:val="20F88EA6"/>
    <w:multiLevelType w:val="hybridMultilevel"/>
    <w:lvl w:ilvl="0">
      <w:lvlJc w:val="left"/>
      <w:lvlText w:val="/"/>
      <w:numFmt w:val="bullet"/>
      <w:start w:val="1"/>
    </w:lvl>
    <w:lvl w:ilvl="1">
      <w:lvlJc w:val="left"/>
      <w:lvlText w:val="%2."/>
      <w:numFmt w:val="decimal"/>
      <w:start w:val="6"/>
    </w:lvl>
  </w:abstractNum>
  <w:abstractNum w:abstractNumId="296">
    <w:nsid w:val="617C843E"/>
    <w:multiLevelType w:val="hybridMultilevel"/>
    <w:lvl w:ilvl="0">
      <w:lvlJc w:val="left"/>
      <w:lvlText w:val="%1."/>
      <w:numFmt w:val="decimal"/>
      <w:start w:val="7"/>
    </w:lvl>
  </w:abstractNum>
  <w:abstractNum w:abstractNumId="297">
    <w:nsid w:val="7B541FAB"/>
    <w:multiLevelType w:val="hybridMultilevel"/>
    <w:lvl w:ilvl="0">
      <w:lvlJc w:val="left"/>
      <w:lvlText w:val="%1."/>
      <w:numFmt w:val="decimal"/>
      <w:start w:val="3"/>
    </w:lvl>
  </w:abstractNum>
  <w:abstractNum w:abstractNumId="298">
    <w:nsid w:val="2A79EC49"/>
    <w:multiLevelType w:val="hybridMultilevel"/>
    <w:lvl w:ilvl="0">
      <w:lvlJc w:val="left"/>
      <w:lvlText w:val="1"/>
      <w:numFmt w:val="bullet"/>
      <w:start w:val="1"/>
    </w:lvl>
  </w:abstractNum>
  <w:abstractNum w:abstractNumId="299">
    <w:nsid w:val="338125CF"/>
    <w:multiLevelType w:val="hybridMultilevel"/>
    <w:lvl w:ilvl="0">
      <w:lvlJc w:val="left"/>
      <w:lvlText w:val="2"/>
      <w:numFmt w:val="bullet"/>
      <w:start w:val="1"/>
    </w:lvl>
  </w:abstractNum>
  <w:abstractNum w:abstractNumId="300">
    <w:nsid w:val="47C7C971"/>
    <w:multiLevelType w:val="hybridMultilevel"/>
    <w:lvl w:ilvl="0">
      <w:lvlJc w:val="left"/>
      <w:lvlText w:val="(%1)"/>
      <w:numFmt w:val="lowerLetter"/>
      <w:start w:val="2"/>
    </w:lvl>
  </w:abstractNum>
  <w:abstractNum w:abstractNumId="301">
    <w:nsid w:val="46F8284B"/>
    <w:multiLevelType w:val="hybridMultilevel"/>
    <w:lvl w:ilvl="0">
      <w:lvlJc w:val="left"/>
      <w:lvlText w:val="(%1)"/>
      <w:numFmt w:val="lowerLetter"/>
      <w:start w:val="3"/>
    </w:lvl>
  </w:abstractNum>
  <w:abstractNum w:abstractNumId="302">
    <w:nsid w:val="4FA327CE"/>
    <w:multiLevelType w:val="hybridMultilevel"/>
    <w:lvl w:ilvl="0">
      <w:lvlJc w:val="left"/>
      <w:lvlText w:val="(%1)"/>
      <w:numFmt w:val="lowerLetter"/>
      <w:start w:val="1"/>
    </w:lvl>
  </w:abstractNum>
  <w:abstractNum w:abstractNumId="303">
    <w:nsid w:val="1873983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jpeg"/><Relationship Id="rId259" Type="http://schemas.openxmlformats.org/officeDocument/2006/relationships/image" Target="media/image251.png"/><Relationship Id="rId260" Type="http://schemas.openxmlformats.org/officeDocument/2006/relationships/image" Target="media/image252.jpe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18" Type="http://schemas.openxmlformats.org/officeDocument/2006/relationships/hyperlink" Target="http://www.sec.gov/Archives/edgar/data/771497/000157104917006648/t1702122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2019-12-29T04:12:59Z</dcterms:created>
  <dcterms:modified xsi:type="dcterms:W3CDTF">2019-12-29T04:12:59Z</dcterms:modified>
</cp:coreProperties>
</file>