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FORM 10-K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4"/>
              </w:rPr>
            </w:pPr>
            <w:r>
              <w:rPr>
                <w:rFonts w:ascii="Arial;sans-serif" w:hAnsi="Arial;sans-serif"/>
                <w:b/>
                <w:color w:val="000000"/>
                <w:sz w:val="24"/>
              </w:rPr>
              <w:t>ANNUAL REPORT PURSUANT TO SECTION 13 OR 15(d) OF THE SECURITIES EXCHANGE ACT OF 1934</w:t>
            </w:r>
          </w:p>
        </w:tc>
      </w:tr>
    </w:tbl>
    <w:p>
      <w:pPr>
        <w:pStyle w:val="TextBody"/>
        <w:bidi w:val="0"/>
        <w:spacing w:lineRule="auto" w:line="288" w:before="0" w:after="0"/>
        <w:ind w:left="0" w:right="0" w:firstLine="630"/>
        <w:jc w:val="center"/>
        <w:rPr/>
      </w:pPr>
      <w:r>
        <w:rPr>
          <w:rFonts w:ascii="Arial;sans-serif" w:hAnsi="Arial;sans-serif"/>
          <w:b/>
          <w:color w:val="000000"/>
          <w:sz w:val="24"/>
        </w:rPr>
        <w:t xml:space="preserve">For the fiscal year ended </w:t>
      </w:r>
      <w:r>
        <w:rPr>
          <w:rFonts w:ascii="Arial;sans-serif" w:hAnsi="Arial;sans-serif"/>
          <w:b/>
          <w:color w:val="000000"/>
          <w:sz w:val="24"/>
          <w:u w:val="single"/>
        </w:rPr>
        <w:t xml:space="preserve">October 31, 2023 </w:t>
      </w:r>
    </w:p>
    <w:p>
      <w:pPr>
        <w:pStyle w:val="TextBody"/>
        <w:bidi w:val="0"/>
        <w:spacing w:lineRule="auto" w:line="288" w:before="0" w:after="0"/>
        <w:ind w:left="0" w:right="0" w:firstLine="630"/>
        <w:jc w:val="center"/>
        <w:rPr>
          <w:rFonts w:ascii="Arial;sans-serif" w:hAnsi="Arial;sans-serif"/>
          <w:b w:val="false"/>
          <w:color w:val="000000"/>
          <w:sz w:val="24"/>
        </w:rPr>
      </w:pPr>
      <w:r>
        <w:rPr>
          <w:rFonts w:ascii="Arial;sans-serif" w:hAnsi="Arial;sans-serif"/>
          <w:b w:val="false"/>
          <w:color w:val="000000"/>
          <w:sz w:val="24"/>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60" w:after="120"/>
        <w:ind w:left="0" w:right="0" w:firstLine="630"/>
        <w:jc w:val="center"/>
        <w:rPr/>
      </w:pPr>
      <w:r>
        <w:rPr>
          <w:rFonts w:ascii="Arial;sans-serif" w:hAnsi="Arial;sans-serif"/>
          <w:b/>
          <w:color w:val="000000"/>
          <w:sz w:val="20"/>
        </w:rPr>
        <w:t xml:space="preserve">For the transition period from </w:t>
      </w:r>
      <w:r>
        <w:rPr>
          <w:color w:val="000000"/>
          <w:u w:val="single"/>
        </w:rPr>
        <w:t>            </w:t>
      </w:r>
      <w:r>
        <w:rPr>
          <w:color w:val="000000"/>
        </w:rPr>
        <w:t xml:space="preserve"> </w:t>
      </w:r>
      <w:r>
        <w:rPr>
          <w:rFonts w:ascii="Arial;sans-serif" w:hAnsi="Arial;sans-serif"/>
          <w:b/>
          <w:color w:val="000000"/>
          <w:sz w:val="20"/>
        </w:rPr>
        <w:t>to  </w:t>
      </w:r>
      <w:r>
        <w:rPr>
          <w:color w:val="000000"/>
          <w:u w:val="single"/>
        </w:rPr>
        <w:t>           </w:t>
      </w:r>
    </w:p>
    <w:p>
      <w:pPr>
        <w:pStyle w:val="TextBody"/>
        <w:bidi w:val="0"/>
        <w:spacing w:lineRule="auto" w:line="288" w:before="60" w:after="120"/>
        <w:jc w:val="center"/>
        <w:rPr/>
      </w:pPr>
      <w:r>
        <w:rPr>
          <w:rFonts w:ascii="Arial;sans-serif" w:hAnsi="Arial;sans-serif"/>
          <w:b/>
          <w:color w:val="000000"/>
          <w:sz w:val="20"/>
        </w:rPr>
        <w:t xml:space="preserve">Commission File Number: </w:t>
      </w:r>
      <w:r>
        <w:rPr>
          <w:rFonts w:ascii="Arial;sans-serif" w:hAnsi="Arial;sans-serif"/>
          <w:b/>
          <w:color w:val="000000"/>
          <w:sz w:val="20"/>
          <w:u w:val="single"/>
        </w:rPr>
        <w:t>1-8929</w:t>
      </w:r>
      <w:r>
        <w:rPr>
          <w:color w:val="000000"/>
        </w:rPr>
        <w:t> </w:t>
      </w:r>
    </w:p>
    <w:p>
      <w:pPr>
        <w:pStyle w:val="TextBody"/>
        <w:bidi w:val="0"/>
        <w:spacing w:before="60" w:after="120"/>
        <w:jc w:val="center"/>
        <w:rPr/>
      </w:pPr>
      <w:r>
        <w:rPr/>
      </w:r>
    </w:p>
    <w:p>
      <w:pPr>
        <w:pStyle w:val="TextBody"/>
        <w:bidi w:val="0"/>
        <w:spacing w:lineRule="auto" w:line="288" w:before="180" w:after="283"/>
        <w:jc w:val="center"/>
        <w:rPr>
          <w:rFonts w:ascii="Arial;sans-serif" w:hAnsi="Arial;sans-serif"/>
          <w:b/>
          <w:color w:val="000000"/>
          <w:sz w:val="48"/>
        </w:rPr>
      </w:pPr>
      <w:r>
        <w:rPr>
          <w:rFonts w:ascii="Arial;sans-serif" w:hAnsi="Arial;sans-serif"/>
          <w:b/>
          <w:color w:val="000000"/>
          <w:sz w:val="48"/>
        </w:rPr>
        <w:t>ABM INDUSTRIES INCORPORATED</w: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6670" w:type="dxa"/>
        <w:jc w:val="center"/>
        <w:tblInd w:w="0" w:type="dxa"/>
        <w:tblLayout w:type="fixed"/>
        <w:tblCellMar>
          <w:top w:w="28" w:type="dxa"/>
          <w:left w:w="28" w:type="dxa"/>
          <w:bottom w:w="28" w:type="dxa"/>
          <w:right w:w="28" w:type="dxa"/>
        </w:tblCellMar>
      </w:tblPr>
      <w:tblGrid>
        <w:gridCol w:w="949"/>
        <w:gridCol w:w="834"/>
        <w:gridCol w:w="842"/>
        <w:gridCol w:w="788"/>
        <w:gridCol w:w="788"/>
        <w:gridCol w:w="790"/>
        <w:gridCol w:w="490"/>
        <w:gridCol w:w="490"/>
        <w:gridCol w:w="699"/>
      </w:tblGrid>
      <w:tr>
        <w:trPr/>
        <w:tc>
          <w:tcPr>
            <w:tcW w:w="94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236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44780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7800" cy="733425"/>
                          </a:xfrm>
                          <a:prstGeom prst="rect">
                            <a:avLst/>
                          </a:prstGeom>
                        </pic:spPr>
                      </pic:pic>
                    </a:graphicData>
                  </a:graphic>
                </wp:inline>
              </w:drawing>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94-1369354</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w:t>
              <w:br/>
              <w:t>incorporation or organization)</w:t>
            </w:r>
          </w:p>
        </w:tc>
        <w:tc>
          <w:tcPr>
            <w:tcW w:w="2366" w:type="dxa"/>
            <w:gridSpan w:val="3"/>
            <w:vMerge w:val="continue"/>
            <w:tcBorders/>
            <w:tcMar>
              <w:top w:w="0" w:type="dxa"/>
              <w:left w:w="0" w:type="dxa"/>
              <w:bottom w:w="0" w:type="dxa"/>
              <w:right w:w="0" w:type="dxa"/>
            </w:tcMar>
            <w:vAlign w:val="center"/>
          </w:tcPr>
          <w:p>
            <w:pPr>
              <w:pStyle w:val="Normal"/>
              <w:bidi w:val="0"/>
              <w:jc w:val="left"/>
              <w:rPr/>
            </w:pPr>
            <w:r>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w:t>
              <w:br/>
              <w:t>Identification No.)</w:t>
            </w:r>
          </w:p>
        </w:tc>
      </w:tr>
    </w:tbl>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__________________________</w:t>
      </w:r>
    </w:p>
    <w:p>
      <w:pPr>
        <w:pStyle w:val="TextBody"/>
        <w:bidi w:val="0"/>
        <w:spacing w:lineRule="auto" w:line="288" w:before="0" w:after="0"/>
        <w:jc w:val="center"/>
        <w:rPr/>
      </w:pPr>
      <w:r>
        <w:rPr>
          <w:rFonts w:ascii="Arial;sans-serif" w:hAnsi="Arial;sans-serif"/>
          <w:b/>
          <w:color w:val="000000"/>
          <w:sz w:val="20"/>
        </w:rPr>
        <w:t>One Liberty Plaza, 7</w:t>
      </w:r>
      <w:r>
        <w:rPr>
          <w:rFonts w:ascii="Arial;sans-serif" w:hAnsi="Arial;sans-serif"/>
          <w:b/>
          <w:color w:val="000000"/>
          <w:sz w:val="13"/>
        </w:rPr>
        <w:t>th</w:t>
      </w:r>
      <w:r>
        <w:rPr>
          <w:color w:val="000000"/>
        </w:rPr>
        <w:t xml:space="preserve"> </w:t>
      </w:r>
      <w:r>
        <w:rPr>
          <w:rFonts w:ascii="Arial;sans-serif" w:hAnsi="Arial;sans-serif"/>
          <w:b/>
          <w:color w:val="000000"/>
          <w:sz w:val="20"/>
        </w:rPr>
        <w:t xml:space="preserve">Floor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New York, New York 10006 </w:t>
      </w:r>
    </w:p>
    <w:p>
      <w:pPr>
        <w:pStyle w:val="TextBody"/>
        <w:bidi w:val="0"/>
        <w:spacing w:lineRule="auto" w:line="288" w:before="120" w:after="60"/>
        <w:jc w:val="center"/>
        <w:rPr>
          <w:rFonts w:ascii="Arial;sans-serif" w:hAnsi="Arial;sans-serif"/>
          <w:b w:val="false"/>
          <w:color w:val="000000"/>
          <w:sz w:val="20"/>
        </w:rPr>
      </w:pPr>
      <w:r>
        <w:rPr>
          <w:rFonts w:ascii="Arial;sans-serif" w:hAnsi="Arial;sans-serif"/>
          <w:b w:val="false"/>
          <w:color w:val="000000"/>
          <w:sz w:val="20"/>
        </w:rPr>
        <w:t>(Address of principal executive offices)</w:t>
      </w:r>
    </w:p>
    <w:p>
      <w:pPr>
        <w:pStyle w:val="TextBody"/>
        <w:bidi w:val="0"/>
        <w:spacing w:before="0" w:after="60"/>
        <w:jc w:val="center"/>
        <w:rPr/>
      </w:pPr>
      <w:r>
        <w:rPr/>
      </w:r>
    </w:p>
    <w:p>
      <w:pPr>
        <w:pStyle w:val="TextBody"/>
        <w:bidi w:val="0"/>
        <w:spacing w:lineRule="auto" w:line="288" w:before="0" w:after="60"/>
        <w:jc w:val="center"/>
        <w:rPr>
          <w:rFonts w:ascii="Arial;sans-serif" w:hAnsi="Arial;sans-serif"/>
          <w:b/>
          <w:color w:val="000000"/>
          <w:sz w:val="20"/>
          <w:u w:val="single"/>
        </w:rPr>
      </w:pPr>
      <w:r>
        <w:rPr>
          <w:rFonts w:ascii="Arial;sans-serif" w:hAnsi="Arial;sans-serif"/>
          <w:b/>
          <w:color w:val="000000"/>
          <w:sz w:val="20"/>
          <w:u w:val="single"/>
        </w:rPr>
        <w:t xml:space="preserve">(212) 297-0200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(Registrant’s telephone number, including area code) </w: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__________________</w:t>
      </w:r>
    </w:p>
    <w:p>
      <w:pPr>
        <w:pStyle w:val="TextBody"/>
        <w:bidi w:val="0"/>
        <w:spacing w:lineRule="auto" w:line="288" w:before="180" w:after="60"/>
        <w:jc w:val="center"/>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201" w:type="dxa"/>
        <w:jc w:val="center"/>
        <w:tblInd w:w="0" w:type="dxa"/>
        <w:tblLayout w:type="fixed"/>
        <w:tblCellMar>
          <w:top w:w="28" w:type="dxa"/>
          <w:left w:w="28" w:type="dxa"/>
          <w:bottom w:w="28" w:type="dxa"/>
          <w:right w:w="28" w:type="dxa"/>
        </w:tblCellMar>
      </w:tblPr>
      <w:tblGrid>
        <w:gridCol w:w="1113"/>
        <w:gridCol w:w="975"/>
        <w:gridCol w:w="986"/>
        <w:gridCol w:w="109"/>
        <w:gridCol w:w="109"/>
        <w:gridCol w:w="109"/>
        <w:gridCol w:w="489"/>
        <w:gridCol w:w="489"/>
        <w:gridCol w:w="491"/>
        <w:gridCol w:w="109"/>
        <w:gridCol w:w="109"/>
        <w:gridCol w:w="109"/>
        <w:gridCol w:w="1170"/>
        <w:gridCol w:w="1170"/>
        <w:gridCol w:w="1664"/>
      </w:tblGrid>
      <w:tr>
        <w:trPr/>
        <w:tc>
          <w:tcPr>
            <w:tcW w:w="111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ABM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New York Stock Exchange</w:t>
            </w:r>
          </w:p>
        </w:tc>
      </w:tr>
    </w:tbl>
    <w:p>
      <w:pPr>
        <w:pStyle w:val="TextBody"/>
        <w:bidi w:val="0"/>
        <w:spacing w:lineRule="auto" w:line="288" w:before="180" w:after="60"/>
        <w:jc w:val="center"/>
        <w:rPr>
          <w:rFonts w:ascii="Arial;sans-serif" w:hAnsi="Arial;sans-serif"/>
          <w:b w:val="false"/>
          <w:color w:val="000000"/>
          <w:sz w:val="20"/>
        </w:rPr>
      </w:pPr>
      <w:r>
        <w:rPr>
          <w:rFonts w:ascii="Arial;sans-serif" w:hAnsi="Arial;sans-serif"/>
          <w:b w:val="false"/>
          <w:color w:val="000000"/>
          <w:sz w:val="20"/>
        </w:rPr>
        <w:t>__________________________</w: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Securities registered pursuant to Section 12(g) of the Act: None</w:t>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both"/>
        <w:rPr/>
      </w:pPr>
      <w:r>
        <w:rPr>
          <w:rFonts w:ascii="Arial;sans-serif" w:hAnsi="Arial;sans-serif"/>
          <w:b w:val="false"/>
          <w:color w:val="000000"/>
          <w:sz w:val="20"/>
        </w:rPr>
        <w:t>Indicate by check mark if the registrant is a well-known seasoned issuer, as defined in Rule 405 of the Securities Act.   Yes  </w:t>
      </w:r>
      <w:r>
        <w:rPr>
          <w:color w:val="000000"/>
        </w:rPr>
        <w:t>☑       </w:t>
      </w:r>
      <w:r>
        <w:rPr>
          <w:rFonts w:ascii="Arial;sans-serif" w:hAnsi="Arial;sans-serif"/>
          <w:b w:val="false"/>
          <w:color w:val="000000"/>
          <w:sz w:val="20"/>
        </w:rPr>
        <w:t>No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Indicate by check mark if the registrant is not required to file reports pursuant to Section 13 or Section 15(d) of the Act.    Yes  </w:t>
      </w:r>
      <w:r>
        <w:rPr>
          <w:color w:val="000000"/>
        </w:rPr>
        <w:t>☐    </w:t>
      </w:r>
      <w:r>
        <w:rPr>
          <w:rFonts w:ascii="Arial;sans-serif" w:hAnsi="Arial;sans-serif"/>
          <w:b w:val="false"/>
          <w:color w:val="000000"/>
          <w:sz w:val="20"/>
        </w:rPr>
        <w:t>No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20"/>
        </w:rPr>
        <w:t>No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20"/>
        </w:rPr>
        <w:t>No  </w:t>
      </w:r>
      <w:r>
        <w:rPr>
          <w:color w:val="00000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67"/>
        <w:gridCol w:w="585"/>
        <w:gridCol w:w="589"/>
        <w:gridCol w:w="109"/>
        <w:gridCol w:w="109"/>
        <w:gridCol w:w="109"/>
        <w:gridCol w:w="380"/>
        <w:gridCol w:w="380"/>
        <w:gridCol w:w="381"/>
        <w:gridCol w:w="109"/>
        <w:gridCol w:w="109"/>
        <w:gridCol w:w="109"/>
        <w:gridCol w:w="602"/>
        <w:gridCol w:w="602"/>
        <w:gridCol w:w="604"/>
        <w:gridCol w:w="109"/>
        <w:gridCol w:w="109"/>
        <w:gridCol w:w="109"/>
        <w:gridCol w:w="545"/>
        <w:gridCol w:w="545"/>
        <w:gridCol w:w="546"/>
        <w:gridCol w:w="109"/>
        <w:gridCol w:w="109"/>
        <w:gridCol w:w="109"/>
        <w:gridCol w:w="697"/>
        <w:gridCol w:w="697"/>
        <w:gridCol w:w="700"/>
        <w:gridCol w:w="109"/>
        <w:gridCol w:w="109"/>
        <w:gridCol w:w="159"/>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Accelerated</w:t>
              <w:br/>
              <w:t>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Smaller reporting </w:t>
              <w:br/>
              <w:t>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Emerging growth company</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80" w:after="283"/>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Indicate by checkmark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Indicate by check mark whether the registrant is a shell company (as defined in Rule 12b-2 of the Act).  Yes  </w:t>
      </w:r>
      <w:r>
        <w:rPr>
          <w:color w:val="000000"/>
        </w:rPr>
        <w:t xml:space="preserve">☐ </w:t>
      </w:r>
      <w:r>
        <w:rPr>
          <w:rFonts w:ascii="Arial;sans-serif" w:hAnsi="Arial;sans-serif"/>
          <w:b w:val="false"/>
          <w:color w:val="000000"/>
          <w:sz w:val="20"/>
        </w:rPr>
        <w:t>No  </w:t>
      </w:r>
      <w:r>
        <w:rPr>
          <w:color w:val="00000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Aggregate market value of the registrant’s common stock held by non-affiliates of the registrant, based upon the closing price of a share of the registrant’s common stock on April 30, 2023 as reported on the New York Stock Exchange on that date: $2,778,907,185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Number of shares of the registrant’s common stock outstanding as of December 15, 2023: 62,861,118</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 </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DOCUMENTS INCORPORATED BY REFERENCE</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Certain parts of the registrant’s Definitive Proxy Statement relating to the registrant’s 2024 Annual Meeting of Stockholders are incorporated by reference into Part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89560"/>
                <wp:effectExtent l="0" t="0" r="0" b="0"/>
                <wp:wrapNone/>
                <wp:docPr id="3"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ABM INDUSTRIES INCORPORATED AND SUBSIDIARIES</w:t>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TABLE OF CONTENTS</w:t>
      </w:r>
    </w:p>
    <w:tbl>
      <w:tblPr>
        <w:tblW w:w="9206" w:type="dxa"/>
        <w:jc w:val="center"/>
        <w:tblInd w:w="0" w:type="dxa"/>
        <w:tblLayout w:type="fixed"/>
        <w:tblCellMar>
          <w:top w:w="28" w:type="dxa"/>
          <w:left w:w="28" w:type="dxa"/>
          <w:bottom w:w="28" w:type="dxa"/>
          <w:right w:w="28" w:type="dxa"/>
        </w:tblCellMar>
      </w:tblPr>
      <w:tblGrid>
        <w:gridCol w:w="3202"/>
        <w:gridCol w:w="2813"/>
        <w:gridCol w:w="2819"/>
        <w:gridCol w:w="109"/>
        <w:gridCol w:w="109"/>
        <w:gridCol w:w="154"/>
      </w:tblGrid>
      <w:tr>
        <w:trPr/>
        <w:tc>
          <w:tcPr>
            <w:tcW w:w="3202"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10">
              <w:r>
                <w:rPr>
                  <w:rStyle w:val="InternetLink"/>
                  <w:rFonts w:ascii="Arial;sans-serif" w:hAnsi="Arial;sans-serif"/>
                  <w:b/>
                  <w:strike w:val="false"/>
                  <w:dstrike w:val="false"/>
                  <w:color w:val="0000FF"/>
                  <w:sz w:val="16"/>
                  <w:u w:val="none"/>
                  <w:effect w:val="none"/>
                </w:rPr>
                <w:t>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10">
              <w:r>
                <w:rPr>
                  <w:rStyle w:val="InternetLink"/>
                  <w:rFonts w:ascii="Arial;sans-serif" w:hAnsi="Arial;sans-serif"/>
                  <w:b w:val="false"/>
                  <w:color w:val="0000FF"/>
                  <w:sz w:val="17"/>
                  <w:u w:val="single"/>
                </w:rPr>
                <w:t>1</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13">
              <w:r>
                <w:rPr>
                  <w:rStyle w:val="InternetLink"/>
                  <w:rFonts w:ascii="Arial;sans-serif" w:hAnsi="Arial;sans-serif"/>
                  <w:b/>
                  <w:strike w:val="false"/>
                  <w:dstrike w:val="false"/>
                  <w:color w:val="0000FF"/>
                  <w:sz w:val="16"/>
                  <w:u w:val="none"/>
                  <w:effect w:val="none"/>
                </w:rPr>
                <w:t>PART I</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13">
              <w:r>
                <w:rPr>
                  <w:rStyle w:val="InternetLink"/>
                  <w:rFonts w:ascii="Arial;sans-serif" w:hAnsi="Arial;sans-serif"/>
                  <w:b w:val="false"/>
                  <w:color w:val="0000FF"/>
                  <w:sz w:val="17"/>
                  <w:u w:val="single"/>
                </w:rPr>
                <w:t>2</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16">
              <w:r>
                <w:rPr>
                  <w:rStyle w:val="InternetLink"/>
                  <w:rFonts w:ascii="Arial;sans-serif" w:hAnsi="Arial;sans-serif"/>
                  <w:b w:val="false"/>
                  <w:strike w:val="false"/>
                  <w:dstrike w:val="false"/>
                  <w:color w:val="0000FF"/>
                  <w:sz w:val="16"/>
                  <w:u w:val="none"/>
                  <w:effect w:val="none"/>
                </w:rPr>
                <w:t>Item 1. Business.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16">
              <w:r>
                <w:rPr>
                  <w:rStyle w:val="InternetLink"/>
                  <w:rFonts w:ascii="Arial;sans-serif" w:hAnsi="Arial;sans-serif"/>
                  <w:b w:val="false"/>
                  <w:color w:val="0000FF"/>
                  <w:sz w:val="17"/>
                  <w:u w:val="single"/>
                </w:rPr>
                <w:t>2</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19">
              <w:r>
                <w:rPr>
                  <w:rStyle w:val="InternetLink"/>
                  <w:rFonts w:ascii="Arial;sans-serif" w:hAnsi="Arial;sans-serif"/>
                  <w:b w:val="false"/>
                  <w:strike w:val="false"/>
                  <w:dstrike w:val="false"/>
                  <w:color w:val="0000FF"/>
                  <w:sz w:val="16"/>
                  <w:u w:val="none"/>
                  <w:effect w:val="non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19">
              <w:r>
                <w:rPr>
                  <w:rStyle w:val="InternetLink"/>
                  <w:rFonts w:ascii="Arial;sans-serif" w:hAnsi="Arial;sans-serif"/>
                  <w:b w:val="false"/>
                  <w:color w:val="0000FF"/>
                  <w:sz w:val="17"/>
                  <w:u w:val="single"/>
                </w:rPr>
                <w:t>10</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22">
              <w:r>
                <w:rPr>
                  <w:rStyle w:val="InternetLink"/>
                  <w:rFonts w:ascii="Arial;sans-serif" w:hAnsi="Arial;sans-serif"/>
                  <w:b w:val="false"/>
                  <w:strike w:val="false"/>
                  <w:dstrike w:val="false"/>
                  <w:color w:val="0000FF"/>
                  <w:sz w:val="16"/>
                  <w:u w:val="none"/>
                  <w:effect w:val="none"/>
                </w:rPr>
                <w:t>Item 1B. Unresolved Staff Comments.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22">
              <w:r>
                <w:rPr>
                  <w:rStyle w:val="InternetLink"/>
                  <w:rFonts w:ascii="Arial;sans-serif" w:hAnsi="Arial;sans-serif"/>
                  <w:b w:val="false"/>
                  <w:color w:val="0000FF"/>
                  <w:sz w:val="17"/>
                  <w:u w:val="single"/>
                </w:rPr>
                <w:t>17</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25">
              <w:r>
                <w:rPr>
                  <w:rStyle w:val="InternetLink"/>
                  <w:rFonts w:ascii="Arial;sans-serif" w:hAnsi="Arial;sans-serif"/>
                  <w:b w:val="false"/>
                  <w:strike w:val="false"/>
                  <w:dstrike w:val="false"/>
                  <w:color w:val="0000FF"/>
                  <w:sz w:val="16"/>
                  <w:u w:val="none"/>
                  <w:effect w:val="none"/>
                </w:rPr>
                <w:t>Item 2. Properties.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25">
              <w:r>
                <w:rPr>
                  <w:rStyle w:val="InternetLink"/>
                  <w:rFonts w:ascii="Arial;sans-serif" w:hAnsi="Arial;sans-serif"/>
                  <w:b w:val="false"/>
                  <w:color w:val="0000FF"/>
                  <w:sz w:val="17"/>
                  <w:u w:val="single"/>
                </w:rPr>
                <w:t>18</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28">
              <w:r>
                <w:rPr>
                  <w:rStyle w:val="InternetLink"/>
                  <w:rFonts w:ascii="Arial;sans-serif" w:hAnsi="Arial;sans-serif"/>
                  <w:b w:val="false"/>
                  <w:strike w:val="false"/>
                  <w:dstrike w:val="false"/>
                  <w:color w:val="0000FF"/>
                  <w:sz w:val="16"/>
                  <w:u w:val="none"/>
                  <w:effect w:val="none"/>
                </w:rPr>
                <w:t>Item 3.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28">
              <w:r>
                <w:rPr>
                  <w:rStyle w:val="InternetLink"/>
                  <w:rFonts w:ascii="Arial;sans-serif" w:hAnsi="Arial;sans-serif"/>
                  <w:b w:val="false"/>
                  <w:color w:val="0000FF"/>
                  <w:sz w:val="17"/>
                  <w:u w:val="single"/>
                </w:rPr>
                <w:t>18</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31">
              <w:r>
                <w:rPr>
                  <w:rStyle w:val="InternetLink"/>
                  <w:rFonts w:ascii="Arial;sans-serif" w:hAnsi="Arial;sans-serif"/>
                  <w:b w:val="false"/>
                  <w:strike w:val="false"/>
                  <w:dstrike w:val="false"/>
                  <w:color w:val="0000FF"/>
                  <w:sz w:val="16"/>
                  <w:u w:val="none"/>
                  <w:effect w:val="non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31">
              <w:r>
                <w:rPr>
                  <w:rStyle w:val="InternetLink"/>
                  <w:rFonts w:ascii="Arial;sans-serif" w:hAnsi="Arial;sans-serif"/>
                  <w:b w:val="false"/>
                  <w:color w:val="0000FF"/>
                  <w:sz w:val="17"/>
                  <w:u w:val="single"/>
                </w:rPr>
                <w:t>18</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34">
              <w:r>
                <w:rPr>
                  <w:rStyle w:val="InternetLink"/>
                  <w:rFonts w:ascii="Arial;sans-serif" w:hAnsi="Arial;sans-serif"/>
                  <w:b/>
                  <w:strike w:val="false"/>
                  <w:dstrike w:val="false"/>
                  <w:color w:val="0000FF"/>
                  <w:sz w:val="16"/>
                  <w:u w:val="none"/>
                  <w:effect w:val="none"/>
                </w:rPr>
                <w:t>PART II</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34">
              <w:r>
                <w:rPr>
                  <w:rStyle w:val="InternetLink"/>
                  <w:rFonts w:ascii="Arial;sans-serif" w:hAnsi="Arial;sans-serif"/>
                  <w:b w:val="false"/>
                  <w:color w:val="0000FF"/>
                  <w:sz w:val="17"/>
                  <w:u w:val="single"/>
                </w:rPr>
                <w:t>19</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37">
              <w:r>
                <w:rPr>
                  <w:rStyle w:val="InternetLink"/>
                  <w:rFonts w:ascii="Arial;sans-serif" w:hAnsi="Arial;sans-serif"/>
                  <w:b w:val="false"/>
                  <w:strike w:val="false"/>
                  <w:dstrike w:val="false"/>
                  <w:color w:val="000080"/>
                  <w:sz w:val="16"/>
                  <w:u w:val="single"/>
                  <w:effect w:val="none"/>
                </w:rPr>
                <w:t>Item 5. Market for Registrant’s Common Equity, Related Stockholder Matters</w:t>
              </w:r>
            </w:hyperlink>
            <w:hyperlink w:anchor="ic200b63e1e39483a9921aa57a67e426d_37">
              <w:r>
                <w:rPr>
                  <w:rStyle w:val="InternetLink"/>
                  <w:rFonts w:ascii="Arial;sans-serif" w:hAnsi="Arial;sans-serif"/>
                  <w:b w:val="false"/>
                  <w:strike w:val="false"/>
                  <w:dstrike w:val="false"/>
                  <w:color w:val="000080"/>
                  <w:sz w:val="16"/>
                  <w:u w:val="single"/>
                  <w:effect w:val="none"/>
                </w:rPr>
                <w:t xml:space="preserve"> and Issuer Purchases of Equity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37">
              <w:r>
                <w:rPr>
                  <w:rStyle w:val="InternetLink"/>
                  <w:rFonts w:ascii="Arial;sans-serif" w:hAnsi="Arial;sans-serif"/>
                  <w:b w:val="false"/>
                  <w:color w:val="0000FF"/>
                  <w:sz w:val="17"/>
                  <w:u w:val="single"/>
                </w:rPr>
                <w:t>19</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40">
              <w:r>
                <w:rPr>
                  <w:rStyle w:val="InternetLink"/>
                  <w:rFonts w:ascii="Arial;sans-serif" w:hAnsi="Arial;sans-serif"/>
                  <w:b w:val="false"/>
                  <w:strike w:val="false"/>
                  <w:dstrike w:val="false"/>
                  <w:color w:val="0000FF"/>
                  <w:sz w:val="16"/>
                  <w:u w:val="none"/>
                  <w:effect w:val="none"/>
                </w:rPr>
                <w:t>Item 6. [Reserved].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40">
              <w:r>
                <w:rPr>
                  <w:rStyle w:val="InternetLink"/>
                  <w:rFonts w:ascii="Arial;sans-serif" w:hAnsi="Arial;sans-serif"/>
                  <w:b w:val="false"/>
                  <w:color w:val="0000FF"/>
                  <w:sz w:val="17"/>
                  <w:u w:val="single"/>
                </w:rPr>
                <w:t>21</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46">
              <w:r>
                <w:rPr>
                  <w:rStyle w:val="InternetLink"/>
                  <w:rFonts w:ascii="Arial;sans-serif" w:hAnsi="Arial;sans-serif"/>
                  <w:b w:val="false"/>
                  <w:strike w:val="false"/>
                  <w:dstrike w:val="false"/>
                  <w:color w:val="0000FF"/>
                  <w:sz w:val="16"/>
                  <w:u w:val="none"/>
                  <w:effect w:val="none"/>
                </w:rPr>
                <w:t>Item 7.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46">
              <w:r>
                <w:rPr>
                  <w:rStyle w:val="InternetLink"/>
                  <w:rFonts w:ascii="Arial;sans-serif" w:hAnsi="Arial;sans-serif"/>
                  <w:b w:val="false"/>
                  <w:color w:val="0000FF"/>
                  <w:sz w:val="17"/>
                  <w:u w:val="single"/>
                </w:rPr>
                <w:t>21</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76">
              <w:r>
                <w:rPr>
                  <w:rStyle w:val="InternetLink"/>
                  <w:rFonts w:ascii="Arial;sans-serif" w:hAnsi="Arial;sans-serif"/>
                  <w:b w:val="false"/>
                  <w:strike w:val="false"/>
                  <w:dstrike w:val="false"/>
                  <w:color w:val="0000FF"/>
                  <w:sz w:val="16"/>
                  <w:u w:val="none"/>
                  <w:effect w:val="none"/>
                </w:rPr>
                <w:t>Item 7A.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76">
              <w:r>
                <w:rPr>
                  <w:rStyle w:val="InternetLink"/>
                  <w:rFonts w:ascii="Arial;sans-serif" w:hAnsi="Arial;sans-serif"/>
                  <w:b w:val="false"/>
                  <w:color w:val="0000FF"/>
                  <w:sz w:val="17"/>
                  <w:u w:val="single"/>
                </w:rPr>
                <w:t>38</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79">
              <w:r>
                <w:rPr>
                  <w:rStyle w:val="InternetLink"/>
                  <w:rFonts w:ascii="Arial;sans-serif" w:hAnsi="Arial;sans-serif"/>
                  <w:b w:val="false"/>
                  <w:strike w:val="false"/>
                  <w:dstrike w:val="false"/>
                  <w:color w:val="0000FF"/>
                  <w:sz w:val="16"/>
                  <w:u w:val="none"/>
                  <w:effect w:val="none"/>
                </w:rPr>
                <w:t>Item 8. Financial Statements and Supplementary Data.</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79">
              <w:r>
                <w:rPr>
                  <w:rStyle w:val="InternetLink"/>
                  <w:rFonts w:ascii="Arial;sans-serif" w:hAnsi="Arial;sans-serif"/>
                  <w:b w:val="false"/>
                  <w:color w:val="0000FF"/>
                  <w:sz w:val="17"/>
                  <w:u w:val="single"/>
                </w:rPr>
                <w:t>39</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178">
              <w:r>
                <w:rPr>
                  <w:rStyle w:val="InternetLink"/>
                  <w:rFonts w:ascii="Arial;sans-serif" w:hAnsi="Arial;sans-serif"/>
                  <w:b w:val="false"/>
                  <w:strike w:val="false"/>
                  <w:dstrike w:val="false"/>
                  <w:color w:val="000080"/>
                  <w:sz w:val="16"/>
                  <w:u w:val="single"/>
                  <w:effect w:val="none"/>
                </w:rPr>
                <w:t xml:space="preserve">Item 9. Changes in and Disagreements </w:t>
              </w:r>
            </w:hyperlink>
            <w:hyperlink w:anchor="ic200b63e1e39483a9921aa57a67e426d_178">
              <w:r>
                <w:rPr>
                  <w:rStyle w:val="InternetLink"/>
                  <w:rFonts w:ascii="Arial;sans-serif" w:hAnsi="Arial;sans-serif"/>
                  <w:b w:val="false"/>
                  <w:strike w:val="false"/>
                  <w:dstrike w:val="false"/>
                  <w:color w:val="000080"/>
                  <w:sz w:val="16"/>
                  <w:u w:val="single"/>
                  <w:effect w:val="none"/>
                </w:rPr>
                <w:t>w</w:t>
              </w:r>
            </w:hyperlink>
            <w:hyperlink w:anchor="ic200b63e1e39483a9921aa57a67e426d_178">
              <w:r>
                <w:rPr>
                  <w:rStyle w:val="InternetLink"/>
                  <w:rFonts w:ascii="Arial;sans-serif" w:hAnsi="Arial;sans-serif"/>
                  <w:b w:val="false"/>
                  <w:strike w:val="false"/>
                  <w:dstrike w:val="false"/>
                  <w:color w:val="000080"/>
                  <w:sz w:val="16"/>
                  <w:u w:val="single"/>
                  <w:effect w:val="none"/>
                </w:rPr>
                <w:t>ith Accountants on Accounting and Financial Disclosure.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178">
              <w:r>
                <w:rPr>
                  <w:rStyle w:val="InternetLink"/>
                  <w:rFonts w:ascii="Arial;sans-serif" w:hAnsi="Arial;sans-serif"/>
                  <w:b w:val="false"/>
                  <w:color w:val="0000FF"/>
                  <w:sz w:val="17"/>
                  <w:u w:val="single"/>
                </w:rPr>
                <w:t>86</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181">
              <w:r>
                <w:rPr>
                  <w:rStyle w:val="InternetLink"/>
                  <w:rFonts w:ascii="Arial;sans-serif" w:hAnsi="Arial;sans-serif"/>
                  <w:b w:val="false"/>
                  <w:strike w:val="false"/>
                  <w:dstrike w:val="false"/>
                  <w:color w:val="0000FF"/>
                  <w:sz w:val="16"/>
                  <w:u w:val="none"/>
                  <w:effect w:val="none"/>
                </w:rPr>
                <w:t>Item 9A.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181">
              <w:r>
                <w:rPr>
                  <w:rStyle w:val="InternetLink"/>
                  <w:rFonts w:ascii="Arial;sans-serif" w:hAnsi="Arial;sans-serif"/>
                  <w:b w:val="false"/>
                  <w:color w:val="0000FF"/>
                  <w:sz w:val="17"/>
                  <w:u w:val="single"/>
                </w:rPr>
                <w:t>86</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184">
              <w:r>
                <w:rPr>
                  <w:rStyle w:val="InternetLink"/>
                  <w:rFonts w:ascii="Arial;sans-serif" w:hAnsi="Arial;sans-serif"/>
                  <w:b w:val="false"/>
                  <w:strike w:val="false"/>
                  <w:dstrike w:val="false"/>
                  <w:color w:val="0000FF"/>
                  <w:sz w:val="16"/>
                  <w:u w:val="none"/>
                  <w:effect w:val="none"/>
                </w:rPr>
                <w:t>Item 9B.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184">
              <w:r>
                <w:rPr>
                  <w:rStyle w:val="InternetLink"/>
                  <w:rFonts w:ascii="Arial;sans-serif" w:hAnsi="Arial;sans-serif"/>
                  <w:b w:val="false"/>
                  <w:color w:val="0000FF"/>
                  <w:sz w:val="17"/>
                  <w:u w:val="single"/>
                </w:rPr>
                <w:t>87</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187">
              <w:r>
                <w:rPr>
                  <w:rStyle w:val="InternetLink"/>
                  <w:rFonts w:ascii="Arial;sans-serif" w:hAnsi="Arial;sans-serif"/>
                  <w:b/>
                  <w:strike w:val="false"/>
                  <w:dstrike w:val="false"/>
                  <w:color w:val="0000FF"/>
                  <w:sz w:val="16"/>
                  <w:u w:val="none"/>
                  <w:effect w:val="none"/>
                </w:rPr>
                <w:t>PART III</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187">
              <w:r>
                <w:rPr>
                  <w:rStyle w:val="InternetLink"/>
                  <w:rFonts w:ascii="Arial;sans-serif" w:hAnsi="Arial;sans-serif"/>
                  <w:b w:val="false"/>
                  <w:color w:val="0000FF"/>
                  <w:sz w:val="17"/>
                  <w:u w:val="single"/>
                </w:rPr>
                <w:t>88</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190">
              <w:r>
                <w:rPr>
                  <w:rStyle w:val="InternetLink"/>
                  <w:rFonts w:ascii="Arial;sans-serif" w:hAnsi="Arial;sans-serif"/>
                  <w:b w:val="false"/>
                  <w:strike w:val="false"/>
                  <w:dstrike w:val="false"/>
                  <w:color w:val="000080"/>
                  <w:sz w:val="16"/>
                  <w:u w:val="single"/>
                  <w:effect w:val="none"/>
                </w:rPr>
                <w:t>Item 10. Directors, Executive Officers</w:t>
              </w:r>
            </w:hyperlink>
            <w:hyperlink w:anchor="ic200b63e1e39483a9921aa57a67e426d_190">
              <w:r>
                <w:rPr>
                  <w:rStyle w:val="InternetLink"/>
                  <w:rFonts w:ascii="Arial;sans-serif" w:hAnsi="Arial;sans-serif"/>
                  <w:b w:val="false"/>
                  <w:strike w:val="false"/>
                  <w:dstrike w:val="false"/>
                  <w:color w:val="000080"/>
                  <w:sz w:val="16"/>
                  <w:u w:val="single"/>
                  <w:effect w:val="none"/>
                </w:rPr>
                <w:t xml:space="preserve"> and Corporate Governance.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190">
              <w:r>
                <w:rPr>
                  <w:rStyle w:val="InternetLink"/>
                  <w:rFonts w:ascii="Arial;sans-serif" w:hAnsi="Arial;sans-serif"/>
                  <w:b w:val="false"/>
                  <w:color w:val="0000FF"/>
                  <w:sz w:val="17"/>
                  <w:u w:val="single"/>
                </w:rPr>
                <w:t>88</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193">
              <w:r>
                <w:rPr>
                  <w:rStyle w:val="InternetLink"/>
                  <w:rFonts w:ascii="Arial;sans-serif" w:hAnsi="Arial;sans-serif"/>
                  <w:b w:val="false"/>
                  <w:strike w:val="false"/>
                  <w:dstrike w:val="false"/>
                  <w:color w:val="0000FF"/>
                  <w:sz w:val="16"/>
                  <w:u w:val="none"/>
                  <w:effect w:val="none"/>
                </w:rPr>
                <w:t>Item 11. Executive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193">
              <w:r>
                <w:rPr>
                  <w:rStyle w:val="InternetLink"/>
                  <w:rFonts w:ascii="Arial;sans-serif" w:hAnsi="Arial;sans-serif"/>
                  <w:b w:val="false"/>
                  <w:color w:val="0000FF"/>
                  <w:sz w:val="17"/>
                  <w:u w:val="single"/>
                </w:rPr>
                <w:t>88</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196">
              <w:r>
                <w:rPr>
                  <w:rStyle w:val="InternetLink"/>
                  <w:rFonts w:ascii="Arial;sans-serif" w:hAnsi="Arial;sans-serif"/>
                  <w:b w:val="false"/>
                  <w:strike w:val="false"/>
                  <w:dstrike w:val="false"/>
                  <w:color w:val="0000FF"/>
                  <w:sz w:val="16"/>
                  <w:u w:val="none"/>
                  <w:effect w:val="none"/>
                </w:rPr>
                <w:t>Item 12. Security Ownership of Certain Beneficial Owners and Management and Related Stockholder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196">
              <w:r>
                <w:rPr>
                  <w:rStyle w:val="InternetLink"/>
                  <w:rFonts w:ascii="Arial;sans-serif" w:hAnsi="Arial;sans-serif"/>
                  <w:b w:val="false"/>
                  <w:color w:val="0000FF"/>
                  <w:sz w:val="17"/>
                  <w:u w:val="single"/>
                </w:rPr>
                <w:t>88</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199">
              <w:r>
                <w:rPr>
                  <w:rStyle w:val="InternetLink"/>
                  <w:rFonts w:ascii="Arial;sans-serif" w:hAnsi="Arial;sans-serif"/>
                  <w:b w:val="false"/>
                  <w:strike w:val="false"/>
                  <w:dstrike w:val="false"/>
                  <w:color w:val="0000FF"/>
                  <w:sz w:val="16"/>
                  <w:u w:val="none"/>
                  <w:effect w:val="none"/>
                </w:rPr>
                <w:t>Item 13. Certain Relationships and Related Transactions, and Director Independence.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199">
              <w:r>
                <w:rPr>
                  <w:rStyle w:val="InternetLink"/>
                  <w:rFonts w:ascii="Arial;sans-serif" w:hAnsi="Arial;sans-serif"/>
                  <w:b w:val="false"/>
                  <w:color w:val="0000FF"/>
                  <w:sz w:val="17"/>
                  <w:u w:val="single"/>
                </w:rPr>
                <w:t>88</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202">
              <w:r>
                <w:rPr>
                  <w:rStyle w:val="InternetLink"/>
                  <w:rFonts w:ascii="Arial;sans-serif" w:hAnsi="Arial;sans-serif"/>
                  <w:b w:val="false"/>
                  <w:strike w:val="false"/>
                  <w:dstrike w:val="false"/>
                  <w:color w:val="0000FF"/>
                  <w:sz w:val="16"/>
                  <w:u w:val="none"/>
                  <w:effect w:val="none"/>
                </w:rPr>
                <w:t>Item 14. Principal Accounting Fees and Services.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202">
              <w:r>
                <w:rPr>
                  <w:rStyle w:val="InternetLink"/>
                  <w:rFonts w:ascii="Arial;sans-serif" w:hAnsi="Arial;sans-serif"/>
                  <w:b w:val="false"/>
                  <w:color w:val="0000FF"/>
                  <w:sz w:val="17"/>
                  <w:u w:val="single"/>
                </w:rPr>
                <w:t>88</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205">
              <w:r>
                <w:rPr>
                  <w:rStyle w:val="InternetLink"/>
                  <w:rFonts w:ascii="Arial;sans-serif" w:hAnsi="Arial;sans-serif"/>
                  <w:b/>
                  <w:strike w:val="false"/>
                  <w:dstrike w:val="false"/>
                  <w:color w:val="0000FF"/>
                  <w:sz w:val="16"/>
                  <w:u w:val="none"/>
                  <w:effect w:val="none"/>
                </w:rPr>
                <w:t>PART IV</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205">
              <w:r>
                <w:rPr>
                  <w:rStyle w:val="InternetLink"/>
                  <w:rFonts w:ascii="Arial;sans-serif" w:hAnsi="Arial;sans-serif"/>
                  <w:b w:val="false"/>
                  <w:color w:val="0000FF"/>
                  <w:sz w:val="17"/>
                  <w:u w:val="single"/>
                </w:rPr>
                <w:t>89</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208">
              <w:r>
                <w:rPr>
                  <w:rStyle w:val="InternetLink"/>
                  <w:rFonts w:ascii="Arial;sans-serif" w:hAnsi="Arial;sans-serif"/>
                  <w:b w:val="false"/>
                  <w:strike w:val="false"/>
                  <w:dstrike w:val="false"/>
                  <w:color w:val="0000FF"/>
                  <w:sz w:val="16"/>
                  <w:u w:val="none"/>
                  <w:effect w:val="none"/>
                </w:rPr>
                <w:t>Item 15. Exhibits, Financial Statement Schedules.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208">
              <w:r>
                <w:rPr>
                  <w:rStyle w:val="InternetLink"/>
                  <w:rFonts w:ascii="Arial;sans-serif" w:hAnsi="Arial;sans-serif"/>
                  <w:b w:val="false"/>
                  <w:color w:val="0000FF"/>
                  <w:sz w:val="17"/>
                  <w:u w:val="single"/>
                </w:rPr>
                <w:t>89</w:t>
              </w:r>
            </w:hyperlink>
          </w:p>
        </w:tc>
      </w:tr>
      <w:tr>
        <w:trPr/>
        <w:tc>
          <w:tcPr>
            <w:tcW w:w="88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217">
              <w:r>
                <w:rPr>
                  <w:rStyle w:val="InternetLink"/>
                  <w:rFonts w:ascii="Arial;sans-serif" w:hAnsi="Arial;sans-serif"/>
                  <w:b/>
                  <w:strike w:val="false"/>
                  <w:dstrike w:val="false"/>
                  <w:color w:val="0000FF"/>
                  <w:sz w:val="16"/>
                  <w:u w:val="none"/>
                  <w:effect w:val="non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217">
              <w:r>
                <w:rPr>
                  <w:rStyle w:val="InternetLink"/>
                  <w:rFonts w:ascii="Arial;sans-serif" w:hAnsi="Arial;sans-serif"/>
                  <w:b w:val="false"/>
                  <w:color w:val="0000FF"/>
                  <w:sz w:val="17"/>
                  <w:u w:val="single"/>
                </w:rPr>
                <w:t>96</w:t>
              </w:r>
            </w:hyperlink>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89560"/>
                <wp:effectExtent l="0" t="0" r="0" b="0"/>
                <wp:wrapNone/>
                <wp:docPr id="4" name="Frame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FORWARD-LOOKING STATEMENTS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This Annual Report on Form 10-K for ABM Industries Incorporated and its subsidiaries (collectively referred to as “ABM,” “we,” “us,” “our,” or the “Company”)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Item 1A., “Risk Factors,” and 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60350"/>
                <wp:effectExtent l="0" t="0" r="0" b="0"/>
                <wp:wrapNone/>
                <wp:docPr id="5" name="Frame4"/>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center"/>
        <w:rPr>
          <w:rFonts w:ascii="Arial;sans-serif" w:hAnsi="Arial;sans-serif"/>
          <w:b/>
          <w:color w:val="0046AD"/>
          <w:sz w:val="20"/>
        </w:rPr>
      </w:pPr>
      <w:r>
        <w:rPr>
          <w:rFonts w:ascii="Arial;sans-serif" w:hAnsi="Arial;sans-serif"/>
          <w:b/>
          <w:color w:val="0046AD"/>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1. BUSINESS.</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 xml:space="preserve">General </w:t>
      </w:r>
    </w:p>
    <w:p>
      <w:pPr>
        <w:pStyle w:val="TextBody"/>
        <w:bidi w:val="0"/>
        <w:spacing w:lineRule="auto" w:line="288" w:before="180" w:after="120"/>
        <w:ind w:left="0" w:right="0" w:firstLine="720"/>
        <w:jc w:val="both"/>
        <w:rPr/>
      </w:pPr>
      <w:r>
        <w:rPr>
          <w:rFonts w:ascii="Arial;sans-serif" w:hAnsi="Arial;sans-serif"/>
          <w:b w:val="false"/>
          <w:color w:val="000000"/>
          <w:sz w:val="20"/>
        </w:rPr>
        <w:t xml:space="preserve">ABM Industries Incorporated, which operates through its subsidiaries (collectively referred to as “ABM,” “we,” “us,” “our,” or the “Company”), is a leading provider of integrated facility, infrastructure, and mobility solutions with a mission to </w:t>
      </w:r>
      <w:r>
        <w:rPr>
          <w:rFonts w:ascii="Arial;sans-serif" w:hAnsi="Arial;sans-serif"/>
          <w:b/>
          <w:color w:val="003DA5"/>
          <w:sz w:val="20"/>
        </w:rPr>
        <w:t>make a difference, every person, every day</w:t>
      </w:r>
      <w:r>
        <w:rPr>
          <w:rFonts w:ascii="Arial;sans-serif" w:hAnsi="Arial;sans-serif"/>
          <w:b w:val="false"/>
          <w:color w:val="000000"/>
          <w:sz w:val="20"/>
        </w:rPr>
        <w:t>. Our history dates back to 1909, when American Building Maintenance Company began as a window washing company in San Francisco with one employee. In 1985, we were incorporated in Delaware under the name American Building Maintenance Industries, Inc., as the successor to the business originally founded in 1909. In 1994, we changed our name to ABM Industries Incorporated. Since that time, we have grown into a multi-segment facility solutions company, primarily through strategic acquisitions and new service offerings, increasing our revenue to more than $8.0 billion.</w:t>
      </w:r>
    </w:p>
    <w:p>
      <w:pPr>
        <w:pStyle w:val="TextBody"/>
        <w:bidi w:val="0"/>
        <w:spacing w:before="180" w:after="283"/>
        <w:ind w:left="0" w:right="0" w:firstLine="720"/>
        <w:jc w:val="center"/>
        <w:rPr/>
      </w:pPr>
      <w:r>
        <w:rPr/>
        <w:drawing>
          <wp:inline distT="0" distB="0" distL="0" distR="0">
            <wp:extent cx="6238875" cy="1952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238875" cy="1952625"/>
                    </a:xfrm>
                    <a:prstGeom prst="rect">
                      <a:avLst/>
                    </a:prstGeom>
                  </pic:spPr>
                </pic:pic>
              </a:graphicData>
            </a:graphic>
          </wp:inline>
        </w:drawing>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acquisitions of OneSource and Linc Group in the early 2000s established ABM as a leader in the commercial janitorial market and also enhanced our ability to be a full-service facility solutions provider with new service offerings, including lighting, mechanical, and electrical “technical solutions.” With demand increasing for industry-specific service providers, the acquisition of Air Serv established “Aviation” as our first industry group. In recent years, we have strategically acquired companies in the United Kingdom (“UK”) and the Republic of Ireland (“Ireland”), which expanded our janitorial and technical solutions businesses overseas. </w:t>
      </w:r>
    </w:p>
    <w:p>
      <w:pPr>
        <w:pStyle w:val="TextBody"/>
        <w:bidi w:val="0"/>
        <w:spacing w:lineRule="auto" w:line="288" w:before="180" w:after="283"/>
        <w:ind w:left="0" w:right="0" w:firstLine="720"/>
        <w:jc w:val="both"/>
        <w:rPr/>
      </w:pPr>
      <w:r>
        <w:rPr>
          <w:rFonts w:ascii="Arial;sans-serif" w:hAnsi="Arial;sans-serif"/>
          <w:b w:val="false"/>
          <w:color w:val="000000"/>
          <w:sz w:val="20"/>
        </w:rPr>
        <w:t>In 2015, we began a comprehensive transformational initiative (“</w:t>
      </w:r>
      <w:r>
        <w:rPr>
          <w:rFonts w:ascii="Arial;sans-serif" w:hAnsi="Arial;sans-serif"/>
          <w:b/>
          <w:color w:val="E98300"/>
          <w:sz w:val="20"/>
        </w:rPr>
        <w:t>2020</w:t>
      </w:r>
      <w:r>
        <w:rPr>
          <w:color w:val="000000"/>
        </w:rPr>
        <w:t xml:space="preserve"> </w:t>
      </w:r>
      <w:r>
        <w:rPr>
          <w:rFonts w:ascii="Arial;sans-serif" w:hAnsi="Arial;sans-serif"/>
          <w:b/>
          <w:color w:val="003DA5"/>
          <w:sz w:val="20"/>
        </w:rPr>
        <w:t>Vision</w:t>
      </w:r>
      <w:r>
        <w:rPr>
          <w:color w:val="000000"/>
        </w:rPr>
        <w:t>”</w:t>
      </w:r>
      <w:r>
        <w:rPr>
          <w:rFonts w:ascii="Arial;sans-serif" w:hAnsi="Arial;sans-serif"/>
          <w:b w:val="false"/>
          <w:color w:val="000000"/>
          <w:sz w:val="20"/>
        </w:rPr>
        <w:t xml:space="preserve">) to drive long-term, profitable growth through an industry-based, go-to-market approach. Through this initiative, we centralized key functional areas and industry groups, strengthened our sales capabilities, and initiated investments in service delivery tools and processes to help support standard operating practices that we believe remain foundational to our long-term success.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As part of the transformation initiative, we also evaluated all of our service offerings and sold our Security and Government Services businesses, which did not align with our long-term focus on specialized industry groups.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2017, we acquired GCA Services Group (“GCA”), a provider of integrated facility services to educational institutions and commercial facilities, for approximately $1.3 billion, representing the largest acquisition in ABM history. The acquisition accelerated the Company’s position as a leading facility solutions provider in the education market.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 2021, we acquired Crown Building Maintenance Co. and Crown Energy Services, Inc. (collectively, “Able”), a leading facilities services company headquartered in San Francisco, California, with the goal to provide additional scaling to the Company’s core businesses and key geographies and bolstering ABM’s janitorial and facilities services service lines. In addition, the acquisition of Able (“the Able Acquisition”) further expanded ABM’s sustainability and energy efficiency offerings amid growing demand for environmentally responsible solutions.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 2022, we acquired RavenVolt, Inc. (“RavenVolt”), a leading nationwide provider of advanced turn-key microgrid systems utilized by diversified commercial and industrial customers, national retailers, utilities, and municipalities. A complementary extension of ABM’s Technical Solutions service offerings, the addition of RavenVolt enhanced ABM’s position as a market leader in electric vehicle (“EV”) charging infrastructure, power, and bundled energy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60350"/>
                <wp:effectExtent l="0" t="0" r="0" b="0"/>
                <wp:wrapNone/>
                <wp:docPr id="7" name="Frame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2022, we acquired Momentum Support (“Momentum”), a leading independent provider of facility services, primarily janitorial, across Ireland and Northern Ireland. The addition of Momentum provided greater access to Momentum’s blue-chip customer base as well as an opportunity to cross sell ABM services to existing U.S.- and UK-based clients who also have an operational footprint in Ireland and Northern Ireland. </w:t>
      </w:r>
    </w:p>
    <w:p>
      <w:pPr>
        <w:pStyle w:val="TextBody"/>
        <w:bidi w:val="0"/>
        <w:spacing w:lineRule="auto" w:line="288" w:before="180" w:after="283"/>
        <w:ind w:left="0" w:right="0" w:firstLine="720"/>
        <w:jc w:val="both"/>
        <w:rPr/>
      </w:pPr>
      <w:r>
        <w:rPr>
          <w:rFonts w:ascii="Arial;sans-serif" w:hAnsi="Arial;sans-serif"/>
          <w:b w:val="false"/>
          <w:color w:val="000000"/>
          <w:sz w:val="20"/>
        </w:rPr>
        <w:t xml:space="preserve">The above acquisitions and divestitures we’ve made since 2015 largely reflect strategies first introduced in our </w:t>
      </w:r>
      <w:r>
        <w:rPr>
          <w:rFonts w:ascii="Arial;sans-serif" w:hAnsi="Arial;sans-serif"/>
          <w:b/>
          <w:color w:val="E98300"/>
          <w:sz w:val="20"/>
        </w:rPr>
        <w:t>2020</w:t>
      </w:r>
      <w:r>
        <w:rPr>
          <w:color w:val="000000"/>
        </w:rPr>
        <w:t xml:space="preserve"> </w:t>
      </w:r>
      <w:r>
        <w:rPr>
          <w:rFonts w:ascii="Arial;sans-serif" w:hAnsi="Arial;sans-serif"/>
          <w:b/>
          <w:color w:val="003DA5"/>
          <w:sz w:val="20"/>
        </w:rPr>
        <w:t>Vision</w:t>
      </w:r>
      <w:r>
        <w:rPr>
          <w:color w:val="000000"/>
        </w:rPr>
        <w:t xml:space="preserve"> </w:t>
      </w:r>
      <w:r>
        <w:rPr>
          <w:rFonts w:ascii="Arial;sans-serif" w:hAnsi="Arial;sans-serif"/>
          <w:b w:val="false"/>
          <w:color w:val="000000"/>
          <w:sz w:val="20"/>
        </w:rPr>
        <w:t>initiative and also strategies included in our follow-on launched strategic plan called</w:t>
      </w:r>
      <w:r>
        <w:rPr>
          <w:color w:val="E98300"/>
        </w:rPr>
        <w:t xml:space="preserve"> </w:t>
      </w:r>
      <w:r>
        <w:rPr>
          <w:rFonts w:ascii="Arial;sans-serif" w:hAnsi="Arial;sans-serif"/>
          <w:b/>
          <w:color w:val="E98300"/>
          <w:sz w:val="20"/>
        </w:rPr>
        <w:t>ELEVATE,</w:t>
      </w:r>
      <w:r>
        <w:rPr>
          <w:color w:val="000000"/>
        </w:rPr>
        <w:t xml:space="preserve"> </w:t>
      </w:r>
      <w:r>
        <w:rPr>
          <w:rFonts w:ascii="Arial;sans-serif" w:hAnsi="Arial;sans-serif"/>
          <w:b w:val="false"/>
          <w:color w:val="000000"/>
          <w:sz w:val="20"/>
        </w:rPr>
        <w:t xml:space="preserve">which was introduced in 2021 and is described below.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As a result of these strategic initiatives and investments, we have strengthened our ability to offer janitorial, engineering, parking and eMobility, infrastructure, electrical, lighting and energy solutions, HVAC and mechanical services, landscaping and turf services, and mission critical solutions across aviation, education, manufacturing and distribution, and commercial business industries, on a standalone basis or in combination, and positioned ourselves as a leading integrated facilities management company.</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Unless otherwise indicated, all references to years are to our fiscal year, which ends on October 31.</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Forward-Looking Strategic Plan</w:t>
      </w:r>
    </w:p>
    <w:p>
      <w:pPr>
        <w:pStyle w:val="TextBody"/>
        <w:bidi w:val="0"/>
        <w:spacing w:lineRule="auto" w:line="288" w:before="180" w:after="283"/>
        <w:ind w:left="0" w:right="0" w:firstLine="720"/>
        <w:jc w:val="both"/>
        <w:rPr/>
      </w:pPr>
      <w:r>
        <w:rPr>
          <w:rFonts w:ascii="Arial;sans-serif" w:hAnsi="Arial;sans-serif"/>
          <w:b w:val="false"/>
          <w:color w:val="000000"/>
          <w:sz w:val="20"/>
        </w:rPr>
        <w:t xml:space="preserve">Leveraging the various accomplishments achieved through </w:t>
      </w:r>
      <w:r>
        <w:rPr>
          <w:rFonts w:ascii="Arial;sans-serif" w:hAnsi="Arial;sans-serif"/>
          <w:b/>
          <w:color w:val="E98300"/>
          <w:sz w:val="20"/>
        </w:rPr>
        <w:t>2020</w:t>
      </w:r>
      <w:r>
        <w:rPr>
          <w:color w:val="000000"/>
        </w:rPr>
        <w:t xml:space="preserve"> </w:t>
      </w:r>
      <w:r>
        <w:rPr>
          <w:rFonts w:ascii="Arial;sans-serif" w:hAnsi="Arial;sans-serif"/>
          <w:b/>
          <w:color w:val="003DA5"/>
          <w:sz w:val="20"/>
        </w:rPr>
        <w:t>Vision</w:t>
      </w:r>
      <w:r>
        <w:rPr>
          <w:rFonts w:ascii="Arial;sans-serif" w:hAnsi="Arial;sans-serif"/>
          <w:b w:val="false"/>
          <w:color w:val="000000"/>
          <w:sz w:val="20"/>
        </w:rPr>
        <w:t xml:space="preserve">, the Company embarked on the next step of its journey in 2021 with a multiyear strategic plan called </w:t>
      </w:r>
      <w:r>
        <w:rPr>
          <w:rFonts w:ascii="Arial;sans-serif" w:hAnsi="Arial;sans-serif"/>
          <w:b/>
          <w:color w:val="E98300"/>
          <w:sz w:val="20"/>
        </w:rPr>
        <w:t>ELEVATE</w:t>
      </w:r>
      <w:r>
        <w:rPr>
          <w:rFonts w:ascii="Arial;sans-serif" w:hAnsi="Arial;sans-serif"/>
          <w:b w:val="false"/>
          <w:color w:val="000000"/>
          <w:sz w:val="20"/>
        </w:rPr>
        <w:t xml:space="preserve">. The </w:t>
      </w:r>
      <w:r>
        <w:rPr>
          <w:rFonts w:ascii="Arial;sans-serif" w:hAnsi="Arial;sans-serif"/>
          <w:b/>
          <w:color w:val="E98300"/>
          <w:sz w:val="20"/>
        </w:rPr>
        <w:t>ELEVATE</w:t>
      </w:r>
      <w:r>
        <w:rPr>
          <w:color w:val="000000"/>
        </w:rPr>
        <w:t xml:space="preserve"> </w:t>
      </w:r>
      <w:r>
        <w:rPr>
          <w:rFonts w:ascii="Arial;sans-serif" w:hAnsi="Arial;sans-serif"/>
          <w:b w:val="false"/>
          <w:color w:val="000000"/>
          <w:sz w:val="20"/>
        </w:rPr>
        <w:t>strategy is designed to strengthen our industry leadership position through end-market repositioning and building on our core services, which we expect together will drive significant long-term value for our stakeholders.</w:t>
      </w:r>
    </w:p>
    <w:p>
      <w:pPr>
        <w:pStyle w:val="TextBody"/>
        <w:bidi w:val="0"/>
        <w:spacing w:lineRule="auto" w:line="288" w:before="180" w:after="283"/>
        <w:ind w:left="0" w:right="0" w:firstLine="720"/>
        <w:jc w:val="both"/>
        <w:rPr/>
      </w:pPr>
      <w:r>
        <w:rPr>
          <w:rFonts w:ascii="Arial;sans-serif" w:hAnsi="Arial;sans-serif"/>
          <w:b w:val="false"/>
          <w:color w:val="000000"/>
          <w:sz w:val="20"/>
        </w:rPr>
        <w:t xml:space="preserve">We will continue to make significant investments over the life of the program, which are expected to total $200 - $215 million, and we will continue to implement various measures with the aim to </w:t>
      </w:r>
      <w:r>
        <w:rPr>
          <w:rFonts w:ascii="Arial;sans-serif" w:hAnsi="Arial;sans-serif"/>
          <w:b/>
          <w:color w:val="E98300"/>
          <w:sz w:val="20"/>
        </w:rPr>
        <w:t>ELEVATE</w:t>
      </w:r>
      <w:r>
        <w:rPr>
          <w:rFonts w:ascii="Arial;sans-serif" w:hAnsi="Arial;sans-serif"/>
          <w:b w:val="false"/>
          <w:color w:val="000000"/>
          <w:sz w:val="20"/>
        </w:rPr>
        <w:t>:</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the client experience, by serving as a trusted advisor who can provide innovative multiservice solutions and consistent service delivery;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team member experience,</w:t>
      </w:r>
      <w:r>
        <w:rPr>
          <w:color w:val="000000"/>
        </w:rPr>
        <w:t xml:space="preserve"> </w:t>
      </w:r>
      <w:r>
        <w:rPr>
          <w:rFonts w:ascii="Arial;sans-serif" w:hAnsi="Arial;sans-serif"/>
          <w:b w:val="false"/>
          <w:color w:val="000000"/>
          <w:sz w:val="20"/>
        </w:rPr>
        <w:t>by investing in workforce management, training, developing the next generation of ABM leaders, and building on our inclusive culture;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use of technology and data</w:t>
      </w:r>
      <w:r>
        <w:rPr>
          <w:color w:val="000000"/>
        </w:rPr>
        <w:t xml:space="preserve"> </w:t>
      </w:r>
      <w:r>
        <w:rPr>
          <w:rFonts w:ascii="Arial;sans-serif" w:hAnsi="Arial;sans-serif"/>
          <w:b w:val="false"/>
          <w:color w:val="000000"/>
          <w:sz w:val="20"/>
        </w:rPr>
        <w:t>to power client and employee experiences with cutting-edge data and analytics, processes, and tools that will fundamentally change how we operate our business.</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60350"/>
                <wp:effectExtent l="0" t="0" r="0" b="0"/>
                <wp:wrapNone/>
                <wp:docPr id="8" name="Frame6"/>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Contract Types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generate revenues under several types of contracts, as explained below. Generally, the type of contract is determined by the nature of the services. Although many of our service agreements are cancelable on short notice, we have historically had a high rate of client retention and expect to continue maintaining long-term relationships with our clients. See Note 2, “Basis of Presentation and Significant Accounting Policies,” in the Notes to consolidated financial statements for additional information regarding the contract types that are most common in each of our service lines. </w:t>
      </w:r>
    </w:p>
    <w:tbl>
      <w:tblPr>
        <w:tblW w:w="10205" w:type="dxa"/>
        <w:jc w:val="left"/>
        <w:tblInd w:w="0" w:type="dxa"/>
        <w:tblLayout w:type="fixed"/>
        <w:tblCellMar>
          <w:top w:w="28" w:type="dxa"/>
          <w:left w:w="28" w:type="dxa"/>
          <w:bottom w:w="28" w:type="dxa"/>
          <w:right w:w="28" w:type="dxa"/>
        </w:tblCellMar>
      </w:tblPr>
      <w:tblGrid>
        <w:gridCol w:w="1030"/>
        <w:gridCol w:w="903"/>
        <w:gridCol w:w="749"/>
        <w:gridCol w:w="109"/>
        <w:gridCol w:w="2196"/>
        <w:gridCol w:w="2150"/>
        <w:gridCol w:w="3068"/>
      </w:tblGrid>
      <w:tr>
        <w:trPr/>
        <w:tc>
          <w:tcPr>
            <w:tcW w:w="10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jc w:val="left"/>
              <w:rPr>
                <w:sz w:val="4"/>
                <w:szCs w:val="4"/>
              </w:rPr>
            </w:pPr>
            <w:r>
              <w:rPr>
                <w:sz w:val="4"/>
                <w:szCs w:val="4"/>
              </w:rPr>
            </w:r>
          </w:p>
        </w:tc>
      </w:tr>
      <w:tr>
        <w:trPr/>
        <w:tc>
          <w:tcPr>
            <w:tcW w:w="2682" w:type="dxa"/>
            <w:gridSpan w:val="3"/>
            <w:tcBorders>
              <w:top w:val="single" w:sz="8" w:space="0" w:color="000000"/>
              <w:left w:val="single" w:sz="8" w:space="0" w:color="000000"/>
            </w:tcBorders>
            <w:shd w:fill="DCE2E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Contract Type</w:t>
            </w:r>
          </w:p>
        </w:tc>
        <w:tc>
          <w:tcPr>
            <w:tcW w:w="109" w:type="dxa"/>
            <w:tcBorders/>
            <w:vAlign w:val="center"/>
          </w:tcPr>
          <w:p>
            <w:pPr>
              <w:pStyle w:val="TableContents"/>
              <w:bidi w:val="0"/>
              <w:spacing w:before="0" w:after="283"/>
              <w:jc w:val="left"/>
              <w:rPr>
                <w:sz w:val="4"/>
                <w:szCs w:val="4"/>
              </w:rPr>
            </w:pPr>
            <w:r>
              <w:rPr>
                <w:sz w:val="4"/>
                <w:szCs w:val="4"/>
              </w:rPr>
            </w:r>
          </w:p>
        </w:tc>
        <w:tc>
          <w:tcPr>
            <w:tcW w:w="7414" w:type="dxa"/>
            <w:gridSpan w:val="3"/>
            <w:tcBorders>
              <w:top w:val="single" w:sz="8" w:space="0" w:color="000000"/>
              <w:left w:val="single" w:sz="8" w:space="0" w:color="000000"/>
              <w:right w:val="single" w:sz="8" w:space="0" w:color="000000"/>
            </w:tcBorders>
            <w:shd w:fill="DCE2E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Description</w:t>
            </w:r>
          </w:p>
        </w:tc>
      </w:tr>
      <w:tr>
        <w:trPr/>
        <w:tc>
          <w:tcPr>
            <w:tcW w:w="26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Monthly Fixed-Price</w:t>
            </w:r>
          </w:p>
        </w:tc>
        <w:tc>
          <w:tcPr>
            <w:tcW w:w="109" w:type="dxa"/>
            <w:tcBorders/>
            <w:vAlign w:val="center"/>
          </w:tcPr>
          <w:p>
            <w:pPr>
              <w:pStyle w:val="TableContents"/>
              <w:bidi w:val="0"/>
              <w:spacing w:before="0" w:after="283"/>
              <w:jc w:val="left"/>
              <w:rPr>
                <w:sz w:val="4"/>
                <w:szCs w:val="4"/>
              </w:rPr>
            </w:pPr>
            <w:r>
              <w:rPr>
                <w:sz w:val="4"/>
                <w:szCs w:val="4"/>
              </w:rPr>
            </w:r>
          </w:p>
        </w:tc>
        <w:tc>
          <w:tcPr>
            <w:tcW w:w="74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These arrangements are contracts in which the client agrees to pay a fixed fee every month over a specified contract term.</w:t>
            </w:r>
          </w:p>
        </w:tc>
      </w:tr>
      <w:tr>
        <w:trPr/>
        <w:tc>
          <w:tcPr>
            <w:tcW w:w="26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Square-Foot</w:t>
            </w:r>
          </w:p>
        </w:tc>
        <w:tc>
          <w:tcPr>
            <w:tcW w:w="109" w:type="dxa"/>
            <w:tcBorders/>
            <w:vAlign w:val="center"/>
          </w:tcPr>
          <w:p>
            <w:pPr>
              <w:pStyle w:val="TableContents"/>
              <w:bidi w:val="0"/>
              <w:spacing w:before="0" w:after="283"/>
              <w:jc w:val="left"/>
              <w:rPr>
                <w:sz w:val="4"/>
                <w:szCs w:val="4"/>
              </w:rPr>
            </w:pPr>
            <w:r>
              <w:rPr>
                <w:sz w:val="4"/>
                <w:szCs w:val="4"/>
              </w:rPr>
            </w:r>
          </w:p>
        </w:tc>
        <w:tc>
          <w:tcPr>
            <w:tcW w:w="74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Square-foot arrangements are contracts in which the client agrees to pay a fixed fee every month based on the actual square footage serviced over a specified contract term. </w:t>
            </w:r>
          </w:p>
        </w:tc>
      </w:tr>
      <w:tr>
        <w:trPr/>
        <w:tc>
          <w:tcPr>
            <w:tcW w:w="26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Cost-Plus</w:t>
            </w:r>
          </w:p>
        </w:tc>
        <w:tc>
          <w:tcPr>
            <w:tcW w:w="109" w:type="dxa"/>
            <w:tcBorders/>
            <w:vAlign w:val="center"/>
          </w:tcPr>
          <w:p>
            <w:pPr>
              <w:pStyle w:val="TableContents"/>
              <w:bidi w:val="0"/>
              <w:spacing w:before="0" w:after="283"/>
              <w:jc w:val="left"/>
              <w:rPr>
                <w:sz w:val="4"/>
                <w:szCs w:val="4"/>
              </w:rPr>
            </w:pPr>
            <w:r>
              <w:rPr>
                <w:sz w:val="4"/>
                <w:szCs w:val="4"/>
              </w:rPr>
            </w:r>
          </w:p>
        </w:tc>
        <w:tc>
          <w:tcPr>
            <w:tcW w:w="74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These arrangements are contracts in which the clients reimburse us for the agreed-upon amount of wages and benefits, payroll taxes, insurance charges, and other expenses associated with the contracted work, plus a profit margin. </w:t>
            </w:r>
          </w:p>
        </w:tc>
      </w:tr>
      <w:tr>
        <w:trPr/>
        <w:tc>
          <w:tcPr>
            <w:tcW w:w="26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Work Orders</w:t>
            </w:r>
          </w:p>
        </w:tc>
        <w:tc>
          <w:tcPr>
            <w:tcW w:w="109" w:type="dxa"/>
            <w:tcBorders/>
            <w:vAlign w:val="center"/>
          </w:tcPr>
          <w:p>
            <w:pPr>
              <w:pStyle w:val="TableContents"/>
              <w:bidi w:val="0"/>
              <w:spacing w:before="0" w:after="283"/>
              <w:jc w:val="left"/>
              <w:rPr>
                <w:sz w:val="4"/>
                <w:szCs w:val="4"/>
              </w:rPr>
            </w:pPr>
            <w:r>
              <w:rPr>
                <w:sz w:val="4"/>
                <w:szCs w:val="4"/>
              </w:rPr>
            </w:r>
          </w:p>
        </w:tc>
        <w:tc>
          <w:tcPr>
            <w:tcW w:w="74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Work orders generally consist of supplemental services requested by clients outside of the standard service specification and include cleanup after tenant moves, construction cleanup, flood cleanup, snow removal, and high touchpoint disinfecting services. </w:t>
            </w:r>
          </w:p>
        </w:tc>
      </w:tr>
      <w:tr>
        <w:trPr/>
        <w:tc>
          <w:tcPr>
            <w:tcW w:w="26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Transaction-Price</w:t>
            </w:r>
          </w:p>
        </w:tc>
        <w:tc>
          <w:tcPr>
            <w:tcW w:w="109" w:type="dxa"/>
            <w:tcBorders/>
            <w:vAlign w:val="center"/>
          </w:tcPr>
          <w:p>
            <w:pPr>
              <w:pStyle w:val="TableContents"/>
              <w:bidi w:val="0"/>
              <w:spacing w:before="0" w:after="283"/>
              <w:jc w:val="left"/>
              <w:rPr>
                <w:sz w:val="4"/>
                <w:szCs w:val="4"/>
              </w:rPr>
            </w:pPr>
            <w:r>
              <w:rPr>
                <w:sz w:val="4"/>
                <w:szCs w:val="4"/>
              </w:rPr>
            </w:r>
          </w:p>
        </w:tc>
        <w:tc>
          <w:tcPr>
            <w:tcW w:w="74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These are arrangements in which customers are billed a fixed price for each transaction performed on a monthly basis (e.g., wheelchair passengers served or airplane cabins cleaned). </w:t>
            </w:r>
          </w:p>
        </w:tc>
      </w:tr>
      <w:tr>
        <w:trPr/>
        <w:tc>
          <w:tcPr>
            <w:tcW w:w="26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Hourly</w:t>
            </w:r>
          </w:p>
        </w:tc>
        <w:tc>
          <w:tcPr>
            <w:tcW w:w="109" w:type="dxa"/>
            <w:tcBorders/>
            <w:vAlign w:val="center"/>
          </w:tcPr>
          <w:p>
            <w:pPr>
              <w:pStyle w:val="TableContents"/>
              <w:bidi w:val="0"/>
              <w:spacing w:before="0" w:after="283"/>
              <w:jc w:val="left"/>
              <w:rPr>
                <w:sz w:val="4"/>
                <w:szCs w:val="4"/>
              </w:rPr>
            </w:pPr>
            <w:r>
              <w:rPr>
                <w:sz w:val="4"/>
                <w:szCs w:val="4"/>
              </w:rPr>
            </w:r>
          </w:p>
        </w:tc>
        <w:tc>
          <w:tcPr>
            <w:tcW w:w="74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 xml:space="preserve">In hourly arrangements, the client is billed a fixed hourly rate for each labor hour provided. </w:t>
            </w:r>
          </w:p>
        </w:tc>
      </w:tr>
      <w:tr>
        <w:trPr/>
        <w:tc>
          <w:tcPr>
            <w:tcW w:w="26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Management Reimbursement</w:t>
            </w:r>
          </w:p>
        </w:tc>
        <w:tc>
          <w:tcPr>
            <w:tcW w:w="109" w:type="dxa"/>
            <w:tcBorders/>
            <w:vAlign w:val="center"/>
          </w:tcPr>
          <w:p>
            <w:pPr>
              <w:pStyle w:val="TableContents"/>
              <w:bidi w:val="0"/>
              <w:spacing w:before="0" w:after="283"/>
              <w:jc w:val="left"/>
              <w:rPr>
                <w:sz w:val="4"/>
                <w:szCs w:val="4"/>
              </w:rPr>
            </w:pPr>
            <w:r>
              <w:rPr>
                <w:sz w:val="4"/>
                <w:szCs w:val="4"/>
              </w:rPr>
            </w:r>
          </w:p>
        </w:tc>
        <w:tc>
          <w:tcPr>
            <w:tcW w:w="74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Under these parking arrangements, we manage a parking facility for a management fee and pass through the revenue and expenses associated with the facility to the owner.</w:t>
            </w:r>
          </w:p>
        </w:tc>
      </w:tr>
      <w:tr>
        <w:trPr/>
        <w:tc>
          <w:tcPr>
            <w:tcW w:w="26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Leased Location</w:t>
            </w:r>
          </w:p>
        </w:tc>
        <w:tc>
          <w:tcPr>
            <w:tcW w:w="109" w:type="dxa"/>
            <w:tcBorders/>
            <w:vAlign w:val="center"/>
          </w:tcPr>
          <w:p>
            <w:pPr>
              <w:pStyle w:val="TableContents"/>
              <w:bidi w:val="0"/>
              <w:spacing w:before="0" w:after="283"/>
              <w:jc w:val="left"/>
              <w:rPr>
                <w:sz w:val="4"/>
                <w:szCs w:val="4"/>
              </w:rPr>
            </w:pPr>
            <w:r>
              <w:rPr>
                <w:sz w:val="4"/>
                <w:szCs w:val="4"/>
              </w:rPr>
            </w:r>
          </w:p>
        </w:tc>
        <w:tc>
          <w:tcPr>
            <w:tcW w:w="74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Under these parking arrangements, we pay a fixed amount of rent plus a percentage of revenues derived from monthly and transient parkers to the property owner. We retain all revenues received and are responsible for most operating expenses incurred.</w:t>
            </w:r>
          </w:p>
        </w:tc>
      </w:tr>
      <w:tr>
        <w:trPr/>
        <w:tc>
          <w:tcPr>
            <w:tcW w:w="26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Allowance</w:t>
            </w:r>
          </w:p>
        </w:tc>
        <w:tc>
          <w:tcPr>
            <w:tcW w:w="109" w:type="dxa"/>
            <w:tcBorders/>
            <w:vAlign w:val="center"/>
          </w:tcPr>
          <w:p>
            <w:pPr>
              <w:pStyle w:val="TableContents"/>
              <w:bidi w:val="0"/>
              <w:spacing w:before="0" w:after="283"/>
              <w:jc w:val="left"/>
              <w:rPr>
                <w:sz w:val="4"/>
                <w:szCs w:val="4"/>
              </w:rPr>
            </w:pPr>
            <w:r>
              <w:rPr>
                <w:sz w:val="4"/>
                <w:szCs w:val="4"/>
              </w:rPr>
            </w:r>
          </w:p>
        </w:tc>
        <w:tc>
          <w:tcPr>
            <w:tcW w:w="74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Under these parking arrangements, we are paid a fixed amount or hourly fee to provide parking services, and we are responsible for certain operating expenses, as specified in the contract.</w:t>
            </w:r>
          </w:p>
        </w:tc>
      </w:tr>
      <w:tr>
        <w:trPr/>
        <w:tc>
          <w:tcPr>
            <w:tcW w:w="26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Energy Savings Contracts and Fixed-Price Repair and Refurbishment</w:t>
            </w:r>
          </w:p>
        </w:tc>
        <w:tc>
          <w:tcPr>
            <w:tcW w:w="109" w:type="dxa"/>
            <w:tcBorders/>
            <w:vAlign w:val="center"/>
          </w:tcPr>
          <w:p>
            <w:pPr>
              <w:pStyle w:val="TableContents"/>
              <w:bidi w:val="0"/>
              <w:spacing w:before="0" w:after="283"/>
              <w:jc w:val="left"/>
              <w:rPr>
                <w:sz w:val="4"/>
                <w:szCs w:val="4"/>
              </w:rPr>
            </w:pPr>
            <w:r>
              <w:rPr>
                <w:sz w:val="4"/>
                <w:szCs w:val="4"/>
              </w:rPr>
            </w:r>
          </w:p>
        </w:tc>
        <w:tc>
          <w:tcPr>
            <w:tcW w:w="74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Under these arrangements, we agree to develop, design, engineer, and construct a project. Additionally, as part of bundled energy solutions arrangements, we guarantee the project will satisfy agreed-upon performance standards. The client agrees to pay us based on s predetermined contractual milestone schedule.</w:t>
            </w:r>
          </w:p>
        </w:tc>
      </w:tr>
      <w:tr>
        <w:trPr/>
        <w:tc>
          <w:tcPr>
            <w:tcW w:w="26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Franchise</w:t>
            </w:r>
          </w:p>
        </w:tc>
        <w:tc>
          <w:tcPr>
            <w:tcW w:w="109" w:type="dxa"/>
            <w:tcBorders/>
            <w:vAlign w:val="center"/>
          </w:tcPr>
          <w:p>
            <w:pPr>
              <w:pStyle w:val="TableContents"/>
              <w:bidi w:val="0"/>
              <w:spacing w:before="0" w:after="283"/>
              <w:jc w:val="left"/>
              <w:rPr>
                <w:sz w:val="4"/>
                <w:szCs w:val="4"/>
              </w:rPr>
            </w:pPr>
            <w:r>
              <w:rPr>
                <w:sz w:val="4"/>
                <w:szCs w:val="4"/>
              </w:rPr>
            </w:r>
          </w:p>
        </w:tc>
        <w:tc>
          <w:tcPr>
            <w:tcW w:w="74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We franchise certain engineering services through individual and area franchises under the Linc Service and TEGG brands, which are part of ABM Technical Solutions.</w:t>
            </w:r>
          </w:p>
        </w:tc>
      </w:tr>
      <w:tr>
        <w:trPr/>
        <w:tc>
          <w:tcPr>
            <w:tcW w:w="268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Microgrid Systems Installation</w:t>
            </w:r>
          </w:p>
        </w:tc>
        <w:tc>
          <w:tcPr>
            <w:tcW w:w="109" w:type="dxa"/>
            <w:tcBorders/>
            <w:vAlign w:val="center"/>
          </w:tcPr>
          <w:p>
            <w:pPr>
              <w:pStyle w:val="TableContents"/>
              <w:bidi w:val="0"/>
              <w:spacing w:before="0" w:after="283"/>
              <w:jc w:val="left"/>
              <w:rPr>
                <w:sz w:val="4"/>
                <w:szCs w:val="4"/>
              </w:rPr>
            </w:pPr>
            <w:r>
              <w:rPr>
                <w:sz w:val="4"/>
                <w:szCs w:val="4"/>
              </w:rPr>
            </w:r>
          </w:p>
        </w:tc>
        <w:tc>
          <w:tcPr>
            <w:tcW w:w="74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Under these arrangements, we provide electrical contracting services for energy related products such as the installation of solar solutions, battery storage, distributed generation, and other specialized electric trades. The client agrees to pay us based on a predetermined contractual milestone schedule.</w:t>
            </w:r>
          </w:p>
        </w:tc>
      </w:tr>
    </w:tbl>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60350"/>
                <wp:effectExtent l="0" t="0" r="0" b="0"/>
                <wp:wrapNone/>
                <wp:docPr id="9" name="Frame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40" w:after="283"/>
        <w:jc w:val="left"/>
        <w:rPr>
          <w:rFonts w:ascii="Arial;sans-serif" w:hAnsi="Arial;sans-serif"/>
          <w:b/>
          <w:color w:val="0046AD"/>
          <w:sz w:val="20"/>
        </w:rPr>
      </w:pPr>
      <w:r>
        <w:rPr>
          <w:rFonts w:ascii="Arial;sans-serif" w:hAnsi="Arial;sans-serif"/>
          <w:b/>
          <w:color w:val="0046AD"/>
          <w:sz w:val="20"/>
        </w:rPr>
        <w:t>Segment and Geographic Financial Information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Our current reportable segments consist of Business &amp; Industry (“B&amp;I”), Manufacturing &amp; Distribution (“M&amp;D”), Education, Aviation, and Technical Solutions. For segment and geographic financial information, see Note 17, “Segment and Geographic Information,” in the Notes to consolidated financial statements.</w:t>
      </w:r>
    </w:p>
    <w:tbl>
      <w:tblPr>
        <w:tblW w:w="10205" w:type="dxa"/>
        <w:jc w:val="left"/>
        <w:tblInd w:w="0" w:type="dxa"/>
        <w:tblLayout w:type="fixed"/>
        <w:tblCellMar>
          <w:top w:w="28" w:type="dxa"/>
          <w:left w:w="28" w:type="dxa"/>
          <w:bottom w:w="28" w:type="dxa"/>
          <w:right w:w="28" w:type="dxa"/>
        </w:tblCellMar>
      </w:tblPr>
      <w:tblGrid>
        <w:gridCol w:w="1126"/>
        <w:gridCol w:w="987"/>
        <w:gridCol w:w="988"/>
        <w:gridCol w:w="2323"/>
        <w:gridCol w:w="2060"/>
        <w:gridCol w:w="2721"/>
      </w:tblGrid>
      <w:tr>
        <w:trPr/>
        <w:tc>
          <w:tcPr>
            <w:tcW w:w="112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right w:val="single" w:sz="8" w:space="0" w:color="000000"/>
            </w:tcBorders>
            <w:shd w:fill="DCE2EF" w:val="clear"/>
            <w:tcMar>
              <w:top w:w="30" w:type="dxa"/>
              <w:bottom w:w="0" w:type="dxa"/>
            </w:tcMar>
            <w:vAlign w:val="center"/>
          </w:tcPr>
          <w:p>
            <w:pPr>
              <w:pStyle w:val="TableContents"/>
              <w:bidi w:val="0"/>
              <w:spacing w:lineRule="auto" w:line="240" w:before="0" w:after="283"/>
              <w:jc w:val="center"/>
              <w:rPr>
                <w:color w:val="0046AD"/>
              </w:rPr>
            </w:pPr>
            <w:r>
              <w:rPr>
                <w:color w:val="0046AD"/>
              </w:rPr>
              <w:t> </w:t>
            </w:r>
            <w:r>
              <w:rPr>
                <w:rFonts w:ascii="Arial;sans-serif" w:hAnsi="Arial;sans-serif"/>
                <w:b/>
                <w:color w:val="0046AD"/>
                <w:sz w:val="20"/>
              </w:rPr>
              <w:t>REPORTABLE SEGMENTS AND DESCRIPTIONS</w:t>
            </w:r>
          </w:p>
        </w:tc>
      </w:tr>
      <w:tr>
        <w:trPr/>
        <w:tc>
          <w:tcPr>
            <w:tcW w:w="31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drawing>
                <wp:inline distT="0" distB="0" distL="0" distR="0">
                  <wp:extent cx="1905000" cy="126682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1905000" cy="1266825"/>
                          </a:xfrm>
                          <a:prstGeom prst="rect">
                            <a:avLst/>
                          </a:prstGeom>
                        </pic:spPr>
                      </pic:pic>
                    </a:graphicData>
                  </a:graphic>
                </wp:inline>
              </w:drawing>
            </w:r>
          </w:p>
        </w:tc>
        <w:tc>
          <w:tcPr>
            <w:tcW w:w="71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B&amp;I, our largest reportable segment, encompasses janitorial, facilities engineering, and parking services for commercial real estate properties (including corporate offices for high tech clients), sports and entertainment venues, and traditional hospitals and non-acute healthcare facilities. B&amp;I also provides vehicle maintenance and other services to rental car providers. We typically provide these services pursuant to monthly fixed-price, square-foot, cost-plus, and parking arrangements (i.e., management reimbursement, leased location, or allowance) that are obtained through a competitive bid process as well as pursuant to work orders.</w:t>
            </w:r>
          </w:p>
        </w:tc>
      </w:tr>
      <w:tr>
        <w:trPr/>
        <w:tc>
          <w:tcPr>
            <w:tcW w:w="31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drawing>
                <wp:inline distT="0" distB="0" distL="0" distR="0">
                  <wp:extent cx="1885950" cy="12668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885950" cy="1266825"/>
                          </a:xfrm>
                          <a:prstGeom prst="rect">
                            <a:avLst/>
                          </a:prstGeom>
                        </pic:spPr>
                      </pic:pic>
                    </a:graphicData>
                  </a:graphic>
                </wp:inline>
              </w:drawing>
            </w:r>
          </w:p>
        </w:tc>
        <w:tc>
          <w:tcPr>
            <w:tcW w:w="71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120" w:after="120"/>
              <w:jc w:val="both"/>
              <w:rPr>
                <w:rFonts w:ascii="Arial;sans-serif" w:hAnsi="Arial;sans-serif"/>
                <w:b w:val="false"/>
                <w:color w:val="000000"/>
                <w:sz w:val="20"/>
              </w:rPr>
            </w:pPr>
            <w:r>
              <w:rPr>
                <w:rFonts w:ascii="Arial;sans-serif" w:hAnsi="Arial;sans-serif"/>
                <w:b w:val="false"/>
                <w:color w:val="000000"/>
                <w:sz w:val="20"/>
              </w:rPr>
              <w:t xml:space="preserve">M&amp;D provides integrated facility services, engineering, janitorial, and other specialized services to a variety of manufacturing, distribution, and data center facilities. We typically provide these services pursuant to monthly fixed-price, square-foot, and cost-plus, that are obtained through a competitive bid process as well as pursuant to work orders. One client accounted for approximately 32% of revenues for this segment in 2023. </w:t>
            </w:r>
          </w:p>
        </w:tc>
      </w:tr>
      <w:tr>
        <w:trPr/>
        <w:tc>
          <w:tcPr>
            <w:tcW w:w="31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drawing>
                <wp:inline distT="0" distB="0" distL="0" distR="0">
                  <wp:extent cx="1876425" cy="12668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876425" cy="1266825"/>
                          </a:xfrm>
                          <a:prstGeom prst="rect">
                            <a:avLst/>
                          </a:prstGeom>
                        </pic:spPr>
                      </pic:pic>
                    </a:graphicData>
                  </a:graphic>
                </wp:inline>
              </w:drawing>
            </w:r>
          </w:p>
        </w:tc>
        <w:tc>
          <w:tcPr>
            <w:tcW w:w="71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120" w:after="120"/>
              <w:jc w:val="both"/>
              <w:rPr>
                <w:rFonts w:ascii="Arial;sans-serif" w:hAnsi="Arial;sans-serif"/>
                <w:b w:val="false"/>
                <w:color w:val="000000"/>
                <w:sz w:val="20"/>
              </w:rPr>
            </w:pPr>
            <w:r>
              <w:rPr>
                <w:rFonts w:ascii="Arial;sans-serif" w:hAnsi="Arial;sans-serif"/>
                <w:b w:val="false"/>
                <w:color w:val="000000"/>
                <w:sz w:val="20"/>
              </w:rPr>
              <w:t>Education delivers janitorial, custodial, landscaping and grounds, facilities engineering, and parking services for public school districts, private schools, colleges, and universities. These services are typically provided pursuant to monthly fixed-price, square-foot, and cost-plus arrangements that are obtained through either a competitive bid process or re-bid upon renewal as well as pursuant to work orders.</w:t>
            </w:r>
          </w:p>
        </w:tc>
      </w:tr>
      <w:tr>
        <w:trPr/>
        <w:tc>
          <w:tcPr>
            <w:tcW w:w="310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center"/>
              <w:rPr/>
            </w:pPr>
            <w:r>
              <w:rPr/>
              <w:drawing>
                <wp:inline distT="0" distB="0" distL="0" distR="0">
                  <wp:extent cx="1905000" cy="126682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905000" cy="1266825"/>
                          </a:xfrm>
                          <a:prstGeom prst="rect">
                            <a:avLst/>
                          </a:prstGeom>
                        </pic:spPr>
                      </pic:pic>
                    </a:graphicData>
                  </a:graphic>
                </wp:inline>
              </w:drawing>
            </w:r>
          </w:p>
        </w:tc>
        <w:tc>
          <w:tcPr>
            <w:tcW w:w="71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both"/>
              <w:rPr/>
            </w:pPr>
            <w:r>
              <w:rPr>
                <w:rFonts w:ascii="Arial;sans-serif" w:hAnsi="Arial;sans-serif"/>
                <w:b w:val="false"/>
                <w:color w:val="000000"/>
                <w:sz w:val="20"/>
              </w:rPr>
              <w:t>Aviation supports airlines and airports with services ranging from parking and janitorial to passenger assistance, catering logistics, air cabin maintenance, and transportation. We typically provide services to clients in this segment under master services agreements. These agreements are typically re-bid upon renewal and are generally structured as monthly fixed-price, square-foot, cost-plus, parking, transaction-price, and hourly arrangements</w:t>
            </w:r>
            <w:r>
              <w:rPr>
                <w:rFonts w:ascii="Times New Roman;sans-serif" w:hAnsi="Times New Roman;sans-serif"/>
                <w:b w:val="false"/>
                <w:color w:val="000000"/>
                <w:sz w:val="20"/>
              </w:rPr>
              <w:t xml:space="preserve">. </w:t>
            </w:r>
            <w:r>
              <w:rPr>
                <w:rFonts w:ascii="Arial;sans-serif" w:hAnsi="Arial;sans-serif"/>
                <w:b w:val="false"/>
                <w:color w:val="000000"/>
                <w:sz w:val="20"/>
              </w:rPr>
              <w:t xml:space="preserve">One client accounted for approximately 18% of revenues for this segment in 2023. </w:t>
            </w:r>
          </w:p>
        </w:tc>
      </w:tr>
      <w:tr>
        <w:trPr/>
        <w:tc>
          <w:tcPr>
            <w:tcW w:w="310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center"/>
              <w:rPr/>
            </w:pPr>
            <w:r>
              <w:rPr/>
              <w:drawing>
                <wp:inline distT="0" distB="0" distL="0" distR="0">
                  <wp:extent cx="1905000" cy="126682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905000" cy="1266825"/>
                          </a:xfrm>
                          <a:prstGeom prst="rect">
                            <a:avLst/>
                          </a:prstGeom>
                        </pic:spPr>
                      </pic:pic>
                    </a:graphicData>
                  </a:graphic>
                </wp:inline>
              </w:drawing>
            </w:r>
          </w:p>
        </w:tc>
        <w:tc>
          <w:tcPr>
            <w:tcW w:w="71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120" w:after="120"/>
              <w:jc w:val="both"/>
              <w:rPr>
                <w:rFonts w:ascii="Arial;sans-serif" w:hAnsi="Arial;sans-serif"/>
                <w:b w:val="false"/>
                <w:color w:val="000000"/>
                <w:sz w:val="20"/>
              </w:rPr>
            </w:pPr>
            <w:r>
              <w:rPr>
                <w:rFonts w:ascii="Arial;sans-serif" w:hAnsi="Arial;sans-serif"/>
                <w:b w:val="false"/>
                <w:color w:val="000000"/>
                <w:sz w:val="20"/>
              </w:rPr>
              <w:t>Technical Solutions specializes in facility infrastructure, mechanical and electrical services, including EV power design, installation and maintenance, as well as microgrid systems design and installation. These services can also be leveraged for cross-selling across all of our industry groups, both domestically and internationally. Contracts for this segment are generally structured as electrical contracting services for energy related products such as the installation of solar solutions, battery storage, distributed generation, and other specialized electric trade..</w:t>
            </w:r>
          </w:p>
        </w:tc>
      </w:tr>
    </w:tbl>
    <w:p>
      <w:pPr>
        <w:pStyle w:val="TextBody"/>
        <w:bidi w:val="0"/>
        <w:spacing w:before="180" w:after="283"/>
        <w:ind w:left="0" w:right="0" w:firstLine="7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60350"/>
                <wp:effectExtent l="0" t="0" r="0" b="0"/>
                <wp:wrapNone/>
                <wp:docPr id="15" name="Frame8"/>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Service Marks, Trademarks, and Trade Names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hold various service marks, trademarks, and/or trade names, such as “ABM,” “ABM Building Value,” “ABM GreenCare,” “ABM EnhancedClean,” “ABM EnhancedFacility,” “Linc Service,” “TEGG,” “ABM Connect,” “ABM Vantage,” “Momentum Support Services,” and “RavenVolt,” which we deem important to our marketing activities, to our business, and, in some cases, to the franchising activities conducted by our Technical Solutions segment.</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Dependence on Significant Client</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No single client accounted for more than 10% of our consolidated revenues during 2023, 2022, or 2021.</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Competition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believe that each aspect of our business is highly competitive and that such competition is based primarily on price, quality of service, efficiency, and productivity enhancements, adapting to changing workplace conditions, and ability to anticipate and respond to industry changes. A majority of our revenue is derived from projects requiring competitive bids; however, an invitation to bid is often conditioned upon prior experience, industry expertise, and financial strength. The low cost of entry in the facility services business results in a very competitive market. We mainly compete with regional and local owner-operated companies that may have more acute vision into local markets and significantly lower labor and overhead costs, providing them with competitive advantages in those regards. We also compete indirectly with companies that can perform for themselves one or more of the services we provide.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Sales and Marketing</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sales and marketing activities include digital engagement and direct interactions with prospective and existing clients, pricing, proposal management, and customer relationship management by dedicated business development teams, operations personnel, and management. These activities are executed by branch and regional sales, marketing, and operations teams assigned to our industry groups and are supported by centralized sales support teams, inside sales teams, and marketing personnel. The sales and marketing teams acquire, nurture, and manage leads through the sales buying process, as well as train personnel on product offerings, sales tools, and proposal systems, all governed by standard operating procedures. </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Macro-Economic Environment in Commercial Real Estate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actively monitor the economic environment and its potential impact on demand for our services and our financial condition. Largely driven by the lingering effects of the pandemic, especially the normalization of hybrid work, the commercial real estate industry, particularly multi-tenant and owner-occupied commercial office buildings, is experiencing an increase in vacancy rates. Given that Class A and high-quality commercial office buildings are a key end market for the Company, we expect a decline in demand for janitorial services and work orders in these markets near-term. Longer term, we expect the vacancy rates of Class A and high-quality buildings to gradually decrease and our volume of work to stabilize.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Regulatory Environment</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operations are subject to various federal, state, and/or local laws, rules, and regulations regulating among other things, labor, wages, and health and safety matters, as well as laws and regulations relating to the discharge of materials into the environment or otherwise relating to the protection of the environment. Historically, the cost of complying with these laws, rules, and regulations has not had a material adverse effect on our financial position, results of operations, or cash flows.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Environmental, Social, and Governance (“ESG”) Strategy and Oversight</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a company with over 110 years of history we understand the importance of embedding and integrating responsible and community-minded business practices into our operations and commit to standards to create value and support the long-term success of our business, shareholders, employees, and clients.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Board of Directors and its committees are responsible for overseeing the Company’s activities and practices relating to ESG. Our Board of Directors receives regular reports from meetings of its Governance Committee, which is responsible for oversight of the Company’s overall ESG-related framework, as well as from meetings of its Stakeholder and Enterprise Risk Committee, which is responsible for oversight of environmental and social matters within ESG. Additionally, our internal culture, sustainability, diversity, equity and inclusion teams 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60350"/>
                <wp:effectExtent l="0" t="0" r="0" b="0"/>
                <wp:wrapNone/>
                <wp:docPr id="16" name="Frame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cross functional collaboration with departments throughout and across the enterprise to advance our ESG strategies, and regularly present to the Board of Directors’ Stakeholder and Enterprise Risk Committee.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Since 2011, we have voluntarily published an ESG Impact Report on an annual basis in alignment with the Global Reporting Initiative framework and the Sustainability Accounting Standards Board to address our business, our employees, and the environment. More information about our ESG performance, progress, and goals can be found in the Human Capital section of this report and in the ESG section of the Company’s corporate website.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Human Capital</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Given that ABM is a service-oriented business, our employees are the driving force behind our success, and we believe our ability to attract, develop, and retain our employees at all levels of our organization has a direct impact on client satisfaction and our ability to grow the Company. To succeed in a competitive labor market, ABM has developed key recruitment and retention strategies, objectives, and measures that we focus on as part of the overall management of our business. These strategies, objectives, and measures form the pillars of our human capital management framework and are advanced through the programs, policies and initiatives described below.</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Direct labor costs represented 69% of our total revenue for 2023. As of October 31, 2023, we employed approximately 123,000 employees, of whom approximately 46,000, or 37%, were subject to various local collective bargaining agreements. As of October 31, 2023, our frontline employees represented 92% of our total workforce, while staff and management employees represented the other 8%.</w:t>
      </w:r>
    </w:p>
    <w:p>
      <w:pPr>
        <w:pStyle w:val="TextBody"/>
        <w:bidi w:val="0"/>
        <w:spacing w:lineRule="auto" w:line="288" w:before="180" w:after="283"/>
        <w:ind w:left="0" w:right="0" w:firstLine="720"/>
        <w:jc w:val="both"/>
        <w:rPr/>
      </w:pPr>
      <w:r>
        <w:rPr>
          <w:rFonts w:ascii="Arial;sans-serif" w:hAnsi="Arial;sans-serif"/>
          <w:b w:val="false"/>
          <w:color w:val="000000"/>
          <w:sz w:val="20"/>
        </w:rPr>
        <w:t>Our human capital strategy is grounded and guided by our values and our employees. We prioritize our human capital development in order to do business in a responsible way and enable our employees’ and clients’ success. The execution of this strategy is overseen at the highest levels of our organization, from our Board of Directors, our Board of Directors’ Stakeholder and Enterprise Risk Committee, and across our senior management</w:t>
      </w:r>
      <w:r>
        <w:rPr>
          <w:rFonts w:ascii="Arial;sans-serif" w:hAnsi="Arial;sans-serif"/>
          <w:b w:val="false"/>
          <w:i/>
          <w:color w:val="0046AD"/>
          <w:sz w:val="20"/>
        </w:rPr>
        <w:t xml:space="preserve">. </w:t>
      </w:r>
    </w:p>
    <w:p>
      <w:pPr>
        <w:pStyle w:val="TextBody"/>
        <w:bidi w:val="0"/>
        <w:spacing w:lineRule="auto" w:line="288" w:before="180" w:after="12"/>
        <w:jc w:val="both"/>
        <w:rPr>
          <w:rFonts w:ascii="Arial;sans-serif" w:hAnsi="Arial;sans-serif"/>
          <w:b w:val="false"/>
          <w:i/>
          <w:color w:val="0046AD"/>
          <w:sz w:val="20"/>
        </w:rPr>
      </w:pPr>
      <w:r>
        <w:rPr>
          <w:rFonts w:ascii="Arial;sans-serif" w:hAnsi="Arial;sans-serif"/>
          <w:b w:val="false"/>
          <w:i/>
          <w:color w:val="0046AD"/>
          <w:sz w:val="20"/>
        </w:rPr>
        <w:t>Business ethics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Code of Business Conduct drives the application of our core values of respect, integrity, collaboration, innovation, trust, and excellence throughout our operations. Our Code of Business Conduct serves as a critical tool to help all ABM team members to recognize and report unethical conduct, while preserving and nurturing our culture of honesty and accountability. We provide comprehensive annual training and certification programs on our Code of Business Conduct for our Board of Directors and all of our staff and management employees. </w:t>
      </w:r>
    </w:p>
    <w:p>
      <w:pPr>
        <w:pStyle w:val="TextBody"/>
        <w:bidi w:val="0"/>
        <w:spacing w:lineRule="auto" w:line="288" w:before="180" w:after="12"/>
        <w:jc w:val="left"/>
        <w:rPr>
          <w:rFonts w:ascii="Arial;sans-serif" w:hAnsi="Arial;sans-serif"/>
          <w:b w:val="false"/>
          <w:i/>
          <w:color w:val="0046AD"/>
          <w:sz w:val="20"/>
        </w:rPr>
      </w:pPr>
      <w:r>
        <w:rPr>
          <w:rFonts w:ascii="Arial;sans-serif" w:hAnsi="Arial;sans-serif"/>
          <w:b w:val="false"/>
          <w:i/>
          <w:color w:val="0046AD"/>
          <w:sz w:val="20"/>
        </w:rPr>
        <w:t>Human resources, hiring, and training</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With a team of approximately 123,000 employees across the United States, UK, Ireland, and other locations, we have invested in and implemented a variety of systems and tools designed to centralize and standardize hiring and training practices, including regional recruitment strategies, applicant tracking technology, and incorporating modeling and advanced analytics that provide actionable insights relative to the candidate life cycle and turnover trends in our HR processes to drive ongoing improvement in the attraction, retention, and engagement of our frontline employees, who constitute the majority of our workforce.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2021, we successfully piloted a frontline leadership training program, which was launched enterprise-wide in 2022 and expanded further in 2023. This program is designed to enhance the management and coaching skills of frontline supervisors to improve the employee experience, create an environment for career growth, and increase retention.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online training platform, ABM University, provides our staff and management employees with access to a multitude of training courses, videos, reference material, and other tools. Outside of ABM University, our frontline employees receive on-the-job training to enable us to execute for our clients in a safe and efficient manner. </w:t>
      </w:r>
    </w:p>
    <w:p>
      <w:pPr>
        <w:pStyle w:val="TextBody"/>
        <w:bidi w:val="0"/>
        <w:spacing w:lineRule="auto" w:line="288" w:before="180" w:after="12"/>
        <w:jc w:val="left"/>
        <w:rPr>
          <w:rFonts w:ascii="Arial;sans-serif" w:hAnsi="Arial;sans-serif"/>
          <w:b w:val="false"/>
          <w:i/>
          <w:color w:val="0046AD"/>
          <w:sz w:val="20"/>
        </w:rPr>
      </w:pPr>
      <w:r>
        <w:rPr>
          <w:rFonts w:ascii="Arial;sans-serif" w:hAnsi="Arial;sans-serif"/>
          <w:b w:val="false"/>
          <w:i/>
          <w:color w:val="0046AD"/>
          <w:sz w:val="20"/>
        </w:rPr>
        <w:t>Compensation and employee benefits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we offer competitive wages and salaries in our served markets and full-time employees have access to a continuum of health and wellness benefits, including medical, dental, vision, disability, and basic life and voluntary supplemental life and AD&amp;D insurance, 401K employee savings and employee stock purchase programs, a 24/7 employee assistance program, healthcare flexible spending accounts, telemedicine options, legal support, as well as commuter, fitness, and other discount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60350"/>
                <wp:effectExtent l="0" t="0" r="0" b="0"/>
                <wp:wrapNone/>
                <wp:docPr id="17" name="Frame10"/>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12"/>
        <w:jc w:val="both"/>
        <w:rPr>
          <w:rFonts w:ascii="Arial;sans-serif" w:hAnsi="Arial;sans-serif"/>
          <w:b w:val="false"/>
          <w:i/>
          <w:color w:val="0046AD"/>
          <w:sz w:val="20"/>
        </w:rPr>
      </w:pPr>
      <w:r>
        <w:rPr>
          <w:rFonts w:ascii="Arial;sans-serif" w:hAnsi="Arial;sans-serif"/>
          <w:b w:val="false"/>
          <w:i/>
          <w:color w:val="0046AD"/>
          <w:sz w:val="20"/>
        </w:rPr>
        <w:t>Labor relations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With approximately 46,000 union-represented employees, we are party to more than 250 collective bargaining agreements nationwide, with 20 major labor unions. Our collective bargaining agreements include regional multiemployer agreements covering thousands of employees, as well as localized site agreements covering smaller groups. We strive to engage with our labor partners in an atmosphere of mutual respect, and seek to resolve disputes in a fair and equitable manner. </w:t>
      </w:r>
    </w:p>
    <w:p>
      <w:pPr>
        <w:pStyle w:val="TextBody"/>
        <w:bidi w:val="0"/>
        <w:spacing w:lineRule="auto" w:line="288" w:before="180" w:after="12"/>
        <w:jc w:val="both"/>
        <w:rPr>
          <w:rFonts w:ascii="Arial;sans-serif" w:hAnsi="Arial;sans-serif"/>
          <w:b w:val="false"/>
          <w:i/>
          <w:color w:val="0046AD"/>
          <w:sz w:val="20"/>
        </w:rPr>
      </w:pPr>
      <w:r>
        <w:rPr>
          <w:rFonts w:ascii="Arial;sans-serif" w:hAnsi="Arial;sans-serif"/>
          <w:b w:val="false"/>
          <w:i/>
          <w:color w:val="0046AD"/>
          <w:sz w:val="20"/>
        </w:rPr>
        <w:t>Safe working environment</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ABM’s commitment to its team members is evidenced in its approach to risk management and safety. The Company’s programs are designed to meet or exceed compliance standards of the Occupational Safety and Health Administration and other regulatory bodies, and to protect the health and welfare of our employees and our clients. A cornerstone of ABM’s comprehensive risk management and safety program is safety awareness to confirm our employees are: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educated on how to complete tasks safely;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trained in hazard identification;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made aware of emergency response procedures to immediately address challenges;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proficient in reporting accidents and utilizing applicable procedures to confirm appropriate loss mitigation techniques are implemented should a loss occur.</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“Think Safe” approach to safety includes establishing a safety mindset from day one of employment. This safety culture is continuously reinforced through daily moments for safety messaging, relevant monthly training topics, and unique programs and materials created for our employees.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One of the cornerstones of our ThinkSafe program is designed to help leaders identify workplace hazards and implement changes to prevent accident or injury. In our frontline leader training, participants are guided in creating a culture of safety and provided guidance on practices to support our employees receiving the right care at the right time to expedite their recovery. </w:t>
      </w:r>
    </w:p>
    <w:p>
      <w:pPr>
        <w:pStyle w:val="TextBody"/>
        <w:bidi w:val="0"/>
        <w:spacing w:lineRule="auto" w:line="288" w:before="180" w:after="12"/>
        <w:jc w:val="left"/>
        <w:rPr>
          <w:rFonts w:ascii="Arial;sans-serif" w:hAnsi="Arial;sans-serif"/>
          <w:b w:val="false"/>
          <w:i/>
          <w:color w:val="0046AD"/>
          <w:sz w:val="20"/>
        </w:rPr>
      </w:pPr>
      <w:r>
        <w:rPr>
          <w:rFonts w:ascii="Arial;sans-serif" w:hAnsi="Arial;sans-serif"/>
          <w:b w:val="false"/>
          <w:i/>
          <w:color w:val="0046AD"/>
          <w:sz w:val="20"/>
        </w:rPr>
        <w:t>Culture and inclusion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With a widely distributed workforce serving over 20,000 clients across multiple nations and geographic regions, ABM’s culture, and the team member experience it supports, plays a vital role in attracting, retaining, and engaging talent. The Company works to develop an increasingly inclusive culture, where individuals from all backgrounds are equally able to contribute and are provided with opportunities to grow in their careers. </w:t>
      </w:r>
    </w:p>
    <w:p>
      <w:pPr>
        <w:pStyle w:val="TextBody"/>
        <w:bidi w:val="0"/>
        <w:spacing w:lineRule="auto" w:line="288" w:before="180" w:after="283"/>
        <w:ind w:left="0" w:right="0" w:firstLine="720"/>
        <w:jc w:val="both"/>
        <w:rPr/>
      </w:pPr>
      <w:r>
        <w:rPr>
          <w:rFonts w:ascii="Arial;sans-serif" w:hAnsi="Arial;sans-serif"/>
          <w:b w:val="false"/>
          <w:color w:val="000000"/>
          <w:sz w:val="20"/>
        </w:rPr>
        <w:t xml:space="preserve">Guided by ABM’s mission and values and aligned with its </w:t>
      </w:r>
      <w:r>
        <w:rPr>
          <w:rFonts w:ascii="Arial;sans-serif" w:hAnsi="Arial;sans-serif"/>
          <w:b/>
          <w:color w:val="E98300"/>
          <w:sz w:val="20"/>
        </w:rPr>
        <w:t>ELEVATE</w:t>
      </w:r>
      <w:r>
        <w:rPr>
          <w:color w:val="000000"/>
        </w:rPr>
        <w:t xml:space="preserve"> </w:t>
      </w:r>
      <w:r>
        <w:rPr>
          <w:rFonts w:ascii="Arial;sans-serif" w:hAnsi="Arial;sans-serif"/>
          <w:b w:val="false"/>
          <w:color w:val="000000"/>
          <w:sz w:val="20"/>
        </w:rPr>
        <w:t xml:space="preserve">strategy, the Company’s inclusive culture strategy is activated through its Culture &amp; Inclusion Council. ABM’s President and CEO and Chief Human Resources Officer each serve as executive sponsors of the Culture &amp; Inclusion Council, and reports of Culture &amp; Inclusion Council activities are provided to the Board’s Stakeholder and Enterprise Risk Committee.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Additionally, we are an Equal Opportunity and Affirmative Action employer in compliance with the requirements of the Executive Order 11246 of the Rehabilitation Act of 1973 and the Vietnam Era Veterans’ Readjustment Assistance Act. </w:t>
      </w:r>
    </w:p>
    <w:p>
      <w:pPr>
        <w:pStyle w:val="TextBody"/>
        <w:bidi w:val="0"/>
        <w:spacing w:before="18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60350"/>
                <wp:effectExtent l="0" t="0" r="0" b="0"/>
                <wp:wrapNone/>
                <wp:docPr id="18" name="Frame1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180" w:after="283"/>
        <w:jc w:val="left"/>
        <w:rPr/>
      </w:pPr>
      <w:r>
        <w:rPr/>
      </w:r>
    </w:p>
    <w:p>
      <w:pPr>
        <w:pStyle w:val="TextBody"/>
        <w:bidi w:val="0"/>
        <w:spacing w:lineRule="auto" w:line="276" w:before="0" w:after="0"/>
        <w:jc w:val="left"/>
        <w:rPr>
          <w:rFonts w:ascii="Arial;sans-serif" w:hAnsi="Arial;sans-serif"/>
          <w:b/>
          <w:color w:val="0046AD"/>
          <w:sz w:val="20"/>
        </w:rPr>
      </w:pPr>
      <w:r>
        <w:rPr>
          <w:rFonts w:ascii="Arial;sans-serif" w:hAnsi="Arial;sans-serif"/>
          <w:b/>
          <w:color w:val="0046AD"/>
          <w:sz w:val="20"/>
        </w:rPr>
        <w:t>Available Information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corporate website is www.abm.com. The content on any website referred to in this filing does not constitute, and should not be viewed as, a part of this Annual Report, and our website is not incorporated into this or any of our other filings with the Securities and Exchange Commission (“SEC”). We make available, free of charge through our website, our Annual Reports on Form 10-K, Quarterly Reports on Form 10-Q, Current Reports on Form 8-K, proxy statements, and amendments to those reports filed or furnished pursuant to Section 13(a) or 15(d) of the Securities Exchange Act of 1934 as soon as reasonably practicable after such reports are electronically filed with or furnished to the SEC. Additionally, the SEC maintains a website at www.sec.gov that contains reports, proxy and information statements, and other information regarding issuers that file electronically with the SEC.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Executive Officers of Registrant</w:t>
      </w:r>
    </w:p>
    <w:p>
      <w:pPr>
        <w:pStyle w:val="TextBody"/>
        <w:bidi w:val="0"/>
        <w:spacing w:lineRule="auto" w:line="288" w:before="180" w:after="283"/>
        <w:jc w:val="left"/>
        <w:rPr/>
      </w:pPr>
      <w:r>
        <w:rPr>
          <w:rFonts w:ascii="Arial;sans-serif" w:hAnsi="Arial;sans-serif"/>
          <w:b/>
          <w:i/>
          <w:color w:val="0046AD"/>
          <w:sz w:val="20"/>
        </w:rPr>
        <w:t>Executive Officers on December 18, 2023</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478"/>
        <w:gridCol w:w="289"/>
        <w:gridCol w:w="294"/>
        <w:gridCol w:w="109"/>
        <w:gridCol w:w="109"/>
        <w:gridCol w:w="109"/>
        <w:gridCol w:w="155"/>
        <w:gridCol w:w="155"/>
        <w:gridCol w:w="156"/>
        <w:gridCol w:w="109"/>
        <w:gridCol w:w="109"/>
        <w:gridCol w:w="109"/>
        <w:gridCol w:w="2385"/>
        <w:gridCol w:w="2336"/>
        <w:gridCol w:w="3303"/>
      </w:tblGrid>
      <w:tr>
        <w:trPr/>
        <w:tc>
          <w:tcPr>
            <w:tcW w:w="47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Principal Occupations and Business Experience</w:t>
            </w:r>
          </w:p>
        </w:tc>
      </w:tr>
      <w:tr>
        <w:trPr/>
        <w:tc>
          <w:tcPr>
            <w:tcW w:w="1061"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Scott Salmirs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President and Chief Executive Officer of ABM since March 2015; Executive Vice President of ABM from September 2014 to March 2015, with global responsibility for ABM’s Aviation division and all international activities; Executive Vice President of ABM’s Onsite Services division focused on the Northeast from 2003 to September 2014; Member of the Board of Directors of ABM since January 2015.</w:t>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Earl R. Ellis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Executive Vice President and Chief Financial Officer of ABM since November 2020; Senior Vice President, Finance and Procurement of Best Buy Co. Inc. from January 2018 to November 2020; Chief Financial Officer of Best Buy Canada from May 2016 to December 2017; Vice President, Finance, Retail of Canadian Tire Corporation Limited from May 2014 to May 2016.</w:t>
            </w:r>
          </w:p>
        </w:tc>
      </w:tr>
      <w:tr>
        <w:trPr/>
        <w:tc>
          <w:tcPr>
            <w:tcW w:w="106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Joshua H. Feinberg</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shd w:fill="DCE2E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Executive Vice President, Chief Strategy and Transformation Officer of ABM since November 2019; Managing Director and Partner of The Boston Consulting Group from July 2014 to November 2019.</w:t>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Rene Jacobsen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Executive Vice President and Chief Operating Officer of ABM since November 2020; Executive Vice President and Chief Facilities Services Officer of ABM from October 2019 to November 2020; President of ABM’s Business &amp; Industry Group from February 2016 to October 2019; Executive Vice President of ABM’s West Region from April 2012 to February 2016; Executive Vice President and Chief Operating Officer of Temco Service Industries from November 2007 to April 2012.</w:t>
            </w:r>
          </w:p>
        </w:tc>
      </w:tr>
      <w:tr>
        <w:trPr/>
        <w:tc>
          <w:tcPr>
            <w:tcW w:w="106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Sean M. Mahoney</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Executive Vice President and President, Sales and Marketing of ABM since November 2020; Senior Vice President, Sales of ABM from August 2017 to October 2020; Vice President, Sales of Honeywell from July 2015 to July 2017.</w:t>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Andrea R. Newborn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Executive Vice President, General Counsel, and Corporate Secretary of ABM since July 2017; Executive Vice President and General Counsel of TravelClick, Inc. from July 2014 to June 2017; Senior Vice President, General Counsel, and Secretary of The Reader’s Digest Association, Inc. from March 2007 to February 2014.</w:t>
            </w:r>
          </w:p>
        </w:tc>
      </w:tr>
      <w:tr>
        <w:trPr/>
        <w:tc>
          <w:tcPr>
            <w:tcW w:w="106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Raúl Valentin</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60</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shd w:fill="DCE2EF" w:val="clear"/>
            <w:tcMar>
              <w:top w:w="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Executive Vice President and Chief Human Resources Officer of ABM since September 2021; Senior Vice President, Human Resources of ABM from February 2019 to August 2021; Senior Vice President, Human Resources of Coty Inc. from 2016 to 2018; Vice President, Human Resources of Comcast Strategic &amp; Business Development from 2015 to 2016; Vice President, Talent Acquisition of Comcast from 2011 to 2015.</w:t>
            </w:r>
          </w:p>
        </w:tc>
      </w:tr>
      <w:tr>
        <w:trPr/>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Dean A. Chin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Treasurer of ABM since May 2021; Senior Vice President, Chief Accounting Officer, and Corporate Controller of ABM since June 2010; Interim Chief Financial Officer of ABM from July 2020 to November 2020; Vice President and Assistant Controller of ABM from June 2008 to June 2010.</w:t>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60350"/>
                <wp:effectExtent l="0" t="0" r="0" b="0"/>
                <wp:wrapNone/>
                <wp:docPr id="19" name="Frame12"/>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1A. RISK FACTORS.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following risks, some of which have occurred and any of which may occur in the future, could materially and adversely affect our business, financial condition, cash flows, results of operations, and/or the trading price of our common stock. The risks described below identify the material risks we face; however, our business could also be affected by factors that are not presently known to us or that we currently consider to be immaterial. You should carefully consider the risks described below in addition to the other information set forth in this Annual Report on Form 10-K, including “Management’s Discussion and Analysis of Financial Condition and Results of Operations” (“MD&amp;A”) and the consolidated financial statements and accompanying notes (the “Financial Statements”).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Risks Relating to Our Strategy and Operations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Our success depends on our ability to gain profitable business despite competitive market pressures.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Each market we provide services for is highly competitive and such competition is based primarily on price, quality of service, reputation, and ability to anticipate and respond to industry changes. A majority of our revenue is derived from services that require competitive bids from multiple suppliers. The low barrier of entry in the facility services business results in a very competitive market. We compete mainly with regional and local owner-operated companies that may have more insight into local market dynamics and significantly lower operating costs, which could provide them with a competitive advantage in those regards. We also compete indirectly with companies that can perform for themselves one or more of the services we provide. Further, if we are unable to respond adequately to market shifts and changing technology, we may lose existing clients and fail to win future business opportunities. A failure to respond effectively to competitive pressures or failure in our ability to increase prices as costs rise could reduce margins and materially adversely affect our financial performance.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6AD"/>
          <w:sz w:val="20"/>
        </w:rPr>
      </w:pPr>
      <w:r>
        <w:rPr>
          <w:rFonts w:ascii="Arial;sans-serif" w:hAnsi="Arial;sans-serif"/>
          <w:b/>
          <w:i/>
          <w:color w:val="0046AD"/>
          <w:sz w:val="20"/>
        </w:rPr>
        <w:t>Our results of operations can be adversely affected by labor shortages, turnover, and labor cost increases.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employ approximately 123,000 persons, and our operations depend on the services of a large and diverse workforce. We must attract, train, and retain a large and growing number of qualified employees while controlling related labor costs. Our ability to control labor and benefit costs is subject to numerous internal and external factors, including changes in the unemployment rate, changes in immigration policy, regulatory changes, prevailing wage rates, and competition we face from other companies for similarly skilled employees. During 2023, we continued to be impacted by labor shortages, inflationary pressures on wages, and an increasingly competitive labor market. Continued labor shortages or increased turnover rates within our employee base could lead to increased costs, such as increased overtime incurred and/or increased usage of temporary labor to meet the demands of our customers, as well as increased wage rates to attract and retain employees. Further, many of our contracts provide that our clients pay certain costs at specified rates, such as insurance, healthcare costs, salary and salary-related expenses, and other costs. If actual costs exceed the rates specified in the contracts, our profitability may be negatively impacted. There is no assurance that in the future we will be able to attract or retain qualified employees or effectively manage labor and benefit costs, which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46AD"/>
          <w:sz w:val="20"/>
        </w:rPr>
      </w:pPr>
      <w:r>
        <w:rPr>
          <w:rFonts w:ascii="Arial;sans-serif" w:hAnsi="Arial;sans-serif"/>
          <w:b/>
          <w:i/>
          <w:color w:val="0046AD"/>
          <w:sz w:val="20"/>
        </w:rPr>
        <w:t>We may not be able to attract and retain qualified personnel and senior management we need to support our business.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Our future performance depends on the continuing efforts and contributions of our senior management and on our continued ability to attract and retain qualified personnel. Unplanned turnover in senior management or inability to attract and retain qualified personnel could have a negative effect on our results of operations. In addition, activities related to identifying, recruiting, hiring, and integrating qualified management employees may require significant time and expense. We may not be able to locate suitable replacements for any key employees who leave, or offer employment to potential replacements on reasonable terms, each of which may adversely affect our business and financial results.</w:t>
      </w:r>
    </w:p>
    <w:p>
      <w:pPr>
        <w:pStyle w:val="TextBody"/>
        <w:bidi w:val="0"/>
        <w:spacing w:lineRule="auto" w:line="288" w:before="180" w:after="283"/>
        <w:jc w:val="both"/>
        <w:rPr/>
      </w:pPr>
      <w:r>
        <w:rPr>
          <w:rFonts w:ascii="Arial;sans-serif" w:hAnsi="Arial;sans-serif"/>
          <w:b/>
          <w:i/>
          <w:color w:val="0046AD"/>
          <w:sz w:val="20"/>
        </w:rPr>
        <w:t xml:space="preserve">Investments in and changes to our businesses, operating structure, or personnel relating to our </w:t>
      </w:r>
      <w:r>
        <w:rPr>
          <w:rFonts w:ascii="Arial;sans-serif" w:hAnsi="Arial;sans-serif"/>
          <w:b/>
          <w:i/>
          <w:color w:val="E98300"/>
          <w:sz w:val="20"/>
        </w:rPr>
        <w:t>ELEVATE</w:t>
      </w:r>
      <w:r>
        <w:rPr>
          <w:color w:val="0046AD"/>
        </w:rPr>
        <w:t xml:space="preserve"> </w:t>
      </w:r>
      <w:r>
        <w:rPr>
          <w:rFonts w:ascii="Arial;sans-serif" w:hAnsi="Arial;sans-serif"/>
          <w:b/>
          <w:i/>
          <w:color w:val="0046AD"/>
          <w:sz w:val="20"/>
        </w:rPr>
        <w:t>strategy, including the implementation of strategic transformations, enhanced business processes, and technology initiatives, may not have the desired effects on our financial condition and results of operations.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made significant investments and expect to make additional investments in various initiatives intended to drive long-term profitable growth and increase operational efficiency. These investments in and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60350"/>
                <wp:effectExtent l="0" t="0" r="0" b="0"/>
                <wp:wrapNone/>
                <wp:docPr id="20" name="Frame1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pPr>
      <w:r>
        <w:rPr>
          <w:rFonts w:ascii="Arial;sans-serif" w:hAnsi="Arial;sans-serif"/>
          <w:b w:val="false"/>
          <w:color w:val="000000"/>
          <w:sz w:val="20"/>
        </w:rPr>
        <w:t xml:space="preserve">to our business systems and processes may not create the growth, operational efficiencies, competitive advantage, or cost benefits that we expect and could result in unanticipated consequences, including disruptions to our back-office operations and service delivery. Moreover, the execution and/or benefits of our </w:t>
      </w:r>
      <w:r>
        <w:rPr>
          <w:rFonts w:ascii="Arial;sans-serif" w:hAnsi="Arial;sans-serif"/>
          <w:b/>
          <w:color w:val="E98300"/>
          <w:sz w:val="20"/>
        </w:rPr>
        <w:t>ELEVATE</w:t>
      </w:r>
      <w:r>
        <w:rPr>
          <w:color w:val="000000"/>
        </w:rPr>
        <w:t xml:space="preserve"> </w:t>
      </w:r>
      <w:r>
        <w:rPr>
          <w:rFonts w:ascii="Arial;sans-serif" w:hAnsi="Arial;sans-serif"/>
          <w:b w:val="false"/>
          <w:color w:val="000000"/>
          <w:sz w:val="20"/>
        </w:rPr>
        <w:t>strategy may not be realized on the expected timeline and/or may result in expenses in excess of what is currently forecast, which could negatively affect our financial condition.</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Our ability to preserve long-term client relationships is essential to our continued success.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depend to a large extent on our relationships with clients and our reputation for quality integrated facility solutions. Maintaining our existing client relationships, particularly with our largest clients, is an important factor contributing to our business success. We primarily provide services pursuant to agreements that are cancelable by either party upon 30 to 90 days’ notice. As we generally incur higher initial costs on new contracts until the labor management and facilities operations normalize, our business associated with long-term client relationships is generally more profitable than short-term client relationships. If we lose a significant number of long-term clients and/or all or a portion of the services for our larger clients, our financial results could be negatively impacted.</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Our use of subcontractors or joint venture partners to perform work under customer contracts exposes us to liability and financial risk.</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depend on subcontractors or other parties, such as joint venture partners, to perform work in situations in which we are not able to self-perform the work involved. Such arrangements may involve subcontracts or joint venture relationships where we do not have direct control over the performing party. We may be exposed to liability whenever one or more of our subcontractors or joint venture partners, for whatever reason, fails to perform or allegedly negligently performs the agreed-upon services. Although we have controls and programs in place to monitor the work of our subcontractors and our joint venture partners, there can be no assurance that these controls or programs will have the desired effect, and we may incur significant liability as a result of the actions or inactions of one or more of our subcontractors or joint venture partners.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Our international business involves risks different from those we face in the United States that could negatively impact our results of operations and financial condition.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business operations in jurisdictions outside of the United States, most significantly in the UK and Ireland. Our international operations are subject to risks that are different from those we face in the United States and subject us to complex and frequently changing laws and regulations, including differing labor laws and regulations relating to the protection of certain information that we collect and maintain about our employees, clients, and other third parties. Among these laws is the UK Modern Slavery Act, the Criminal Law (Human Trafficking) Act 2008 (Ireland), the UK Bribery Act, the Criminal Justice (Corruption Offences) Act 2018 (Ireland), and the UK and European Union General Data Protection Regulations (the “GDPR”). The failure to comply with these laws or regulations could subject us to significant litigation, monetary damages, regulatory enforcement actions, or fines in one or more jurisdictions.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when we participate in joint ventures that operate outside of the United States where we are not a controlling party, we may have limited control over the joint venture. Any improper actions by our joint venture employees, partners, or agents, including, but not limited to, failure to comply with the U.S. Foreign Corrupt Practices Act, the UK Bribery Act, and/or laws relating to human trafficking, could result in civil or criminal investigations, monetary and non-monetary penalties, or other consequences, any of which could have an adverse effect on our financial position as well as on our reputation and ability to conduct business.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Additionally, the operating results of our non-U.S. subsidiaries are translated into U.S. dollars, and those translations are affected by movements in foreign currencies relative to the U.S. dollar. There can be no assurance that the foregoing factors will not have a material adverse effect on our international operations or on our consolidated financial condition and results of operations.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Risks Relating to Market and Economic Conditions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 xml:space="preserve">Decreases in commercial office space utilization due to hybrid work models could adversely affect our financial condition.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key part of our business involves providing janitorial, facilities engineering, and parking services for commercial office building properties. Across the United States, vacant office spaces have increased and total office space under construction has decreased, compared to pre-pandemic levels. Driven by lower in-office occupancy,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60350"/>
                <wp:effectExtent l="0" t="0" r="0" b="0"/>
                <wp:wrapNone/>
                <wp:docPr id="21" name="Frame14"/>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lessees are projected to continue to decrease their office space requirements as existing leases expire or are renewed and/or renegotiated over the next several years. As existing clients decrease office space, the areas that we service for those clients decreases as does the demand for our highly profitable supplemental services (“work orders”) requested by our clients outside the scope of our standard service specifications. As new tenants occupy vacant office spaces, there may be delays and additional expenses incurred in securing client relationships with such new tenants. These factors could adversely affect our revenues and financial results.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 xml:space="preserve">Negative changes in general economic conditions, such as recessionary pressures, high interest rates, durable and non-durable goods pricing, changes in energy prices, or changes in consumer goods pricing could reduce the demand for our services and, as a result, reduce our revenue and earnings and adversely affect our financial condition.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Slowing economic activity or other negative changes in global, national, and local economic conditions could have a negative impact on our business. These adverse economic conditions could cause a decline in our clients’ demand for our services and/or in scope of work, including work orders and our clients’ ability to pay for such services, or attempts by our clients to defer payments owed to us. Further, potential declines in economic conditions could result in depressed prices for our services, which could affect our financial condition.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offer a portfolio of capital projects, which are designed to reduce a client’s overall consumption of commodities, such as electricity and natural gas. Downward fluctuations in commodity prices, and/or elevated interest rates, may reduce client demand for such projects. Additionally, we depend, in part, on federal and state legislation and policies that support energy efficiency projects. If current legislation or policies are amended, eliminated, or not extended beyond their current expiration dates, or if funding for energy incentives is reduced or delayed, it could also adversely affect our ability to obtain new capital projects. All of these factors could have an adverse effect on our financial condition, results of operations, and cash flows.</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 xml:space="preserve">Risks Relating to Acquisitions, Divestitures, or Strategic Transactions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Acquisitions, divestitures, and other strategic transactions could fail to achieve financial or strategic objectives, disrupt our ongoing business, and adversely impact our results of operations.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 furtherance of our business strategy, we routinely evaluate opportunities and may enter into agreements for possible acquisitions, divestitures, or other strategic transactions. A significant portion of our growth has been generated by acquisitions, and we may continue to acquire businesses in the future as part of our growth strategy. However, we may encounter challenges identifying opportunities in a timely manner or on terms acceptable to us. Furthermore, there is no assurance that any such transaction will result in synergistic benefits. A potential acquisition, divestiture, or other strategic transaction may involve a number of risks including, but not limited 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the transaction may not effectively advance our business strategy, and its anticipated benefits may never materialize;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our ongoing operations may be disrupted, and management time and focus may be diverted;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clients or key employees of an acquired business may not remain, which could negatively impact our ability to grow that acquired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integration of an acquired business’s accounting, information technology, HR, and other administrative systems may fail to permit effective management and expense reduction;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unforeseen challenges may arise in implementing internal controls, procedures, and policies;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additional indebtedness incurred as a result of an acquisition may impact our financial position, results of operations, and cash flows;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unanticipated or unknown liabilities may arise related to an acquired business.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Risks Relating to Information Technology and Cybersecurity</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 xml:space="preserve">We may experience breaches of, or disruptions to, our information technology systems or those of our third-party providers or clients, or other compromises of our data that could adversely affect our business.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information technology systems and those of our third-party providers or clients could be the target of cyberattacks, ransomware attacks, hacking, unauthorized access, phishing, computer viruses, malware,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60350"/>
                <wp:effectExtent l="0" t="0" r="0" b="0"/>
                <wp:wrapNone/>
                <wp:docPr id="22" name="Frame1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intrusions, which could result in operational disruptions or information misappropriation, such as theft of intellectual property or inappropriate disclosure of confidential, proprietary, or personal information. We maintain confidential, proprietary, and personal information in our information technology systems and in systems of third-party providers relating to our current, former, and prospective employees, clients, and other third parties. We have experienced certain data and security breaches in the past and could experience future data or security breaches stemming from the intentional or negligent acts of our employees or other third parties. Furthermore, while we continue to devote significant resources to monitoring and updating our systems and implementing information security measures to protect our systems, there can be no assurance that the controls and procedures we have in place will be sufficient to protect us from future security breaches. As cyber threats are continually evolving, our controls and procedures may become inadequate and we may be required to devote additional resources to modifying or enhancing our systems in the future. We may also be required to expend resources to remediate cyber-related incidents or to enhance and strengthen our cybersecurity.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Any such disruptions to our information technology systems, breaches or compromises of data, and/or misappropriation of information could result in lost sales, negative publicity, litigation, violations of privacy and other laws, or business delays that could have a material adverse effect on our business. Additionally, we believe that along with the GDPR and the California Consumer Privacy Act further increased regulation is likely in the area of data privacy. Compliance with this rapidly expanding area of law will require significant management and financial resources, and we could be subjected to additional legal risk or financial losses if we are not in compliance. This expanding area of law may also lead to potentially significant additional claims, including class action claims, being alleged against us.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Our ongoing implementation of new enterprise resource planning (“ERP”) and related boundary systems could adversely impact our ability to operate our business and report our financial results.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utilize multiple platforms and ERP systems to record transactions, provide information to management, and prepare our financial statements. We are in the process of transitioning our ERP and other key boundary systems. This transition began in the third quarter of 2023 and will continue for the next couple of years. While we believe our new ERP and boundary systems will enhance and standardize our processes, allow better oversight, and improve our service to our customers, any disruption to this transition could impact our ability to send and track invoices, process vendor payments, pay employees, fulfill contractual obligations, report our financial results, or otherwise operate our business. Such disruption could adversely affect our profitability and reputation. Additionally, any disruption could negatively impact the effectiveness of our controls. Refer to “Risk Relating to Financial Matters” below for further information on the internal controls.</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Risks Relating to Insurance and Safety Matters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use a combination of insured and self-insurance programs to cover workers’ compensation, general liability, automobile liability, property damage, and other insurable risks. We are responsible for claims both within and in excess of our retained limits under our insurance policies, and while we endeavor to purchase insurance coverage that is appropriate to our assessment of risk, we are unable to predict with certainty the frequency, nature, or magnitude of claims for direct or consequential damages. If our insurance coverage proves to be inadequate or unavailable, our business may be negatively impacted.</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determination of required insurance reserves is dependent upon actuarial judgments. We use the results of actuarial studies to estimate insurance rates and insurance reserves for future periods and to adjust reserves, if appropriate, for prior years. Actual experience related to our insurance reserves can cause us to change our estimates for reserves and any such changes may materially impact results, causing significant volatility in our operating results.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Should we be unable to renew our excess, umbrella, or other commercial insurance policies, it could have a material adverse impact on our business, as would the incurrence of catastrophic uninsured claims or the inability or refusal of our insurance carriers to pay otherwise insured claims. Further, to the extent that we self-insure our losses, deterioration in our loss control and/or our continuing claim management efforts could increase the overall cost of claims within our retained limits. A material change in our insurance costs due to changes in the frequency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60350"/>
                <wp:effectExtent l="0" t="0" r="0" b="0"/>
                <wp:wrapNone/>
                <wp:docPr id="23" name="Frame16"/>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claims, the severity of the claims, the costs of excess/umbrella premiums, or regulatory changes could have a material adverse effect on our financial position, results of operations, or cash flows.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2015, we formed a wholly owned captive insurance company, IFM Assurance Company (“IFM”), which we believe has provided us with increased flexibility in the end-to-end management of our insurance program. There can be no assurance that IFM will continue to bring about the intended benefits or the desired flexibility in the management of our insurance programs, because we may experience unanticipated events that could reduce or eliminate expected benefits.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Our risk management and safety programs may not have the intended effect of reducing our liability for personal injury or property loss.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attempt to mitigate risks relating to personal injury or property loss through the implementation of company-wide safety and loss control efforts designed to decrease the frequency of accidents or events that might increase our liability. However, incidents involving personal injury or property loss may be caused by multiple potential factors, a significant number of which are beyond our control. Therefore, there can be no assurance that our risk management and safety programs will have the desired effect of controlling costs and liability exposure.</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Risks Relating to Labor, Legal Proceedings, Tax, and Regulatory Matters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 xml:space="preserve">Unfavorable developments in our class and representative actions and other lawsuits alleging various claims could cause us to incur substantial liabilities.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business involves employing tens of thousands of employees, many of whom work at our clients’ facilities. We incur risks relating to our employment of these workers, including, but not limited to: claims by our employees of discrimination, harassment, violations of wage and hour requirements, or violations of other federal, state, or local laws; claims of misconduct or negligence on the part of our employees; and claims related to the employment of unlicensed personnel. We also incur risks and claims related to the imposition on our employees of policies or practices of our clients that may be different from our own. Some or all of these claims may lead to litigation, including class action litigation, and these matters may cause us to incur negative publicity with respect to alleged claims. Additionally, there are risks to all employers in some states, such as California, resulting from new and unanticipated judicial interpretations of existing laws and the application of those new interpretations against employers on a retroactive basis. It is not possible to predict the outcome of these lawsuits or any other proceeding, and our insurance may not cover all claims that may be asserted against us. These lawsuits and other proceedings may consume substantial amounts of our financial and managerial resources. An unfavorable outcome with respect to these lawsuits and any future lawsuits may, individually or in the aggregate, cause us to incur substantial liabilities that could have a material adverse effect upon our business, reputation, financial condition, results of operations, or cash flows.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We are subject to extensive legal and regulatory requirements, which could limit our profitability by increasing the costs of legal and regulatory compliance.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business is subject to a complicated set of federal, state, and local laws and regulations as well as stakeholder views addressing, among other things, wage and hour standards, employment and labor relations, ESG-related practices, leave of absence, cybersecurity, data privacy and protection, occupational health and safety, environmental matters, anti-competition, anti-corruption, and government contracting. Many of these laws and regulations may have differing or conflicting legal standards or legal interpretations across jurisdictions, increasing the complexity and cost of compliance. When federal, state, local, or foreign minimum wage rates increase, we may have to increase the wages of both minimum wage employees and employees whose wages are above the minimum wage. We may also face increased operating costs resulting from changes in federal, state, or local laws and regulations relating to employment matters, including those relating to meal and rest breaks, eligibility for overtime, pay transparency and reporting, sick pay, and predictive scheduling requirements. In addition, we expect there will likely be increasing levels of regulation, disclosure-related and otherwise, with respect to ESG matters, and increased regulation will likely lead to increased compliance costs as well as scrutiny that could heighten all of the risks identified in this risk factor. Increased costs of legal and regulatory compliance with this constantly evolving legal and regulatory environment could reduce our profitability and adversely affect our financial condition.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60350"/>
                <wp:effectExtent l="0" t="0" r="0" b="0"/>
                <wp:wrapNone/>
                <wp:docPr id="24" name="Frame1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participate in various multiemployer pension plans that provide defined pension benefits to employees covered by collective bargaining agreements. Because of the nature of multiemployer pension plans, there are risks to us associated with participation in these plans that differ from single-employer plans. Assets contributed by an employer to a multiemployer pension plan are not segregated into a separate account and are not restricted to provide benefits only to employees of that contributing employer. In the event another participating employer in a multiemployer pension plan no longer contributes to the plan, the unfunded obligations of the plan may be borne by the remaining participating employers, including us. In the event of the termination of a multiemployer pension plan or a complete or partial withdrawal from a multiemployer pension plan, under applicable law we could incur material withdrawal liabilities. We further discuss our participation in multiemployer pension and postretirement plans in Note 12, “Employee Benefit Plans,” in the Notes to consolidated financial statements. In addition, the terms of collective bargaining agreements require us to contribute to various fringe benefit plans, including health and welfare, pension, and training plans, all of which require us to have appropriate systems in place to assure timely and accurate payment of contributions. The failure to make timely and accurate contributions as a result of a systems failure could have a negative impact on our financial position.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At October 31, 2023, approximately 37% of our employees were subject to various local collective bargaining agreements, some of which will expire or become subject to renegotiation during 2024. In addition, at any given time we may face union organizing activity. When one or more of our major collective bargaining agreements becomes subject to renegotiation or when we face union organizing drives, any disagreement between us and the union on important issues may lead to a strike, work slowdown, or other job actions at one or more of our locations. In a market where we are unionized but competitors are not unionized, we could lose clients to such competitors. A strike, work slowdown, or other job action could disrupt our services, resulting in reduced revenues or contract cancellations. Moreover, negotiating a first time collective bargaining agreement or renegotiating an existing agreement could result in increases in labor and benefits expenses that we may be unable to pass through to clients.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Our business may be materially affected by changes to fiscal and tax policies. Negative or unexpected tax consequences could adversely affect our results of operations.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subject to a variety of taxes and tax collection and remittance obligations in the United States and foreign jurisdictions, primarily the UK and Ireland. We compute our income tax provision based on enacted tax rates in the jurisdictions in which we operate. As tax rates vary among taxing jurisdictions, a change in earnings attributable to the various jurisdictions in which we operate could result in an unfavorable change in our overall tax provision. Additionally, at any point in time, we may be under examination from taxing jurisdictions. We regularly assess the likelihood of adverse outcomes resulting from these audits to determine the adequacy of our income tax related provision. We may recognize additional tax expense, be subject to additional tax liabilities, or incur losses and penalties due to adverse outcomes in tax audits or changes in laws, regulations, treaties, administrative practices, principles, assessments by authorities, and interpretations related to tax laws, including tax rules in various jurisdictions, which could have an adverse effect on our operating results and financial condition.</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Risks Relating to Financial Matters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Future increases in the level of our borrowings or in interest rates could affect our results of operations.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Federal Reserve Board increased interest rates in 2022 and 2023, and these increases may continue in 2024 and beyond. Such rate increases have corresponding impact to our costs of borrowing and may have an adverse impact on our ability to raise funds through the offering of our securities or through the issuance of debt due to higher debt capital costs, diminished credit availability, and less favorable equity markets. Any significant additional federal fund rate increases may have a material adverse effect on our business, results of operations, and financial condition, and may cause our customers to implement cost saving strategies that could reduce the demand of our services.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Our future ability to make payments on our debt, fund our other liquidity needs, and make planned capital expenditures will depend on our ability to generate cash. Our ability to generate cash, to a certain extent, is subject to general economic, financial, competitive, and other factors that are beyond our control. We cannot guarantee that our business will generate sufficient cash flow from our operations or that future borrowings will be available to us in an amount sufficient to enable us to service our debt, fund other liquidity needs, make planned capital expenditures, or continue our dividend.</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degree to which we are leveraged could have important consequences for shareholders. For example, being highly leveraged could: require us to dedicate a substantial portion of our cash flows from operations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60350"/>
                <wp:effectExtent l="0" t="0" r="0" b="0"/>
                <wp:wrapNone/>
                <wp:docPr id="25" name="Frame18"/>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payment of debt service, reducing the availability of our cash flow to fund working capital, share repurchases, capital expenditures, acquisitions, and other general corporate purposes; limit our availability to obtain additional financing in the future to enable us to react to changes in our business; and place us at a competitive disadvantage compared to businesses in our industry that have less debt.</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Further, our credit facility contains both financial covenants and other covenants that limit our ability to engage in specific transactions. Any failure to comply with covenants in the credit facility could result in an event of default that, if not cured or waived, would have a material adverse effect on us.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Impairment of goodwill and long-lived assets could have a material adverse effect on our financial condition and results of operations.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evaluate goodwill for impairment annually, in the fourth quarter, or more often if impairment indicators exist. We also review long-lived assets for impairment whenever events or changes in circumstances indicate that the carrying amount of such assets may not be recoverable. If the fair value of one of our reporting units is less than its carrying value, or if as a result of a recoverability test we conclude that the projected undiscounted cash flows are less than the carrying amount, we would record an impairment charge related to goodwill or long-lived assets, respectively. (For example, during the second quarter of 2020, given the general deterioration in economic and market conditions arising from the COVID-19 pandemic (“the Pandemic”), we identified a triggering event that resulted in the impairment of goodwill and intangible assets.) The assumptions used to determine impairment require significant judgment, and the amount of the impairment could have a material adverse effect on our reported financial results for the period in which the charge is taken.</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Pursuant to Section 404 of the Sarbanes-Oxley Act of 2002 and related rules,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in some instances, remediation. We have acquired entities that had no publicly traded debt or equity and therefore were not previously required to conform to the rules and regulations of the SEC, especially related to their internal control structure. When we acquire such entities, they may not have in place all the necessary controls as required by the Public Company Accounting Oversight Board. Integrating acquired entities into our internal control over financial reporting has required and will continue to require significant time and resources from our management and other personnel, which increases our compliance costs. We are required to include our assessment of the effectiveness of the internal controls over financial reporting of entities we acquire in our overall assessment, so we must plan to complete the evaluation and integration of internal controls over financial reporting and report our assessment within the required time frame.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with the increasing frequency of cyber-related frauds perpetrated to obtain inappropriate payments, we need to ensure our internal controls related to authorizing the transfer of funds and changing our vendor master files are adequate. Furthermore, the introduction of new, and changes to existing, ERP and financial reporting information systems create implementation and change management risks that require effective internal controls to mitigate. Failure to maintain an effective internal control environment could have a material adverse effect on our ability to accurately report our financial results, the market’s perception of our business, and our stock price.</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General Risk Factors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Our business may be negatively impacted by adverse weather conditions.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Weather conditions such as snow storms, heavy flooding, hurricanes, and fluctuations in temperatures can negatively impact portions of our business. Within our Technical Solutions segment, cooler than normal temperatures in the summer could reduce the need for servicing of air conditioning units, resulting in reduced revenues and profitability. Within Parking and Aviation services and portions of our Technical Solutions business, adverse weather conditions can lead to reduced activity, as well as increases in certain costs, both of which negatively affect gross profit. On the other hand, the absence of snow during the winter could cause 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60350"/>
                <wp:effectExtent l="0" t="0" r="0" b="0"/>
                <wp:wrapNone/>
                <wp:docPr id="26" name="Frame1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experience reduced revenues in our B&amp;I segment, as many of our contracts specify additional payments for snow-related services.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Catastrophic events, disasters, pandemics, and terrorist attacks could disrupt our services.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may encounter disruptions involving power, communications, transportation or other utilities, or essential services depended upon by us or by third parties with whom we conduct business. This could include disruptions due to disasters, pandemics, weather-related or similar events (such as fires, hurricanes, blizzards, earthquakes, and floods), political instability, labor strikes, or war (including acts of terrorism or hostilities) that could impact our markets. If a disruption occurs in one location and persons in that location are unable to communicate with or travel to or work from other locations, our ability to service and interact with our clients and others may suffer, and we may not be able to successfully implement contingency plans that depend on communications or travel. These events may increase the volatility of financial results due to unforeseen costs with partial or no corresponding compensation from clients. There also can be no assurance that the disaster recovery and crisis management procedures we employ will suffice in any particular situation to avoid a significant loss. In addition, to the extent centralized administrative locations are disabled for a long period of time, key business processes, such as accounts payable, information technology, payroll, and general management operations, could be interrupted.</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Actions of activist investors could disrupt our business.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Public companies have been the target of activist investors. In the event that a third party, such as an activist investor, proposes to change our governance policies, board of directors, or other aspects of our operations or strategy, our review and consideration of such proposals may create a significant distraction for our management and employees. This could negatively impact our ability to execute various strategic initiatives and may require management to expend significant time and resources responding to such proposals. Such proposals may also create uncertainties with respect to our financial position and operations and may adversely affect our ability to attract and retain key employees.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1B. UNRESOLVED STAFF COMMENTS.</w:t>
      </w:r>
    </w:p>
    <w:p>
      <w:pPr>
        <w:pStyle w:val="TextBody"/>
        <w:bidi w:val="0"/>
        <w:spacing w:lineRule="auto" w:line="288" w:before="18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60350"/>
                <wp:effectExtent l="0" t="0" r="0" b="0"/>
                <wp:wrapNone/>
                <wp:docPr id="27" name="Frame20"/>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180" w:after="283"/>
        <w:jc w:val="left"/>
        <w:rPr/>
      </w:pPr>
      <w:r>
        <w:rPr/>
      </w:r>
    </w:p>
    <w:p>
      <w:pPr>
        <w:pStyle w:val="TextBody"/>
        <w:bidi w:val="0"/>
        <w:spacing w:before="18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2. PROPERTIES.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principal executive office is located at One Liberty Plaza, 7th Floor, New York, New York 10006.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Principal Properties as of October 31, 2023</w:t>
      </w:r>
    </w:p>
    <w:tbl>
      <w:tblPr>
        <w:tblW w:w="10205" w:type="dxa"/>
        <w:jc w:val="left"/>
        <w:tblInd w:w="0" w:type="dxa"/>
        <w:tblLayout w:type="fixed"/>
        <w:tblCellMar>
          <w:top w:w="28" w:type="dxa"/>
          <w:left w:w="28" w:type="dxa"/>
          <w:bottom w:w="28" w:type="dxa"/>
          <w:right w:w="28" w:type="dxa"/>
        </w:tblCellMar>
      </w:tblPr>
      <w:tblGrid>
        <w:gridCol w:w="562"/>
        <w:gridCol w:w="422"/>
        <w:gridCol w:w="424"/>
        <w:gridCol w:w="109"/>
        <w:gridCol w:w="109"/>
        <w:gridCol w:w="109"/>
        <w:gridCol w:w="711"/>
        <w:gridCol w:w="547"/>
        <w:gridCol w:w="549"/>
        <w:gridCol w:w="109"/>
        <w:gridCol w:w="109"/>
        <w:gridCol w:w="109"/>
        <w:gridCol w:w="553"/>
        <w:gridCol w:w="553"/>
        <w:gridCol w:w="555"/>
        <w:gridCol w:w="109"/>
        <w:gridCol w:w="109"/>
        <w:gridCol w:w="109"/>
        <w:gridCol w:w="622"/>
        <w:gridCol w:w="622"/>
        <w:gridCol w:w="624"/>
        <w:gridCol w:w="109"/>
        <w:gridCol w:w="109"/>
        <w:gridCol w:w="109"/>
        <w:gridCol w:w="626"/>
        <w:gridCol w:w="626"/>
        <w:gridCol w:w="901"/>
      </w:tblGrid>
      <w:tr>
        <w:trPr/>
        <w:tc>
          <w:tcPr>
            <w:tcW w:w="56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Character of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Approximate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Lease Expiration Date, Unless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Segment</w:t>
            </w:r>
          </w:p>
        </w:tc>
      </w:tr>
      <w:tr>
        <w:trPr/>
        <w:tc>
          <w:tcPr>
            <w:tcW w:w="1408"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Dallas, Texas</w:t>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Warehouse and Operations Support</w:t>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27,500</w:t>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9/30/2028</w:t>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Technical Solutions, B&amp;I, Aviation, Corporate, and M&amp;D</w:t>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Atlanta, 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Operations Support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10/31/2027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All</w:t>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New York, New York </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Corporate Headquarters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44,000</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1/3/2032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Corporate and B&amp;I</w:t>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Sugar Land, Texas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Enterprise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All</w:t>
            </w:r>
          </w:p>
        </w:tc>
      </w:tr>
      <w:tr>
        <w:trPr/>
        <w:tc>
          <w:tcPr>
            <w:tcW w:w="140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Tustin, California</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Operations Support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40,000</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7/31/2029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B&amp;I and Technical Solutions</w:t>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San Francisco,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Operations Support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B&amp;I and Corporate</w:t>
            </w:r>
          </w:p>
        </w:tc>
      </w:tr>
      <w:tr>
        <w:trPr/>
        <w:tc>
          <w:tcPr>
            <w:tcW w:w="140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Cummings, Georgia</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Operations Support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57,637</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1/31/2034</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Technical Solutions</w:t>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to the above properties, we have other offices, warehouses, and parking facilities in various locations, primarily in the United States. See Note 5, “Leases,” in the Notes to consolidated financial statements for additional information regarding leases. We believe that these properties are well-maintained, in good operating condition, and suitable for the purposes for which they are used.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ITEM 3. LEGAL PROCEEDINGS.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Information with respect to legal matters is set forth in Note 13, “Commitments and Contingencies,” in the Notes to consolidated financial statements (included in Part II., Item 8 of this Form 10-K)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46AD"/>
          <w:sz w:val="20"/>
        </w:rPr>
      </w:pPr>
      <w:r>
        <w:rPr>
          <w:rFonts w:ascii="Arial;sans-serif" w:hAnsi="Arial;sans-serif"/>
          <w:b/>
          <w:color w:val="0046AD"/>
          <w:sz w:val="20"/>
        </w:rPr>
        <w:t>ITEM 4. MINE SAFETY DISCLOSURES.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180" w:after="283"/>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60350"/>
                <wp:effectExtent l="0" t="0" r="0" b="0"/>
                <wp:wrapNone/>
                <wp:docPr id="28" name="Frame2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Arial;sans-serif" w:hAnsi="Arial;sans-serif"/>
          <w:b/>
          <w:color w:val="0046AD"/>
          <w:sz w:val="20"/>
        </w:rPr>
      </w:pPr>
      <w:r>
        <w:rPr>
          <w:rFonts w:ascii="Arial;sans-serif" w:hAnsi="Arial;sans-serif"/>
          <w:b/>
          <w:color w:val="0046AD"/>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ITEM 5. MARKET FOR REGISTRANT’S COMMON EQUITY, RELATED STOCKHOLDER MATTERS, AND ISSUER PURCHASES OF EQUITY SECURITIES.</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Market Information, Dividends, and Stockholders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Our common stock is listed on the New York Stock Exchange (NYSE: ABM). We have paid cash dividends every quarter since 1965. Future dividends will be determined based on our earnings, capital requirements, financial condition, and other factors considered relevant by our Board of Directors.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At December 15, 2023, there were 2,945 registered holders of our common stock.</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 xml:space="preserve">Common Stock Repurchases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Effective December 18, 2019, our Board of Directors replaced our then-existing share repurchase program with a new share repurchase program under which we may repurchase up to $150.0 million of our common stock (the “Share Repurchase Program”). Effective December 9, 2022, and December 13, 2023, our Board of Directors expanded the Share Repurchase Program by $150.0 million and $150.0 million, respectively.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 At October 31, 2023, authorization for $60.3 million of repurchases remained under the Share Repurchase Program. </w:t>
      </w:r>
    </w:p>
    <w:p>
      <w:pPr>
        <w:pStyle w:val="TextBody"/>
        <w:bidi w:val="0"/>
        <w:spacing w:lineRule="auto" w:line="288" w:before="180" w:after="283"/>
        <w:jc w:val="left"/>
        <w:rPr>
          <w:rFonts w:ascii="Arial;sans-serif" w:hAnsi="Arial;sans-serif"/>
          <w:b/>
          <w:i/>
          <w:color w:val="0046AD"/>
          <w:sz w:val="20"/>
        </w:rPr>
      </w:pPr>
      <w:r>
        <w:rPr>
          <w:rFonts w:ascii="Arial;sans-serif" w:hAnsi="Arial;sans-serif"/>
          <w:b/>
          <w:i/>
          <w:color w:val="0046AD"/>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430"/>
        <w:gridCol w:w="380"/>
        <w:gridCol w:w="382"/>
        <w:gridCol w:w="109"/>
        <w:gridCol w:w="109"/>
        <w:gridCol w:w="109"/>
        <w:gridCol w:w="440"/>
        <w:gridCol w:w="847"/>
        <w:gridCol w:w="228"/>
        <w:gridCol w:w="109"/>
        <w:gridCol w:w="109"/>
        <w:gridCol w:w="109"/>
        <w:gridCol w:w="308"/>
        <w:gridCol w:w="899"/>
        <w:gridCol w:w="159"/>
        <w:gridCol w:w="109"/>
        <w:gridCol w:w="109"/>
        <w:gridCol w:w="109"/>
        <w:gridCol w:w="654"/>
        <w:gridCol w:w="1259"/>
        <w:gridCol w:w="339"/>
        <w:gridCol w:w="109"/>
        <w:gridCol w:w="109"/>
        <w:gridCol w:w="109"/>
        <w:gridCol w:w="551"/>
        <w:gridCol w:w="1610"/>
        <w:gridCol w:w="411"/>
      </w:tblGrid>
      <w:tr>
        <w:trPr/>
        <w:tc>
          <w:tcPr>
            <w:tcW w:w="43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Average Price Paid per Share</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Approximate Dollar Value of Shares that May Yet Be Purchased Under the Plan</w:t>
            </w:r>
          </w:p>
        </w:tc>
      </w:tr>
      <w:tr>
        <w:trPr/>
        <w:tc>
          <w:tcPr>
            <w:tcW w:w="119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Period</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8/1/2023 – 8/31/2023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9/1/2023 – 9/30/2023</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2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9"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40.24 </w:t>
            </w:r>
          </w:p>
        </w:tc>
        <w:tc>
          <w:tcPr>
            <w:tcW w:w="15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3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0"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115.3 </w:t>
            </w:r>
          </w:p>
        </w:tc>
        <w:tc>
          <w:tcPr>
            <w:tcW w:w="41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10/1/2023 – 10/31/2023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40.82 </w:t>
            </w:r>
          </w:p>
        </w:tc>
        <w:tc>
          <w:tcPr>
            <w:tcW w:w="15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bottom w:val="single" w:sz="8" w:space="0" w:color="000000"/>
            </w:tcBorders>
            <w:shd w:fill="DCE2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Average price paid per share does not include any excise tax for stock repurchases as part of the Inflation Reduction Act of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60350"/>
                <wp:effectExtent l="0" t="0" r="0" b="0"/>
                <wp:wrapNone/>
                <wp:docPr id="29" name="Frame22"/>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80"/>
        <w:jc w:val="both"/>
        <w:rPr>
          <w:rFonts w:ascii="Arial;sans-serif" w:hAnsi="Arial;sans-serif"/>
          <w:b/>
          <w:color w:val="0046AD"/>
          <w:sz w:val="20"/>
        </w:rPr>
      </w:pPr>
      <w:r>
        <w:rPr>
          <w:rFonts w:ascii="Arial;sans-serif" w:hAnsi="Arial;sans-serif"/>
          <w:b/>
          <w:color w:val="0046AD"/>
          <w:sz w:val="20"/>
        </w:rPr>
        <w:t>Performance Graph</w:t>
      </w:r>
    </w:p>
    <w:p>
      <w:pPr>
        <w:pStyle w:val="TextBody"/>
        <w:bidi w:val="0"/>
        <w:spacing w:lineRule="auto" w:line="288" w:before="180" w:after="60"/>
        <w:ind w:left="0" w:right="0" w:firstLine="720"/>
        <w:jc w:val="both"/>
        <w:rPr>
          <w:rFonts w:ascii="Arial;sans-serif" w:hAnsi="Arial;sans-serif"/>
          <w:b w:val="false"/>
          <w:color w:val="000000"/>
          <w:sz w:val="20"/>
        </w:rPr>
      </w:pPr>
      <w:r>
        <w:rPr>
          <w:rFonts w:ascii="Arial;sans-serif" w:hAnsi="Arial;sans-serif"/>
          <w:b w:val="false"/>
          <w:color w:val="000000"/>
          <w:sz w:val="20"/>
        </w:rPr>
        <w:t>The following graph compares the five-year cumulative total return for our common stock against the Standard &amp; Poor’s 500 Index (“S&amp;P 500”) and the Standard &amp; Poor’s SmallCap 600 Index (“S&amp;P 600”). As our competitors are principally privately held, we do not believe it is feasible to construct a peer group comparison on an industry or line-of-business basis.</w:t>
      </w:r>
    </w:p>
    <w:p>
      <w:pPr>
        <w:pStyle w:val="TextBody"/>
        <w:bidi w:val="0"/>
        <w:spacing w:before="180" w:after="283"/>
        <w:ind w:left="0" w:right="0" w:firstLine="720"/>
        <w:jc w:val="center"/>
        <w:rPr/>
      </w:pPr>
      <w:r>
        <w:rPr/>
        <w:drawing>
          <wp:inline distT="0" distB="0" distL="0" distR="0">
            <wp:extent cx="6057900" cy="4219575"/>
            <wp:effectExtent l="0" t="0" r="0" b="0"/>
            <wp:docPr id="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8" descr=""/>
                    <pic:cNvPicPr>
                      <a:picLocks noChangeAspect="1" noChangeArrowheads="1"/>
                    </pic:cNvPicPr>
                  </pic:nvPicPr>
                  <pic:blipFill>
                    <a:blip r:embed="rId9"/>
                    <a:stretch>
                      <a:fillRect/>
                    </a:stretch>
                  </pic:blipFill>
                  <pic:spPr bwMode="auto">
                    <a:xfrm>
                      <a:off x="0" y="0"/>
                      <a:ext cx="6057900" cy="4219575"/>
                    </a:xfrm>
                    <a:prstGeom prst="rect">
                      <a:avLst/>
                    </a:prstGeom>
                  </pic:spPr>
                </pic:pic>
              </a:graphicData>
            </a:graphic>
          </wp:inline>
        </w:drawing>
      </w:r>
    </w:p>
    <w:tbl>
      <w:tblPr>
        <w:tblW w:w="10205" w:type="dxa"/>
        <w:jc w:val="center"/>
        <w:tblInd w:w="0" w:type="dxa"/>
        <w:tblLayout w:type="fixed"/>
        <w:tblCellMar>
          <w:top w:w="28" w:type="dxa"/>
          <w:left w:w="28" w:type="dxa"/>
          <w:bottom w:w="28" w:type="dxa"/>
          <w:right w:w="28" w:type="dxa"/>
        </w:tblCellMar>
      </w:tblPr>
      <w:tblGrid>
        <w:gridCol w:w="905"/>
        <w:gridCol w:w="753"/>
        <w:gridCol w:w="743"/>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5"/>
      </w:tblGrid>
      <w:tr>
        <w:trPr/>
        <w:tc>
          <w:tcPr>
            <w:tcW w:w="90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INDEXED RETURNS</w:t>
              <w:br/>
              <w:t>Years Ended October 31,</w:t>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Company /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2401"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ABM Industries Incorporated</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151.9 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141.2 </w:t>
            </w:r>
          </w:p>
        </w:tc>
        <w:tc>
          <w:tcPr>
            <w:tcW w:w="155"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S&amp;P 500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S&amp;P SmallCap 600 Index</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123.3 </w:t>
            </w:r>
          </w:p>
        </w:tc>
        <w:tc>
          <w:tcPr>
            <w:tcW w:w="155"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This performance graph shall not be deemed to be “soliciting material” or “filed” with the SEC, or subject to Regulation 14A or 14C, or subject to the liabilities of Section 18 of the Securities Exchange Act of 1934, as amended. The comparisons in the performance graph are based on historical data and are not indicative of, or intended to forecast, the possible future performance of our common stock.</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60350"/>
                <wp:effectExtent l="0" t="0" r="0" b="0"/>
                <wp:wrapNone/>
                <wp:docPr id="31" name="Frame2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ITEM 7. MANAGEMENT’S DISCUSSION AND ANALYSIS OF FINANCIAL CONDITION AND RESULTS OF OPERATIONS.</w:t>
      </w:r>
    </w:p>
    <w:p>
      <w:pPr>
        <w:pStyle w:val="TextBody"/>
        <w:bidi w:val="0"/>
        <w:spacing w:lineRule="auto" w:line="288" w:before="180" w:after="283"/>
        <w:ind w:left="0" w:right="0" w:firstLine="720"/>
        <w:jc w:val="both"/>
        <w:rPr/>
      </w:pPr>
      <w:r>
        <w:rPr>
          <w:rFonts w:ascii="Arial;sans-serif" w:hAnsi="Arial;sans-serif"/>
          <w:b w:val="false"/>
          <w:color w:val="000000"/>
          <w:sz w:val="20"/>
        </w:rPr>
        <w:t xml:space="preserve">The following MD&amp;A is intended to facilitate an understanding of the results of operations and financial condition of ABM. This MD&amp;A is provided as a supplement to, and should be read in conjunction with, our Financial Statements. This MD&amp;A contains both historical and forward-looking statements, within the meaning of the Private Securities Litigation Reform Act of 1995, that involve risks and uncertainties.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w:t>
      </w:r>
      <w:hyperlink w:anchor="ic200b63e1e39483a9921aa57a67e426d_19">
        <w:r>
          <w:rPr>
            <w:rStyle w:val="InternetLink"/>
            <w:rFonts w:ascii="Arial;sans-serif" w:hAnsi="Arial;sans-serif"/>
            <w:b w:val="false"/>
            <w:color w:val="0000FF"/>
            <w:sz w:val="20"/>
            <w:u w:val="single"/>
          </w:rPr>
          <w:t>Item 1A.</w:t>
        </w:r>
      </w:hyperlink>
      <w:r>
        <w:rPr>
          <w:rFonts w:ascii="Arial;sans-serif" w:hAnsi="Arial;sans-serif"/>
          <w:b w:val="false"/>
          <w:color w:val="000000"/>
          <w:sz w:val="20"/>
        </w:rPr>
        <w:t xml:space="preserve">, “Risk Factors,” which are incorporated herein by reference. Our future results and financial condition may be materially different from those we currently anticipate. Throughout the MD&amp;A, amounts and percentages may not recalculate due to rounding. Unless otherwise indicated, all information in the MD&amp;A and references to years are based on our fiscal year, which ends on October 31. </w:t>
      </w:r>
    </w:p>
    <w:tbl>
      <w:tblPr>
        <w:tblW w:w="1935" w:type="dxa"/>
        <w:jc w:val="left"/>
        <w:tblInd w:w="0" w:type="dxa"/>
        <w:tblLayout w:type="fixed"/>
        <w:tblCellMar>
          <w:top w:w="28" w:type="dxa"/>
          <w:left w:w="28" w:type="dxa"/>
          <w:bottom w:w="28" w:type="dxa"/>
          <w:right w:w="28" w:type="dxa"/>
        </w:tblCellMar>
      </w:tblPr>
      <w:tblGrid>
        <w:gridCol w:w="620"/>
        <w:gridCol w:w="544"/>
        <w:gridCol w:w="771"/>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bottom w:val="single" w:sz="8" w:space="0" w:color="E98300"/>
            </w:tcBorders>
            <w:shd w:fill="FFFFFF" w:val="clear"/>
            <w:tcMar>
              <w:top w:w="0" w:type="dxa"/>
              <w:left w:w="0" w:type="dxa"/>
              <w:bottom w:w="30" w:type="dxa"/>
              <w:right w:w="0" w:type="dxa"/>
            </w:tcMar>
            <w:vAlign w:val="center"/>
          </w:tcPr>
          <w:p>
            <w:pPr>
              <w:pStyle w:val="TableContents"/>
              <w:bidi w:val="0"/>
              <w:spacing w:lineRule="auto" w:line="240" w:before="180" w:after="283"/>
              <w:jc w:val="left"/>
              <w:rPr>
                <w:rFonts w:ascii="Arial;sans-serif" w:hAnsi="Arial;sans-serif"/>
                <w:b/>
                <w:color w:val="0046AD"/>
                <w:sz w:val="20"/>
              </w:rPr>
            </w:pPr>
            <w:r>
              <w:rPr>
                <w:rFonts w:ascii="Arial;sans-serif" w:hAnsi="Arial;sans-serif"/>
                <w:b/>
                <w:color w:val="0046AD"/>
                <w:sz w:val="20"/>
              </w:rPr>
              <w:t>Business Overview</w:t>
            </w:r>
          </w:p>
        </w:tc>
      </w:tr>
    </w:tbl>
    <w:p>
      <w:pPr>
        <w:pStyle w:val="TextBody"/>
        <w:bidi w:val="0"/>
        <w:spacing w:lineRule="auto" w:line="288" w:before="180" w:after="60"/>
        <w:ind w:left="0" w:right="0" w:firstLine="720"/>
        <w:jc w:val="both"/>
        <w:rPr/>
      </w:pPr>
      <w:r>
        <w:rPr>
          <w:rFonts w:ascii="Arial;sans-serif" w:hAnsi="Arial;sans-serif"/>
          <w:b w:val="false"/>
          <w:color w:val="000000"/>
          <w:sz w:val="20"/>
        </w:rPr>
        <w:t xml:space="preserve">ABM is a leading provider of integrated facility solutions, customized by industry, with a mission to </w:t>
      </w:r>
      <w:r>
        <w:rPr>
          <w:rFonts w:ascii="Arial;sans-serif" w:hAnsi="Arial;sans-serif"/>
          <w:b/>
          <w:color w:val="003DA5"/>
          <w:sz w:val="20"/>
        </w:rPr>
        <w:t>make a difference, every person, every day</w:t>
      </w:r>
      <w:r>
        <w:rPr>
          <w:rFonts w:ascii="Arial;sans-serif" w:hAnsi="Arial;sans-serif"/>
          <w:b w:val="false"/>
          <w:color w:val="000000"/>
          <w:sz w:val="20"/>
        </w:rPr>
        <w:t>. Our principal operations are in the United States, and in 2023 our U.S. operations generated approximately 93% of our revenues.</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Strategic Growth</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remain focused on long-term, profitable growth by delivering valued service offerings to both new and existing clients within our industry groups and across our many service lines. Our revenue growth strategy is predicated on pursuing new sales and targeting a favorable retention rate among existing contracts. Cross-selling and up-selling projects and services is also an integral part of our strategy. We believe our strategic growth initiatives, coupled with our continued focus on marketing, capital, and sales resources, will increase profitability.</w:t>
      </w:r>
    </w:p>
    <w:p>
      <w:pPr>
        <w:pStyle w:val="TextBody"/>
        <w:bidi w:val="0"/>
        <w:spacing w:lineRule="auto" w:line="288" w:before="180" w:after="283"/>
        <w:jc w:val="both"/>
        <w:rPr/>
      </w:pPr>
      <w:r>
        <w:rPr>
          <w:rFonts w:ascii="Arial;sans-serif" w:hAnsi="Arial;sans-serif"/>
          <w:b/>
          <w:color w:val="E98300"/>
          <w:sz w:val="20"/>
        </w:rPr>
        <w:t>ELEVATE</w:t>
      </w:r>
      <w:r>
        <w:rPr>
          <w:color w:val="0046AD"/>
        </w:rPr>
        <w:t xml:space="preserve"> </w:t>
      </w:r>
      <w:r>
        <w:rPr>
          <w:rFonts w:ascii="Arial;sans-serif" w:hAnsi="Arial;sans-serif"/>
          <w:b/>
          <w:color w:val="0046AD"/>
          <w:sz w:val="20"/>
        </w:rPr>
        <w:t>Transformation</w:t>
      </w:r>
    </w:p>
    <w:p>
      <w:pPr>
        <w:pStyle w:val="TextBody"/>
        <w:bidi w:val="0"/>
        <w:spacing w:lineRule="auto" w:line="288" w:before="180" w:after="283"/>
        <w:ind w:left="0" w:right="0" w:firstLine="720"/>
        <w:jc w:val="both"/>
        <w:rPr/>
      </w:pPr>
      <w:r>
        <w:rPr>
          <w:rFonts w:ascii="Arial;sans-serif" w:hAnsi="Arial;sans-serif"/>
          <w:b w:val="false"/>
          <w:color w:val="000000"/>
          <w:sz w:val="20"/>
        </w:rPr>
        <w:t xml:space="preserve">Through our </w:t>
      </w:r>
      <w:r>
        <w:rPr>
          <w:rFonts w:ascii="Arial;sans-serif" w:hAnsi="Arial;sans-serif"/>
          <w:b/>
          <w:color w:val="E98300"/>
          <w:sz w:val="20"/>
        </w:rPr>
        <w:t>ELEVATE</w:t>
      </w:r>
      <w:r>
        <w:rPr>
          <w:color w:val="000000"/>
        </w:rPr>
        <w:t xml:space="preserve"> </w:t>
      </w:r>
      <w:r>
        <w:rPr>
          <w:rFonts w:ascii="Arial;sans-serif" w:hAnsi="Arial;sans-serif"/>
          <w:b w:val="false"/>
          <w:color w:val="000000"/>
          <w:sz w:val="20"/>
        </w:rPr>
        <w:t xml:space="preserve">strategy, as described in Item 1., “Business.,” we continue to focus our efforts on: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the client experience,</w:t>
      </w:r>
      <w:r>
        <w:rPr>
          <w:color w:val="000000"/>
        </w:rPr>
        <w:t xml:space="preserve"> </w:t>
      </w:r>
      <w:r>
        <w:rPr>
          <w:rFonts w:ascii="Arial;sans-serif" w:hAnsi="Arial;sans-serif"/>
          <w:b w:val="false"/>
          <w:color w:val="000000"/>
          <w:sz w:val="20"/>
        </w:rPr>
        <w:t>by serving as a trusted advisor who can provide innovative multiservice solutions and consistent service delivery;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team member experience,</w:t>
      </w:r>
      <w:r>
        <w:rPr>
          <w:color w:val="000000"/>
        </w:rPr>
        <w:t xml:space="preserve"> </w:t>
      </w:r>
      <w:r>
        <w:rPr>
          <w:rFonts w:ascii="Arial;sans-serif" w:hAnsi="Arial;sans-serif"/>
          <w:b w:val="false"/>
          <w:color w:val="000000"/>
          <w:sz w:val="20"/>
        </w:rPr>
        <w:t>by investing in workforce management, training, developing the next generation of ABM leaders, and building on our inclusive culture;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use of technology and data</w:t>
      </w:r>
      <w:r>
        <w:rPr>
          <w:color w:val="000000"/>
        </w:rPr>
        <w:t xml:space="preserve"> </w:t>
      </w:r>
      <w:r>
        <w:rPr>
          <w:rFonts w:ascii="Arial;sans-serif" w:hAnsi="Arial;sans-serif"/>
          <w:b w:val="false"/>
          <w:color w:val="000000"/>
          <w:sz w:val="20"/>
        </w:rPr>
        <w:t>to power client and employee experiences with cutting-edge data and analytics, processes, and tools that we expect to fundamentally change how we operate our business.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believe that our technology and data investments will enable: the development and deployment of client-facing technology to improve service delivery to our clients; the use of advanced data analytics for sales targeting, employee retention, and recruiting; and the upgrade of our Enterprise Resource Planning and payroll systems.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60350"/>
                <wp:effectExtent l="0" t="0" r="0" b="0"/>
                <wp:wrapNone/>
                <wp:docPr id="32" name="Frame24"/>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jc w:val="both"/>
        <w:rPr>
          <w:rFonts w:ascii="Arial;sans-serif" w:hAnsi="Arial;sans-serif"/>
          <w:b/>
          <w:color w:val="0046AD"/>
          <w:sz w:val="20"/>
          <w:shd w:fill="FFFFFF" w:val="clear"/>
        </w:rPr>
      </w:pPr>
      <w:r>
        <w:rPr>
          <w:rFonts w:ascii="Arial;sans-serif" w:hAnsi="Arial;sans-serif"/>
          <w:b/>
          <w:color w:val="0046AD"/>
          <w:sz w:val="20"/>
          <w:shd w:fill="FFFFFF" w:val="clear"/>
        </w:rPr>
        <w:t>Developments and Trends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E983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0046AD"/>
          <w:sz w:val="20"/>
        </w:rPr>
      </w:pPr>
      <w:r>
        <w:rPr>
          <w:rFonts w:ascii="Arial;sans-serif" w:hAnsi="Arial;sans-serif"/>
          <w:b/>
          <w:color w:val="0046AD"/>
          <w:sz w:val="20"/>
        </w:rPr>
        <w:t>Macro-Economic Environment in Commercial Real Estate and Other</w:t>
      </w:r>
    </w:p>
    <w:p>
      <w:pPr>
        <w:pStyle w:val="TextBody"/>
        <w:bidi w:val="0"/>
        <w:spacing w:lineRule="auto" w:line="288" w:before="180" w:after="283"/>
        <w:ind w:left="0" w:right="0" w:firstLine="720"/>
        <w:jc w:val="both"/>
        <w:rPr/>
      </w:pPr>
      <w:r>
        <w:rPr>
          <w:rFonts w:ascii="Arial;sans-serif" w:hAnsi="Arial;sans-serif"/>
          <w:b w:val="false"/>
          <w:color w:val="000000"/>
          <w:sz w:val="20"/>
        </w:rPr>
        <w:t>We actively monitor the economic environment and its potential impact on demand for our services and our financial condition. Largely driven by the lingering effects of the Pandemic, especially the normalization of hybrid work, the commercial real estate industry, particularly multi-tenant and owner-occupied commercial office buildings, is experiencing an increase in vacancy rates. Given that Class A and high-quality commercial office buildings are a key end market for the Company, we expect a decline in demand for janitorial services and work orders in these markets near-term. As a result, we expect our B&amp;I industry to experience muted growth in the near-term. Longer term, we expect the vacancy rates of Class A and high-quality buildings to gradually decrease and our volume of work to stabilize</w:t>
      </w:r>
      <w:r>
        <w:rPr>
          <w:rFonts w:ascii="Arial;sans-serif" w:hAnsi="Arial;sans-serif"/>
          <w:b/>
          <w:color w:val="0046AD"/>
          <w:sz w:val="20"/>
        </w:rPr>
        <w:t xml:space="preserve">.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expect a large client within M&amp;D to rebid and rebalance their work needs in 2024 as part of their procurement process. While we still expect to retain a large portion of this business, we expect M&amp;D’s financial results to be impacted in the near-term.</w:t>
      </w:r>
    </w:p>
    <w:p>
      <w:pPr>
        <w:pStyle w:val="TextBody"/>
        <w:bidi w:val="0"/>
        <w:spacing w:lineRule="auto" w:line="288" w:before="240" w:after="283"/>
        <w:jc w:val="both"/>
        <w:rPr>
          <w:rFonts w:ascii="Arial;sans-serif" w:hAnsi="Arial;sans-serif"/>
          <w:b/>
          <w:color w:val="0046AD"/>
          <w:sz w:val="20"/>
        </w:rPr>
      </w:pPr>
      <w:r>
        <w:rPr>
          <w:rFonts w:ascii="Arial;sans-serif" w:hAnsi="Arial;sans-serif"/>
          <w:b/>
          <w:color w:val="0046AD"/>
          <w:sz w:val="20"/>
        </w:rPr>
        <w:t>Insurance Reserves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use a combination of insured and self-insurance programs to cover workers’ compensation, general liability, automobile liability, property damage, and other insurable risks. Insurance claim liabilities represent our estimate of retained risks without regard to insurance coverage. We retain a substantial portion of the risk related to certain workers’ compensation and medical claims. Liabilities associated with these losses include estimates of both filed claims and incurred but not reported claims (“IBNR Claims”).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With the assistance of third-party actuaries, we review our estimate of ultimate losses for IBNR Claims on a quarterly basis and adjust our required self-insurance reserves as appropriate. As part of this evaluation, we review the status of existing and new claim reserves as established by third-party claims administrators. The third-party claims administrators establish the case reserves based upon known factors related to the type and severity of the claims, demographic factors, legislative matters, and case law, as appropriate. We compare actual trends to expected trends and monitor claims developments. The specific case reserves estimated by the third-party administrators are provided to the actuary who assists us in projecting an actuarial estimate of the overall ultimate losses for our self-insured or high deductible programs, which includes the case reserves plus an actuarial estimate of reserves required for additional developments, such as IBNR Claims. We utilize the results of actuarial studies to estimate our insurance rates and insurance reserves for future periods and to adjust reserves, if appropriate, for prior years.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actuarial reviews demonstrate that the changes we have made to our risk management program continue to positively impact the frequency and severity of claims. Furthermore, we continue to adjust our reserves consistent with known fact patterns. Based on the results of the actuarial reviews performed, we decreased our total reserves related to prior years for known claims as well as our estimate of the loss amounts associated with IBNR Claims during 2023 by $14.8 million. In 2022, we decreased our total reserves related to prior year claims by $36.8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60350"/>
                <wp:effectExtent l="0" t="0" r="0" b="0"/>
                <wp:wrapNone/>
                <wp:docPr id="33" name="Frame2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Key Financial Highlights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 xml:space="preserve">Revenues increased by $289.8 million, or 3.7%, to $8,096.4 million during 2023, as compared to 2022. Revenue growth was comprised of organic growth of 2.4% and acquisition growth of 1.3%. Acquisition growth of $104.4 million was driven by the RavenVolt and Momentum acquisitions, completed in the fourth and second quarter of 2022, respectively. Organic growth was primarily driven by the strong leisure and business travel markets served by Aviation, expansion of new business and growth with current customers in M&amp;D, and net new business wins in Education. The increase in revenues was partially offset by a decrease in the overall volume of work orders, lower project revenues within Technical Solutions, and soft commercial office market conditions in B&amp;I.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Operating profit increased by $60.7 million to $409.5 million during 2023, as compared to 2022. The increase in operating profit was attributable to the revenue increase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 decrease in the fair value of the contingent consideration related to the RavenVolt Acquisition; and</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an Employee retention credit (“ERC”) refund received.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increase was partially offset by: </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20"/>
        </w:rPr>
        <w:t>a decrease in favorable self-insurance adjustments related to prior year claims as a result of actuarial evaluations completed on our workers’ compensation, general liability, automobile liability, and property damage insurance plans; and</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 decrease in work orders, which are generally more profitable than contracted service.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Our effective tax rate on income was 24.1% for 2023, as compared to 25.7% during 2022.</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Net cash provided by operating activities was $243.3 million during 2023. Our net cash provided by operating cash activities were higher than prior year, primarily due to the timing of certain working capital requirements, which included a $143.8 million payment for the </w:t>
      </w:r>
      <w:r>
        <w:rPr>
          <w:rFonts w:ascii="Arial;sans-serif" w:hAnsi="Arial;sans-serif"/>
          <w:b w:val="false"/>
          <w:i/>
          <w:color w:val="000000"/>
          <w:sz w:val="20"/>
        </w:rPr>
        <w:t>Bucio</w:t>
      </w:r>
      <w:r>
        <w:rPr>
          <w:color w:val="000000"/>
        </w:rPr>
        <w:t xml:space="preserve"> </w:t>
      </w:r>
      <w:r>
        <w:rPr>
          <w:rFonts w:ascii="Arial;sans-serif" w:hAnsi="Arial;sans-serif"/>
          <w:b w:val="false"/>
          <w:color w:val="000000"/>
          <w:sz w:val="20"/>
        </w:rPr>
        <w:t xml:space="preserve">case in 2022, and the related </w:t>
      </w:r>
      <w:r>
        <w:rPr>
          <w:rFonts w:ascii="Arial;sans-serif" w:hAnsi="Arial;sans-serif"/>
          <w:b w:val="false"/>
          <w:color w:val="000000"/>
          <w:sz w:val="21"/>
        </w:rPr>
        <w:t>income tax benefit</w:t>
      </w:r>
      <w:r>
        <w:rPr>
          <w:rFonts w:ascii="Arial;sans-serif" w:hAnsi="Arial;sans-serif"/>
          <w:b w:val="false"/>
          <w:color w:val="000000"/>
          <w:sz w:val="20"/>
        </w:rPr>
        <w:t xml:space="preserve">.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Dividends of $57.5 million were paid to shareholders, and dividends totaling $0.88 per common share were declared during 2023. Additionally, we repurchased 3.3 million of shares for $138.1 million, including excise taxes during 2023.</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At October 31, 2023, total outstanding borrowings under our Amended Credit Facility were $1,313.8 million, and we had up to $483.0 million of borrowing capacity.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60350"/>
                <wp:effectExtent l="0" t="0" r="0" b="0"/>
                <wp:wrapNone/>
                <wp:docPr id="34" name="Frame26"/>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jc w:val="both"/>
        <w:rPr>
          <w:rFonts w:ascii="Arial;sans-serif" w:hAnsi="Arial;sans-serif"/>
          <w:b/>
          <w:color w:val="0046AD"/>
          <w:sz w:val="20"/>
          <w:shd w:fill="FFFFFF" w:val="clear"/>
        </w:rPr>
      </w:pPr>
      <w:r>
        <w:rPr>
          <w:rFonts w:ascii="Arial;sans-serif" w:hAnsi="Arial;sans-serif"/>
          <w:b/>
          <w:color w:val="0046AD"/>
          <w:sz w:val="20"/>
          <w:shd w:fill="FFFFFF" w:val="clear"/>
        </w:rPr>
        <w:t>Results of Operations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E983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Arial;sans-serif" w:hAnsi="Arial;sans-serif"/>
          <w:b/>
          <w:i/>
          <w:color w:val="0046AD"/>
          <w:sz w:val="20"/>
        </w:rPr>
        <w:t>Consolidated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263"/>
        <w:gridCol w:w="1026"/>
        <w:gridCol w:w="1007"/>
        <w:gridCol w:w="211"/>
        <w:gridCol w:w="766"/>
        <w:gridCol w:w="256"/>
        <w:gridCol w:w="109"/>
        <w:gridCol w:w="109"/>
        <w:gridCol w:w="109"/>
        <w:gridCol w:w="211"/>
        <w:gridCol w:w="766"/>
        <w:gridCol w:w="256"/>
        <w:gridCol w:w="109"/>
        <w:gridCol w:w="109"/>
        <w:gridCol w:w="109"/>
        <w:gridCol w:w="211"/>
        <w:gridCol w:w="766"/>
        <w:gridCol w:w="256"/>
        <w:gridCol w:w="109"/>
        <w:gridCol w:w="109"/>
        <w:gridCol w:w="109"/>
        <w:gridCol w:w="247"/>
        <w:gridCol w:w="722"/>
        <w:gridCol w:w="127"/>
        <w:gridCol w:w="127"/>
        <w:gridCol w:w="127"/>
        <w:gridCol w:w="127"/>
        <w:gridCol w:w="226"/>
        <w:gridCol w:w="226"/>
        <w:gridCol w:w="300"/>
      </w:tblGrid>
      <w:tr>
        <w:trPr/>
        <w:tc>
          <w:tcPr>
            <w:tcW w:w="126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3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2023 vs. 2022</w:t>
            </w:r>
          </w:p>
        </w:tc>
      </w:tr>
      <w:tr>
        <w:trPr/>
        <w:tc>
          <w:tcPr>
            <w:tcW w:w="3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millions)</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 (Decrease)</w:t>
            </w:r>
          </w:p>
        </w:tc>
      </w:tr>
      <w:tr>
        <w:trPr/>
        <w:tc>
          <w:tcPr>
            <w:tcW w:w="329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8,096.4 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7,806.6 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6,228.6 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289.8 </w:t>
            </w:r>
          </w:p>
        </w:tc>
        <w:tc>
          <w:tcPr>
            <w:tcW w:w="127"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3.7%</w:t>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w:t>
            </w:r>
          </w:p>
        </w:tc>
      </w:tr>
      <w:tr>
        <w:trPr/>
        <w:tc>
          <w:tcPr>
            <w:tcW w:w="329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Gross margin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13.1 </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13.4 </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15.6 </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(36) bps</w:t>
            </w:r>
          </w:p>
        </w:tc>
        <w:tc>
          <w:tcPr>
            <w:tcW w:w="38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(8.8)%</w:t>
            </w:r>
          </w:p>
        </w:tc>
      </w:tr>
      <w:tr>
        <w:trPr/>
        <w:tc>
          <w:tcPr>
            <w:tcW w:w="329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Amortization of intangible assets </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2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w:t>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profit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17.4%</w:t>
            </w:r>
          </w:p>
        </w:tc>
      </w:tr>
      <w:tr>
        <w:trPr/>
        <w:tc>
          <w:tcPr>
            <w:tcW w:w="329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329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unconsolidated affiliates</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2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60.1%</w:t>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(99.9)%</w:t>
            </w:r>
          </w:p>
        </w:tc>
      </w:tr>
      <w:tr>
        <w:trPr/>
        <w:tc>
          <w:tcPr>
            <w:tcW w:w="3296"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977"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331.1 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310.0 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179.8 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27"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6.8%</w:t>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r>
      <w:tr>
        <w:trPr/>
        <w:tc>
          <w:tcPr>
            <w:tcW w:w="329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3296"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329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977"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251.3 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230.4 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126.3 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27"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9.1%</w:t>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w:t>
            </w:r>
          </w:p>
        </w:tc>
        <w:tc>
          <w:tcPr>
            <w:tcW w:w="12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r>
      <w:tr>
        <w:trPr/>
        <w:tc>
          <w:tcPr>
            <w:tcW w:w="329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2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r>
      <w:tr>
        <w:trPr/>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258.1 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9.0%</w:t>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*Not meaningful</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The Year Ended October 31, 2023, Compared with the Year Ended October 31, 2022</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 xml:space="preserve">Revenues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Revenues increased by $289.8 million, or 3.7%, to $8,096.4 million during 2023, as compared to 2022. Revenue growth was comprised of organic growth of 2.4% and acquisition growth of 1.3%. Acquisition growth of $104.4 million was driven by the RavenVolt and Momentum acquisitions, completed in the fourth and second quarter of 2022, respectively. Organic growth was primarily driven by the strong leisure and business travel markets served by Aviation, expansion of new business and growth with current customers in M&amp;D, and net new business wins in Education. The increase in revenues was partially offset by a decrease in the overall volume of work orders, lower project revenues within Technical Solutions, and soft commercial office market conditions in B&amp;I.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 xml:space="preserve">Operating Expenses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Operating expenses increased by $280.1 million, or 4.1%, to $7,037.6 million during 2023, as compared to 2022. Gross margin decreased by 36 bps to 13.1% in 2023, as compared to 13.4% in 2022. The decrease in gross margin was primarily driven by the decrease in favorable self-insurance adjustments related to prior year claims as a result of actuarial evaluations completed on our workers’ compensation, general liability, automobile liability, and property damage insurance plans. In addition, gross margins were impacted by a decrease in work orders, which are generally more profitable than contracted service.</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Selling, General and Administrative Expenses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Selling, general and administrative expenses decreased by $55.5 million, or 8.8%, to $572.8 million during 2023, as compared to 2022. The decrease in selling, general and administrative expenses was primarily attributable 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 $45.6 million decrease in the fair value of contingent consideration related to the RavenVolt Acquisition;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 $24.0 million benefit from ERC refunds received;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60350"/>
                <wp:effectExtent l="0" t="0" r="0" b="0"/>
                <wp:wrapNone/>
                <wp:docPr id="35" name="Frame2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a $6.6 million decrease in certain technology projects primarily attributable to discrete transformational costs under our </w:t>
      </w:r>
      <w:r>
        <w:rPr>
          <w:rFonts w:ascii="Arial;sans-serif" w:hAnsi="Arial;sans-serif"/>
          <w:b/>
          <w:color w:val="E98300"/>
          <w:sz w:val="20"/>
        </w:rPr>
        <w:t xml:space="preserve">ELEVATE </w:t>
      </w:r>
      <w:r>
        <w:rPr>
          <w:rFonts w:ascii="Arial;sans-serif" w:hAnsi="Arial;sans-serif"/>
          <w:b w:val="false"/>
          <w:color w:val="000000"/>
          <w:sz w:val="20"/>
        </w:rPr>
        <w:t>strategy for developing the new ERP system, client-facing technology, workforce management tools, and data analytics;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This decrease was partially offset by: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a $10.8 million increase in bad debt, of which $7.7 million relates to a favorable adjustment in the prior year;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an absence of a $7.6 million gain on the sale of a group of customer contracts related to healthcare technology management services within Technical Solutions during 2022;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 $4.6 million increase in unfavorable self-insurance adjustment related to prior year claims as the result of actuarial evaluations completed on our medical and dental self-insurance plans.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Amortization of Intangible Assets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Amortization of intangible assets increased by $4.4 million, or 6.1%, to $76.5 million during 2023, as compared to 2022. This increase was primarily due to the amortization of intangibles acquired as part of the RavenVolt and Momentum acquisitions.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Interest Expense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Interest expense increased by $41.2 million, or 99.9%, to $82.3 million during 2023, as compared to 2022, primarily driven by higher interest rates on our debt borrowings.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 xml:space="preserve">Income Taxes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2023 and 2022, we had effective tax rates of 24.1% and 25.7%, respectively, resulting in a provision for tax of $79.7 million and $79.6 million, respectively. . Our effective tax rate for 2023 was impacted by a $12.8 million benefit related to the non-taxable change in the fair value of the contingent consideration related to the RavenVolt Acquisition, a $2.2 million benefit for share-based compensation; and a $1.5 million benefit for return to provision adjustment primarily related to state and local deferred income taxes; partially offset by a $4.8 million expense related to non-deductible executive compensation. Our effective tax rate for 2022 was impacted by the following items: an $8.1 million benefit for uncertain tax positions with expiring statutes; a $1.4 million benefit for share-based compensation; and a $1.3 million return to provision adjustments.</w:t>
      </w:r>
    </w:p>
    <w:p>
      <w:pPr>
        <w:pStyle w:val="TextBody"/>
        <w:bidi w:val="0"/>
        <w:spacing w:lineRule="auto" w:line="288" w:before="180" w:after="283"/>
        <w:jc w:val="left"/>
        <w:rPr>
          <w:rFonts w:ascii="Arial;sans-serif" w:hAnsi="Arial;sans-serif"/>
          <w:b/>
          <w:i/>
          <w:color w:val="0046AD"/>
          <w:sz w:val="20"/>
        </w:rPr>
      </w:pPr>
      <w:r>
        <w:rPr>
          <w:rFonts w:ascii="Arial;sans-serif" w:hAnsi="Arial;sans-serif"/>
          <w:b/>
          <w:i/>
          <w:color w:val="0046AD"/>
          <w:sz w:val="20"/>
        </w:rPr>
        <w:t>Interest Rate Swaps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had a loss of $0.5 million on interest rate swaps during the year ended October 31, 2023, as compared to a gain of $36.7 million during the year ended October 31, 2022, primarily due to underlying changes in the fair value of our interest rate swaps.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Foreign Currency Translation and Other</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had a foreign currency translation gain of $7.3 million during the year ended October 31, 2023, as compared to a foreign currency translation loss of $19.8 million during the year ended October 31, 2022. This change was due to fluctuations in the exchange rate between the U.S. Dollar (“USD”) and the British pound sterling (“GBP”). Future gains and losses on foreign currency translation will be dependent upon changes in the relative value of foreign currencies to the USD and the extent of our foreign assets and liabilities.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The Year Ended October 31, 2022, Compared with the Year Ended October 31, 2021</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For a comparison of our Results of Operations for the year ended October 31, 2022, to the year ended October 31, 2021, see “Part II, Item 7. Management’s Discussion and Analysis of Financial Condition and Results of Operations” of our Form 10-K for the fiscal year ended October 31, 2022, filed with the SEC on December 21,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60350"/>
                <wp:effectExtent l="0" t="0" r="0" b="0"/>
                <wp:wrapNone/>
                <wp:docPr id="36" name="Frame28"/>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i/>
          <w:color w:val="0046AD"/>
          <w:sz w:val="20"/>
        </w:rPr>
      </w:pPr>
      <w:r>
        <w:rPr>
          <w:rFonts w:ascii="Arial;sans-serif" w:hAnsi="Arial;sans-serif"/>
          <w:b/>
          <w:i/>
          <w:color w:val="0046AD"/>
          <w:sz w:val="20"/>
        </w:rPr>
        <w:t>Segment Information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current reportable segments consist of B&amp;I, M&amp;D, Education, Aviation, and Technical Solutions.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Financial Information for Each Reportable Segment</w:t>
      </w:r>
    </w:p>
    <w:tbl>
      <w:tblPr>
        <w:tblW w:w="10205" w:type="dxa"/>
        <w:jc w:val="left"/>
        <w:tblInd w:w="0" w:type="dxa"/>
        <w:tblLayout w:type="fixed"/>
        <w:tblCellMar>
          <w:top w:w="28" w:type="dxa"/>
          <w:left w:w="28" w:type="dxa"/>
          <w:bottom w:w="28" w:type="dxa"/>
          <w:right w:w="28" w:type="dxa"/>
        </w:tblCellMar>
      </w:tblPr>
      <w:tblGrid>
        <w:gridCol w:w="1223"/>
        <w:gridCol w:w="1038"/>
        <w:gridCol w:w="1016"/>
        <w:gridCol w:w="211"/>
        <w:gridCol w:w="766"/>
        <w:gridCol w:w="256"/>
        <w:gridCol w:w="109"/>
        <w:gridCol w:w="109"/>
        <w:gridCol w:w="109"/>
        <w:gridCol w:w="211"/>
        <w:gridCol w:w="766"/>
        <w:gridCol w:w="256"/>
        <w:gridCol w:w="109"/>
        <w:gridCol w:w="109"/>
        <w:gridCol w:w="109"/>
        <w:gridCol w:w="211"/>
        <w:gridCol w:w="766"/>
        <w:gridCol w:w="256"/>
        <w:gridCol w:w="109"/>
        <w:gridCol w:w="109"/>
        <w:gridCol w:w="109"/>
        <w:gridCol w:w="248"/>
        <w:gridCol w:w="727"/>
        <w:gridCol w:w="128"/>
        <w:gridCol w:w="128"/>
        <w:gridCol w:w="128"/>
        <w:gridCol w:w="128"/>
        <w:gridCol w:w="226"/>
        <w:gridCol w:w="222"/>
        <w:gridCol w:w="313"/>
      </w:tblGrid>
      <w:tr>
        <w:trPr/>
        <w:tc>
          <w:tcPr>
            <w:tcW w:w="122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2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2023 vs. 2022</w:t>
            </w:r>
          </w:p>
        </w:tc>
      </w:tr>
      <w:tr>
        <w:trPr/>
        <w:tc>
          <w:tcPr>
            <w:tcW w:w="3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millions)</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 (Decrease)</w:t>
            </w:r>
          </w:p>
        </w:tc>
      </w:tr>
      <w:tr>
        <w:trPr/>
        <w:tc>
          <w:tcPr>
            <w:tcW w:w="327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123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&amp; Industry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r>
      <w:tr>
        <w:trPr/>
        <w:tc>
          <w:tcPr>
            <w:tcW w:w="327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 &amp; Distribution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1,526.7 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1,445.2 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1,363.1 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81.5 </w:t>
            </w:r>
          </w:p>
        </w:tc>
        <w:tc>
          <w:tcPr>
            <w:tcW w:w="12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w:t>
            </w:r>
          </w:p>
        </w:tc>
      </w:tr>
      <w:tr>
        <w:trPr/>
        <w:tc>
          <w:tcPr>
            <w:tcW w:w="3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w:t>
            </w:r>
          </w:p>
        </w:tc>
      </w:tr>
      <w:tr>
        <w:trPr/>
        <w:tc>
          <w:tcPr>
            <w:tcW w:w="327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Aviation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925.7 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804.0 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651.1 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121.7 </w:t>
            </w:r>
          </w:p>
        </w:tc>
        <w:tc>
          <w:tcPr>
            <w:tcW w:w="12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15.1%</w:t>
            </w:r>
          </w:p>
        </w:tc>
      </w:tr>
      <w:tr>
        <w:trPr/>
        <w:tc>
          <w:tcPr>
            <w:tcW w:w="3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Solutions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w:t>
            </w:r>
          </w:p>
        </w:tc>
      </w:tr>
      <w:tr>
        <w:trPr/>
        <w:tc>
          <w:tcPr>
            <w:tcW w:w="327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8,096.4 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7,806.6 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6,228.6 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289.8 </w:t>
            </w:r>
          </w:p>
        </w:tc>
        <w:tc>
          <w:tcPr>
            <w:tcW w:w="128"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3.7%</w:t>
            </w:r>
          </w:p>
        </w:tc>
      </w:tr>
      <w:tr>
        <w:trPr/>
        <w:tc>
          <w:tcPr>
            <w:tcW w:w="3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profit (loss)</w:t>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&amp; Industry</w:t>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315.6 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334.9 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285.9 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12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w:t>
            </w:r>
          </w:p>
        </w:tc>
      </w:tr>
      <w:tr>
        <w:trPr/>
        <w:tc>
          <w:tcPr>
            <w:tcW w:w="3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8.2 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(46) bps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 &amp; Distribution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161.7 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161.8 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2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r>
      <w:tr>
        <w:trPr/>
        <w:tc>
          <w:tcPr>
            <w:tcW w:w="3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(60) bps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Education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2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w:t>
            </w:r>
          </w:p>
        </w:tc>
      </w:tr>
      <w:tr>
        <w:trPr/>
        <w:tc>
          <w:tcPr>
            <w:tcW w:w="3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Arial;sans-serif" w:hAnsi="Arial;sans-serif"/>
                <w:b w:val="false"/>
                <w:i/>
                <w:color w:val="000000"/>
                <w:sz w:val="16"/>
              </w:rPr>
              <w:t>bps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Aviation</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2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r>
      <w:tr>
        <w:trPr/>
        <w:tc>
          <w:tcPr>
            <w:tcW w:w="3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283 bps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Solutions</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2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(16.5)%</w:t>
            </w:r>
          </w:p>
        </w:tc>
      </w:tr>
      <w:tr>
        <w:trPr/>
        <w:tc>
          <w:tcPr>
            <w:tcW w:w="3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(228) bps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Government Services</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2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r>
      <w:tr>
        <w:trPr/>
        <w:tc>
          <w:tcPr>
            <w:tcW w:w="3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NM*</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(284.5)</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(374.6)</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w:t>
            </w:r>
          </w:p>
        </w:tc>
        <w:tc>
          <w:tcPr>
            <w:tcW w:w="12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20.3%</w:t>
            </w:r>
          </w:p>
        </w:tc>
      </w:tr>
      <w:tr>
        <w:trPr/>
        <w:tc>
          <w:tcPr>
            <w:tcW w:w="3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for income from unconsolidated</w:t>
              <w:br/>
              <w:t>   affiliates, included in Aviation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(60.1)%</w:t>
            </w:r>
          </w:p>
        </w:tc>
      </w:tr>
      <w:tr>
        <w:trPr/>
        <w:tc>
          <w:tcPr>
            <w:tcW w:w="327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for tax deductions for energy</w:t>
              <w:br/>
              <w:t>   efficient government buildings, included in</w:t>
              <w:br/>
              <w:t>   Technical Solutions</w:t>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2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66.8%</w:t>
            </w:r>
          </w:p>
        </w:tc>
      </w:tr>
      <w:tr>
        <w:trPr/>
        <w:tc>
          <w:tcPr>
            <w:tcW w:w="3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409.5 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348.8 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17.4%</w:t>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*Not meaningful</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60350"/>
                <wp:effectExtent l="0" t="0" r="0" b="0"/>
                <wp:wrapNone/>
                <wp:docPr id="37" name="Frame2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The Year Ended October 31, 2023, Compared with the Year Ended October 31, 2022</w:t>
      </w:r>
    </w:p>
    <w:tbl>
      <w:tblPr>
        <w:tblW w:w="7066" w:type="dxa"/>
        <w:jc w:val="left"/>
        <w:tblInd w:w="0" w:type="dxa"/>
        <w:tblLayout w:type="fixed"/>
        <w:tblCellMar>
          <w:top w:w="28" w:type="dxa"/>
          <w:left w:w="28" w:type="dxa"/>
          <w:bottom w:w="28" w:type="dxa"/>
          <w:right w:w="28" w:type="dxa"/>
        </w:tblCellMar>
      </w:tblPr>
      <w:tblGrid>
        <w:gridCol w:w="721"/>
        <w:gridCol w:w="635"/>
        <w:gridCol w:w="638"/>
        <w:gridCol w:w="211"/>
        <w:gridCol w:w="811"/>
        <w:gridCol w:w="256"/>
        <w:gridCol w:w="109"/>
        <w:gridCol w:w="109"/>
        <w:gridCol w:w="109"/>
        <w:gridCol w:w="211"/>
        <w:gridCol w:w="811"/>
        <w:gridCol w:w="256"/>
        <w:gridCol w:w="109"/>
        <w:gridCol w:w="109"/>
        <w:gridCol w:w="109"/>
        <w:gridCol w:w="211"/>
        <w:gridCol w:w="496"/>
        <w:gridCol w:w="109"/>
        <w:gridCol w:w="109"/>
        <w:gridCol w:w="109"/>
        <w:gridCol w:w="109"/>
        <w:gridCol w:w="209"/>
        <w:gridCol w:w="209"/>
        <w:gridCol w:w="301"/>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46AD"/>
                <w:sz w:val="20"/>
              </w:rPr>
            </w:pPr>
            <w:r>
              <w:rPr>
                <w:rFonts w:ascii="Arial;sans-serif" w:hAnsi="Arial;sans-serif"/>
                <w:b/>
                <w:i/>
                <w:color w:val="0046AD"/>
                <w:sz w:val="20"/>
              </w:rPr>
              <w:t>Business &amp; Industry</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millions)</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Increase</w:t>
            </w:r>
          </w:p>
        </w:tc>
      </w:tr>
      <w:tr>
        <w:trPr/>
        <w:tc>
          <w:tcPr>
            <w:tcW w:w="19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4,089.4 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4,095.9 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(0.2)%</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r>
      <w:tr>
        <w:trPr/>
        <w:tc>
          <w:tcPr>
            <w:tcW w:w="19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7.7 </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8.2 </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(46) bps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B&amp;I revenues decreased by $6.5 million, or 0.2%, to $4,089.4 million during 2023, as compared to 2022. This decrease in revenue was comprised of acquisition growth of 0.8%, offset by organic decrease of 0.9%. Acquisition growth of $32.1 million was driven by the Momentum Acquisition, completed in the second quarter of 2022. Organic decrease was primarily driven by decrease in work orders, soft commercial office market conditions, and the expected attrition of certain engineering clients. Management reimbursement revenues for this segment totaled $270.1 million and $227.8 million during 2023 and 2022, respectively.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Operating profit decreased by $19.3 million, or 5.7%, to $315.6 million during 2023, as compared to 2022. Operating profit margin decreased by 46 bps to 7.7% in 2023 from 8.2% in 2022. The decrease in operating profit margin was primarily driven by a decrease in work orders, which are generally more profitable than contracted service, the change in contract mix, and an increase in direct labor and related costs due to a limited labor supply in certain non-union markets. The decrease was partially offset by lower amortization of intangible assets.</w:t>
      </w:r>
    </w:p>
    <w:tbl>
      <w:tblPr>
        <w:tblW w:w="7802" w:type="dxa"/>
        <w:jc w:val="left"/>
        <w:tblInd w:w="0" w:type="dxa"/>
        <w:tblLayout w:type="fixed"/>
        <w:tblCellMar>
          <w:top w:w="28" w:type="dxa"/>
          <w:left w:w="28" w:type="dxa"/>
          <w:bottom w:w="28" w:type="dxa"/>
          <w:right w:w="28" w:type="dxa"/>
        </w:tblCellMar>
      </w:tblPr>
      <w:tblGrid>
        <w:gridCol w:w="1015"/>
        <w:gridCol w:w="894"/>
        <w:gridCol w:w="896"/>
        <w:gridCol w:w="211"/>
        <w:gridCol w:w="811"/>
        <w:gridCol w:w="256"/>
        <w:gridCol w:w="109"/>
        <w:gridCol w:w="109"/>
        <w:gridCol w:w="109"/>
        <w:gridCol w:w="211"/>
        <w:gridCol w:w="811"/>
        <w:gridCol w:w="256"/>
        <w:gridCol w:w="109"/>
        <w:gridCol w:w="109"/>
        <w:gridCol w:w="109"/>
        <w:gridCol w:w="211"/>
        <w:gridCol w:w="541"/>
        <w:gridCol w:w="109"/>
        <w:gridCol w:w="109"/>
        <w:gridCol w:w="109"/>
        <w:gridCol w:w="109"/>
        <w:gridCol w:w="175"/>
        <w:gridCol w:w="175"/>
        <w:gridCol w:w="249"/>
      </w:tblGrid>
      <w:tr>
        <w:trPr/>
        <w:tc>
          <w:tcPr>
            <w:tcW w:w="10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46AD"/>
                <w:sz w:val="20"/>
              </w:rPr>
            </w:pPr>
            <w:r>
              <w:rPr>
                <w:rFonts w:ascii="Arial;sans-serif" w:hAnsi="Arial;sans-serif"/>
                <w:b/>
                <w:i/>
                <w:color w:val="0046AD"/>
                <w:sz w:val="20"/>
              </w:rPr>
              <w:t>Manufacturing &amp; Distribution</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millions)</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Increase</w:t>
            </w:r>
          </w:p>
        </w:tc>
      </w:tr>
      <w:tr>
        <w:trPr/>
        <w:tc>
          <w:tcPr>
            <w:tcW w:w="280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1,526.7 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1,445.2 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r>
      <w:tr>
        <w:trPr/>
        <w:tc>
          <w:tcPr>
            <w:tcW w:w="280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10.6 </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11.2 </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(60) bps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M&amp;D revenues increased by $81.5 million, or 5.6%, to $1,526.7 million during 2023, as compared to 2022. The increase was primarily attributable to the net new business wins and the expansion of business with existing customers, partially offset by a decrease in work orders.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Operating profit decreased by $0.1 million, to $161.7 million during 2023, as compared to 2022. Operating profit margin decreased by 60 bps to 10.6% in 2023 from 11.2% in 2022. The decrease in operating profit margin was primarily attributable to the change in contract mix and decrease in work orders, which are generally more profitable than contracted service.</w:t>
      </w:r>
    </w:p>
    <w:tbl>
      <w:tblPr>
        <w:tblW w:w="6451" w:type="dxa"/>
        <w:jc w:val="left"/>
        <w:tblInd w:w="0" w:type="dxa"/>
        <w:tblLayout w:type="fixed"/>
        <w:tblCellMar>
          <w:top w:w="28" w:type="dxa"/>
          <w:left w:w="28" w:type="dxa"/>
          <w:bottom w:w="28" w:type="dxa"/>
          <w:right w:w="28" w:type="dxa"/>
        </w:tblCellMar>
      </w:tblPr>
      <w:tblGrid>
        <w:gridCol w:w="646"/>
        <w:gridCol w:w="568"/>
        <w:gridCol w:w="570"/>
        <w:gridCol w:w="211"/>
        <w:gridCol w:w="646"/>
        <w:gridCol w:w="256"/>
        <w:gridCol w:w="109"/>
        <w:gridCol w:w="109"/>
        <w:gridCol w:w="109"/>
        <w:gridCol w:w="211"/>
        <w:gridCol w:w="646"/>
        <w:gridCol w:w="256"/>
        <w:gridCol w:w="109"/>
        <w:gridCol w:w="109"/>
        <w:gridCol w:w="109"/>
        <w:gridCol w:w="211"/>
        <w:gridCol w:w="541"/>
        <w:gridCol w:w="109"/>
        <w:gridCol w:w="109"/>
        <w:gridCol w:w="109"/>
        <w:gridCol w:w="109"/>
        <w:gridCol w:w="175"/>
        <w:gridCol w:w="175"/>
        <w:gridCol w:w="249"/>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46AD"/>
                <w:sz w:val="20"/>
              </w:rPr>
            </w:pPr>
            <w:r>
              <w:rPr>
                <w:rFonts w:ascii="Arial;sans-serif" w:hAnsi="Arial;sans-serif"/>
                <w:b/>
                <w:i/>
                <w:color w:val="0046AD"/>
                <w:sz w:val="20"/>
              </w:rPr>
              <w:t>Education</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Increase</w:t>
            </w:r>
          </w:p>
        </w:tc>
      </w:tr>
      <w:tr>
        <w:trPr/>
        <w:tc>
          <w:tcPr>
            <w:tcW w:w="178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880.4 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834.7 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w:t>
            </w:r>
          </w:p>
        </w:tc>
      </w:tr>
      <w:tr>
        <w:trPr/>
        <w:tc>
          <w:tcPr>
            <w:tcW w:w="178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5.6 </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5.6 </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Arial;sans-serif" w:hAnsi="Arial;sans-serif"/>
                <w:b w:val="false"/>
                <w:i/>
                <w:color w:val="000000"/>
                <w:sz w:val="16"/>
              </w:rPr>
              <w:t>bps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Education revenues increased by $45.7 million, or 5.5%, to $880.4 million during 2023, as compared to 2022. The increase was primarily attributable to net new business wins, partially offset by a decrease in work orders.</w:t>
      </w:r>
    </w:p>
    <w:p>
      <w:pPr>
        <w:pStyle w:val="TextBody"/>
        <w:bidi w:val="0"/>
        <w:spacing w:lineRule="auto" w:line="288" w:before="180" w:after="180"/>
        <w:ind w:left="0" w:right="0" w:firstLine="720"/>
        <w:jc w:val="both"/>
        <w:rPr>
          <w:rFonts w:ascii="Arial;sans-serif" w:hAnsi="Arial;sans-serif"/>
          <w:b w:val="false"/>
          <w:color w:val="000000"/>
          <w:sz w:val="20"/>
        </w:rPr>
      </w:pPr>
      <w:r>
        <w:rPr>
          <w:rFonts w:ascii="Arial;sans-serif" w:hAnsi="Arial;sans-serif"/>
          <w:b w:val="false"/>
          <w:color w:val="000000"/>
          <w:sz w:val="20"/>
        </w:rPr>
        <w:t>Operating profit increased by $2.6 million, or 5.5% to $49.7 million during 2023, as compared to 2022. Operating profit margin of 5.6% in 2023 was consistent with 2022. The operating profit margin was positively impacted by labor efficiencies and lower amortization of intangible assets, offset by an increase in start-up supplies to support new business growth and the decrease in work orders, which are generally more profitable than contracted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60350"/>
                <wp:effectExtent l="0" t="0" r="0" b="0"/>
                <wp:wrapNone/>
                <wp:docPr id="38" name="Frame30"/>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tbl>
      <w:tblPr>
        <w:tblW w:w="6662" w:type="dxa"/>
        <w:jc w:val="left"/>
        <w:tblInd w:w="0" w:type="dxa"/>
        <w:tblLayout w:type="fixed"/>
        <w:tblCellMar>
          <w:top w:w="28" w:type="dxa"/>
          <w:left w:w="28" w:type="dxa"/>
          <w:bottom w:w="28" w:type="dxa"/>
          <w:right w:w="28" w:type="dxa"/>
        </w:tblCellMar>
      </w:tblPr>
      <w:tblGrid>
        <w:gridCol w:w="647"/>
        <w:gridCol w:w="567"/>
        <w:gridCol w:w="571"/>
        <w:gridCol w:w="211"/>
        <w:gridCol w:w="646"/>
        <w:gridCol w:w="256"/>
        <w:gridCol w:w="109"/>
        <w:gridCol w:w="109"/>
        <w:gridCol w:w="109"/>
        <w:gridCol w:w="211"/>
        <w:gridCol w:w="646"/>
        <w:gridCol w:w="256"/>
        <w:gridCol w:w="109"/>
        <w:gridCol w:w="109"/>
        <w:gridCol w:w="109"/>
        <w:gridCol w:w="211"/>
        <w:gridCol w:w="646"/>
        <w:gridCol w:w="109"/>
        <w:gridCol w:w="109"/>
        <w:gridCol w:w="109"/>
        <w:gridCol w:w="109"/>
        <w:gridCol w:w="206"/>
        <w:gridCol w:w="206"/>
        <w:gridCol w:w="292"/>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46AD"/>
                <w:sz w:val="20"/>
              </w:rPr>
            </w:pPr>
            <w:r>
              <w:rPr>
                <w:rFonts w:ascii="Arial;sans-serif" w:hAnsi="Arial;sans-serif"/>
                <w:b/>
                <w:i/>
                <w:color w:val="0046AD"/>
                <w:sz w:val="20"/>
              </w:rPr>
              <w:t>Aviation</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Increase</w:t>
            </w:r>
          </w:p>
        </w:tc>
      </w:tr>
      <w:tr>
        <w:trPr/>
        <w:tc>
          <w:tcPr>
            <w:tcW w:w="178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925.7 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804.0 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15.1%</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178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6.5 </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3.6 </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283 bps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Aviation revenues increased by $121.7 million, or 15.1% to $925.7 million, during 2023, as compared to 2022. The increase was primarily attributable to a recovery in leisure and business travel (both domestic and international) and new parking-related services. In addition, we recognized $11.4 million in revenue from an Aviation parking project, whereby all the direct labor and related costs were recognized in prior periods. The related revenue was not recognized in the prior periods since the criteria for revenue recognition was not met until February 2023. Management reimbursement revenues for this segment totaled $31.8 million and $52.6 million during 2023 and 2022, respectively.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Operating profit increased by $30.7 million, to $60.0 million during 2023, as compared to 2022. Operating profit margin increased to 6.5% during 2023, from 3.6% during 2022. The increase in operating profit margin was primarily attributable to the $11.4 million in revenue from an Aviation parking project. Operating profit margin was negatively impacted by an increase in direct labor and related costs due to increased headcounts as travel continues to recover.</w:t>
      </w:r>
    </w:p>
    <w:tbl>
      <w:tblPr>
        <w:tblW w:w="7258" w:type="dxa"/>
        <w:jc w:val="left"/>
        <w:tblInd w:w="0" w:type="dxa"/>
        <w:tblLayout w:type="fixed"/>
        <w:tblCellMar>
          <w:top w:w="28" w:type="dxa"/>
          <w:left w:w="28" w:type="dxa"/>
          <w:bottom w:w="28" w:type="dxa"/>
          <w:right w:w="28" w:type="dxa"/>
        </w:tblCellMar>
      </w:tblPr>
      <w:tblGrid>
        <w:gridCol w:w="717"/>
        <w:gridCol w:w="630"/>
        <w:gridCol w:w="632"/>
        <w:gridCol w:w="211"/>
        <w:gridCol w:w="646"/>
        <w:gridCol w:w="256"/>
        <w:gridCol w:w="109"/>
        <w:gridCol w:w="109"/>
        <w:gridCol w:w="109"/>
        <w:gridCol w:w="211"/>
        <w:gridCol w:w="646"/>
        <w:gridCol w:w="256"/>
        <w:gridCol w:w="109"/>
        <w:gridCol w:w="109"/>
        <w:gridCol w:w="109"/>
        <w:gridCol w:w="280"/>
        <w:gridCol w:w="718"/>
        <w:gridCol w:w="144"/>
        <w:gridCol w:w="144"/>
        <w:gridCol w:w="144"/>
        <w:gridCol w:w="144"/>
        <w:gridCol w:w="241"/>
        <w:gridCol w:w="241"/>
        <w:gridCol w:w="343"/>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46AD"/>
                <w:sz w:val="20"/>
              </w:rPr>
            </w:pPr>
            <w:r>
              <w:rPr>
                <w:rFonts w:ascii="Arial;sans-serif" w:hAnsi="Arial;sans-serif"/>
                <w:b/>
                <w:i/>
                <w:color w:val="0046AD"/>
                <w:sz w:val="20"/>
              </w:rPr>
              <w:t>Technical Solutions</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Increase / (Decrease)</w:t>
            </w:r>
          </w:p>
        </w:tc>
      </w:tr>
      <w:tr>
        <w:trPr/>
        <w:tc>
          <w:tcPr>
            <w:tcW w:w="197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674.2 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626.8 </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8"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14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7.6%</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(16.5)%</w:t>
            </w:r>
          </w:p>
        </w:tc>
      </w:tr>
      <w:tr>
        <w:trPr/>
        <w:tc>
          <w:tcPr>
            <w:tcW w:w="197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profit margin</w:t>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7.9 </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10.2 </w:t>
            </w:r>
          </w:p>
        </w:tc>
        <w:tc>
          <w:tcPr>
            <w:tcW w:w="256"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(228) bps</w:t>
            </w:r>
          </w:p>
        </w:tc>
        <w:tc>
          <w:tcPr>
            <w:tcW w:w="43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Technical Solutions revenues increased by $47.4 million, or 7.6%, to $674.2 million during 2023, as compared to 2022. Revenue growth included acquisition growth of 11.5%, which was partially offset by an organic decrease of 3.9%. Acquisition growth of $72.3 million was driven by the RavenVolt Acquisition, which was completed in the fourth quarter of 2022. The organic revenue decrease was primarily driven by the decline in electric vehicle charging station installation sales and lower project revenues due to the timing of completions of certain bundled energy solutions projects.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Operating profit decreased by $10.6 million, or 16.5%, to $53.2 million during 2023, as compared to 2022. Operating profit margin decreased by 228 bps to 7.9% in 2023 from 10.2% in 2022. The decrease in operating profit margin was primarily attributable to a $7.6 million gain recognized on the sale of a group of customer contracts related to healthcare technology management services recognized in the prior year, and amortization of intangible assets related to the RavenVolt Acquisition, partially offset by the contract mix.</w:t>
      </w:r>
    </w:p>
    <w:tbl>
      <w:tblPr>
        <w:tblW w:w="6549" w:type="dxa"/>
        <w:jc w:val="left"/>
        <w:tblInd w:w="0" w:type="dxa"/>
        <w:tblLayout w:type="fixed"/>
        <w:tblCellMar>
          <w:top w:w="28" w:type="dxa"/>
          <w:left w:w="28" w:type="dxa"/>
          <w:bottom w:w="28" w:type="dxa"/>
          <w:right w:w="28" w:type="dxa"/>
        </w:tblCellMar>
      </w:tblPr>
      <w:tblGrid>
        <w:gridCol w:w="673"/>
        <w:gridCol w:w="593"/>
        <w:gridCol w:w="594"/>
        <w:gridCol w:w="214"/>
        <w:gridCol w:w="716"/>
        <w:gridCol w:w="110"/>
        <w:gridCol w:w="110"/>
        <w:gridCol w:w="110"/>
        <w:gridCol w:w="110"/>
        <w:gridCol w:w="214"/>
        <w:gridCol w:w="716"/>
        <w:gridCol w:w="110"/>
        <w:gridCol w:w="109"/>
        <w:gridCol w:w="109"/>
        <w:gridCol w:w="109"/>
        <w:gridCol w:w="211"/>
        <w:gridCol w:w="601"/>
        <w:gridCol w:w="109"/>
        <w:gridCol w:w="109"/>
        <w:gridCol w:w="109"/>
        <w:gridCol w:w="109"/>
        <w:gridCol w:w="206"/>
        <w:gridCol w:w="206"/>
        <w:gridCol w:w="292"/>
      </w:tblGrid>
      <w:tr>
        <w:trPr/>
        <w:tc>
          <w:tcPr>
            <w:tcW w:w="67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46AD"/>
                <w:sz w:val="20"/>
              </w:rPr>
            </w:pPr>
            <w:r>
              <w:rPr>
                <w:rFonts w:ascii="Arial;sans-serif" w:hAnsi="Arial;sans-serif"/>
                <w:b/>
                <w:i/>
                <w:color w:val="0046AD"/>
                <w:sz w:val="20"/>
              </w:rPr>
              <w:t>Corporate</w:t>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millions)</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Decrease</w:t>
            </w:r>
          </w:p>
        </w:tc>
      </w:tr>
      <w:tr>
        <w:trPr/>
        <w:tc>
          <w:tcPr>
            <w:tcW w:w="186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expenses</w:t>
            </w:r>
          </w:p>
        </w:tc>
        <w:tc>
          <w:tcPr>
            <w:tcW w:w="214"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(226.6)</w:t>
            </w:r>
          </w:p>
        </w:tc>
        <w:tc>
          <w:tcPr>
            <w:tcW w:w="110"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(284.5)</w:t>
            </w:r>
          </w:p>
        </w:tc>
        <w:tc>
          <w:tcPr>
            <w:tcW w:w="110"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20.3%</w:t>
            </w:r>
          </w:p>
        </w:tc>
      </w:tr>
    </w:tbl>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Corporate expenses decreased by $57.9 million, or 20.3%, to $226.6 million during 2023, as compared to 2022. The decrease in corporate expenses was primarily related 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 $45.6 million decrease in the fair value of contingent consideration related to the RavenVolt Acquisition;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a $24.0 million benefit from ERC refunds received;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 xml:space="preserve">a $6.6 million decrease in certain technology projects primarily attributable to discrete transformational costs under our </w:t>
      </w:r>
      <w:r>
        <w:rPr>
          <w:rFonts w:ascii="Arial;sans-serif" w:hAnsi="Arial;sans-serif"/>
          <w:b/>
          <w:color w:val="E98300"/>
          <w:sz w:val="20"/>
        </w:rPr>
        <w:t xml:space="preserve">ELEVATE </w:t>
      </w:r>
      <w:r>
        <w:rPr>
          <w:rFonts w:ascii="Arial;sans-serif" w:hAnsi="Arial;sans-serif"/>
          <w:b w:val="false"/>
          <w:color w:val="000000"/>
          <w:sz w:val="20"/>
        </w:rPr>
        <w:t>strategy for developing the new ERP system, client-facing technology, workforce management tools, and data analytics;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60350"/>
                <wp:effectExtent l="0" t="0" r="0" b="0"/>
                <wp:wrapNone/>
                <wp:docPr id="39" name="Frame3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 $6.4 million decrease in compensation and related expenses primarily due to lower compensation under certain incentive plans;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 $2.4 million decrease in acquisition and integration costs primarily attributable to our prior years’ acquisitions.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This decrease was partially offset by:</w:t>
      </w:r>
    </w:p>
    <w:p>
      <w:pPr>
        <w:pStyle w:val="TextBody"/>
        <w:bidi w:val="0"/>
        <w:spacing w:lineRule="auto" w:line="244" w:before="180" w:after="283"/>
        <w:ind w:left="0" w:right="0" w:hanging="360"/>
        <w:jc w:val="both"/>
        <w:rPr/>
      </w:pPr>
      <w:r>
        <w:rPr>
          <w:color w:val="000000"/>
        </w:rPr>
        <w:t>•</w:t>
      </w:r>
      <w:r>
        <w:rPr>
          <w:rFonts w:ascii="Arial;sans-serif" w:hAnsi="Arial;sans-serif"/>
          <w:b w:val="false"/>
          <w:color w:val="000000"/>
          <w:sz w:val="20"/>
        </w:rPr>
        <w:t>a $22.0 million decrease in favorable self-insurance adjustments related to prior year claims as the result of actuarial evaluations completed on our workers’ compensation, general liability, automobile liability, and property damage insurance plans;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rPr>
        <w:t>a $4.6 million increase in unfavorable self-insurance adjustment related to prior year claims as the result of actuarial evaluations completed on our medical and dental self-insurance plans.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The Year Ended October 31, 2022, Compared with the Year Ended October 31, 2021</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For a comparison of our Segment Information for the year ended October 31, 2022, to the year ended October 31, 2021, see “Part II, Item 7. Management’s Discussion and Analysis of Financial Condition and Results of Operations” of our Form 10-K for the fiscal year ended October 31, 2022, filed with the SEC on December 21,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60350"/>
                <wp:effectExtent l="0" t="0" r="0" b="0"/>
                <wp:wrapNone/>
                <wp:docPr id="40" name="Frame32"/>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60" w:after="283"/>
        <w:jc w:val="left"/>
        <w:rPr/>
      </w:pPr>
      <w:r>
        <w:rPr/>
      </w:r>
    </w:p>
    <w:p>
      <w:pPr>
        <w:pStyle w:val="TextBody"/>
        <w:bidi w:val="0"/>
        <w:spacing w:lineRule="auto" w:line="288" w:before="60" w:after="283"/>
        <w:jc w:val="left"/>
        <w:rPr>
          <w:rFonts w:ascii="Arial;sans-serif" w:hAnsi="Arial;sans-serif"/>
          <w:b/>
          <w:color w:val="0046AD"/>
          <w:sz w:val="20"/>
        </w:rPr>
      </w:pPr>
      <w:r>
        <w:rPr>
          <w:rFonts w:ascii="Arial;sans-serif" w:hAnsi="Arial;sans-serif"/>
          <w:b/>
          <w:color w:val="0046AD"/>
          <w:sz w:val="20"/>
        </w:rPr>
        <w:t>Liquidity and Capital Resources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E983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primary sources of liquidity are operating cash flows and borrowing capacity under our credit facility. We assess our liquidity in terms of our ability to generate cash to fund our short- and long-term cash requirements. As such, we project our anticipated cash requirements as well as cash flows generated from operating activities to meet those needs. </w:t>
      </w:r>
    </w:p>
    <w:p>
      <w:pPr>
        <w:pStyle w:val="TextBody"/>
        <w:bidi w:val="0"/>
        <w:spacing w:lineRule="auto" w:line="276" w:before="180" w:after="283"/>
        <w:ind w:left="0" w:right="0" w:firstLine="720"/>
        <w:jc w:val="both"/>
        <w:rPr/>
      </w:pPr>
      <w:r>
        <w:rPr>
          <w:rFonts w:ascii="Arial;sans-serif" w:hAnsi="Arial;sans-serif"/>
          <w:b w:val="false"/>
          <w:color w:val="000000"/>
          <w:sz w:val="20"/>
        </w:rPr>
        <w:t xml:space="preserve">In addition to normal working capital requirements, we anticipate that our short- and long-term cash requirements will include funding insurance claims, dividend payments, capital expenditures, share repurchases, mandatory loan repayments, and systems and technology transformation initiatives under our </w:t>
      </w:r>
      <w:r>
        <w:rPr>
          <w:rFonts w:ascii="Arial;sans-serif" w:hAnsi="Arial;sans-serif"/>
          <w:b/>
          <w:color w:val="E98300"/>
          <w:sz w:val="20"/>
        </w:rPr>
        <w:t>ELEVATE</w:t>
      </w:r>
      <w:r>
        <w:rPr>
          <w:color w:val="000000"/>
        </w:rPr>
        <w:t xml:space="preserve"> </w:t>
      </w:r>
      <w:r>
        <w:rPr>
          <w:rFonts w:ascii="Arial;sans-serif" w:hAnsi="Arial;sans-serif"/>
          <w:b w:val="false"/>
          <w:color w:val="000000"/>
          <w:sz w:val="20"/>
        </w:rPr>
        <w:t>strategy. We anticipate long-term cash uses may also include strategic acquisitions. On a long-term basis, we will continue to rely on our credit facility for any long-term funding not provided by operating cash flows.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believe that our operating cash flows and borrowing capacity under our credit facility are sufficient to fund our cash requirements for at least a 12-month period from the issuance of these financial statements.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Debt Facilities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On September 1, 2017, we refinanced and replaced our then-existing $800.0 million credit facility with a new senior, secured five-year syndicated credit facility (the “Credit Facility”), consisting of a $900.0 million revolving line of credit and an $800.0 million amortizing term loan. In accordance with the terms of the Credit Facility, the revolving line of credit was reduced to $800.0 million on September 1, 2018.</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June 28, 2021, the Company amended and restated the Credit Facility (the “Second Amendment,” and the Credit Facility as amended, the “Amended Credit Facility”), extending the maturity date to June 28, 2026, and increasing the capacity of the revolving credit facility from $800.0 million to $1.3 billion and the then-remaining term loan outstanding from $620.0 million to $650.0 million. The Amended Credit Facility provides for the issuance of up to $350.0 million for standby letters of credit and the issuance of up to $75.0 million in swingline advances. The obligations under the Amended Credit Facility are secured on a first-priority basis by a lien on substantially all of our assets and properties, subject to certain exceptions. We may repay amounts borrowed under the Amended Credit Facility at any time without penalty.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November 1, 2022, we amended our Amended Credit Facility pursuant to the LIBOR Transition Amendment and the Fifth Amendment to replace the benchmark rate at which U.S.-dollar-denominated borrowings bear interest from LIBOR to the forward-looking SOFR term rate administered by CME Group Benchmark Administration Limited. As a result of these amendments, we can borrow at Term SOFR plus a credit spread adjustment of 0.10% subject to a floor of zero.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Our borrowing capacity is subject to, and limited by, compliance with the covenants described above. At October 31, 2023, we were in compliance with these covenants and expect to be in compliance in the foreseeable future.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On March 1, 2022, we entered into a new uncommitted receivable repurchase facility (the “Receivables Facility”) of up to $150 million, which expired on March 30, 2023. This facility was considered a secured borrowing and provided the buyer with customary rights of termination upon the occurrence of certain events of default. We have guaranteed all of the sellers’ obligations under the facility.</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2023, we made $32.5 million of principal payments under the term loan. At October 31, 2023, the total outstanding borrowings and standby letters of credit were $1,313.8 million and $58.2 million, respectively. At October 31, 2023, we had up to $483.0 million of borrowing capacity.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60350"/>
                <wp:effectExtent l="0" t="0" r="0" b="0"/>
                <wp:wrapNone/>
                <wp:docPr id="41" name="Frame3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Reinvestment of Foreign Earnings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plan to reinvest our foreign earnings to fund future non-U.S. growth and expansion, and we do not anticipate remitting such earnings to the United States. While U.S. federal tax expense has been recognized as a result of the Tax Cuts and Jobs Act of 2017, no deferred tax liabilities with respect to federal and state income taxes or foreign withholding taxes have been recognized. We believe that our cash on hand in the United States, along with our Amended Credit Facility and future domestic cash flows, are sufficient to satisfy our domestic liquidity requirements.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Share Repurchases</w:t>
      </w:r>
    </w:p>
    <w:p>
      <w:pPr>
        <w:pStyle w:val="TextBody"/>
        <w:bidi w:val="0"/>
        <w:spacing w:lineRule="auto" w:line="288" w:before="180" w:after="240"/>
        <w:ind w:left="0" w:right="0" w:firstLine="720"/>
        <w:jc w:val="both"/>
        <w:rPr>
          <w:rFonts w:ascii="Arial;sans-serif" w:hAnsi="Arial;sans-serif"/>
          <w:b w:val="false"/>
          <w:color w:val="000000"/>
          <w:sz w:val="20"/>
        </w:rPr>
      </w:pPr>
      <w:r>
        <w:rPr>
          <w:rFonts w:ascii="Arial;sans-serif" w:hAnsi="Arial;sans-serif"/>
          <w:b w:val="false"/>
          <w:color w:val="000000"/>
          <w:sz w:val="20"/>
        </w:rPr>
        <w:t>Effective December 18, 2019, our Board of Directors replaced our then-existing share repurchase program with a new share repurchase program under which we may repurchase up to $150.0 million of our common stock. Effective December 9, 2022, and December 13, 2023, our Board of Directors expanded the Share Repurchase Program by $150.0 millionand $150.0 million, respectively. We repurchased shares under the share repurchase program during the year ended October 31, 2023, as summarized below. At October 31, 2023, authorization for $60.3 million of repurchases remained under the Share Repurchase Program.</w:t>
      </w:r>
    </w:p>
    <w:tbl>
      <w:tblPr>
        <w:tblW w:w="6133" w:type="dxa"/>
        <w:jc w:val="left"/>
        <w:tblInd w:w="0" w:type="dxa"/>
        <w:tblLayout w:type="fixed"/>
        <w:tblCellMar>
          <w:top w:w="28" w:type="dxa"/>
          <w:left w:w="28" w:type="dxa"/>
          <w:bottom w:w="28" w:type="dxa"/>
          <w:right w:w="28" w:type="dxa"/>
        </w:tblCellMar>
      </w:tblPr>
      <w:tblGrid>
        <w:gridCol w:w="1289"/>
        <w:gridCol w:w="1138"/>
        <w:gridCol w:w="1142"/>
        <w:gridCol w:w="225"/>
        <w:gridCol w:w="690"/>
        <w:gridCol w:w="116"/>
        <w:gridCol w:w="116"/>
        <w:gridCol w:w="116"/>
        <w:gridCol w:w="116"/>
        <w:gridCol w:w="225"/>
        <w:gridCol w:w="690"/>
        <w:gridCol w:w="116"/>
        <w:gridCol w:w="154"/>
      </w:tblGrid>
      <w:tr>
        <w:trPr/>
        <w:tc>
          <w:tcPr>
            <w:tcW w:w="128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 except per share amounts)</w:t>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shares purchased</w:t>
            </w:r>
          </w:p>
        </w:tc>
        <w:tc>
          <w:tcPr>
            <w:tcW w:w="915"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1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1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Average price paid per share</w:t>
            </w:r>
            <w:r>
              <w:rPr>
                <w:rFonts w:ascii="Arial;sans-serif" w:hAnsi="Arial;sans-serif"/>
                <w:b w:val="false"/>
                <w:color w:val="000000"/>
                <w:sz w:val="13"/>
              </w:rPr>
              <w:t>(1)</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Total cash paid for share repurchases</w:t>
            </w:r>
            <w:r>
              <w:rPr>
                <w:rFonts w:ascii="Arial;sans-serif" w:hAnsi="Arial;sans-serif"/>
                <w:b w:val="false"/>
                <w:color w:val="000000"/>
                <w:sz w:val="13"/>
              </w:rPr>
              <w:t>(1)</w:t>
            </w:r>
          </w:p>
        </w:tc>
        <w:tc>
          <w:tcPr>
            <w:tcW w:w="225"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137.1 </w:t>
            </w:r>
          </w:p>
        </w:tc>
        <w:tc>
          <w:tcPr>
            <w:tcW w:w="11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97.5 </w:t>
            </w:r>
          </w:p>
        </w:tc>
        <w:tc>
          <w:tcPr>
            <w:tcW w:w="11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Average price paid per share and total cash paid for share repurchases do not include any excise tax for stock repurchases as part of the Inflation Reduction Act of 2022.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Proceeds from Federal Energy Savings Performance Contracts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part of our Technical Solutions business, we enter into energy savings performance contracts (“ESPC”) with the federal government pursuant to which we agree to develop, design, engineer, and construct a project and guarantee that the project will satisfy agreed-upon performance standards. Proceeds from ESPC projects are generally received in advance of construction through agreements to sell the ESPC receivables to unaffiliated third parties. We use the advances from the third parties under these agreements to finance the projects, which are recorded as cash flows from financing activities. The use of the cash received under these arrangements to pay project costs is classified as operating cash flows.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Effect of Inflation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rates of inflation experienced in recent years have not had a material impact on our Financial Statements. We attempt to recover increased costs by increasing prices for our services to the extent permitted by contracts and competition.</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Regulatory Environment</w:t>
      </w:r>
    </w:p>
    <w:p>
      <w:pPr>
        <w:pStyle w:val="TextBody"/>
        <w:bidi w:val="0"/>
        <w:spacing w:lineRule="auto" w:line="288" w:before="18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operations are subject to various federal, state, and/or local laws, rules, and regulations regulating among other things, labor, wages, and health and safety matters, as well as laws and regulations relating to the discharge of materials into the environment or otherwise relating to the protection of the environment. Historically, the cost of complying with these laws, rules, and regulations has not had a material adverse effect on our financial position,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 xml:space="preserve">Cash Flows </w:t>
      </w:r>
    </w:p>
    <w:p>
      <w:pPr>
        <w:pStyle w:val="TextBody"/>
        <w:bidi w:val="0"/>
        <w:spacing w:lineRule="auto" w:line="288" w:before="180" w:after="283"/>
        <w:jc w:val="both"/>
        <w:rPr>
          <w:color w:val="000000"/>
        </w:rPr>
      </w:pPr>
      <w:r>
        <w:rPr>
          <w:color w:val="000000"/>
        </w:rPr>
        <w:t>    </w:t>
      </w:r>
      <w:r>
        <w:rPr>
          <w:rFonts w:ascii="Arial;sans-serif" w:hAnsi="Arial;sans-serif"/>
          <w:b w:val="false"/>
          <w:color w:val="000000"/>
          <w:sz w:val="20"/>
        </w:rPr>
        <w:t xml:space="preserve">In addition to revenues and operating profit, our management views operating cash flows as a good indicator of financial performance, because strong operating cash flows provide opportunities for growth both organically and through acquisitions.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60350"/>
                <wp:effectExtent l="0" t="0" r="0" b="0"/>
                <wp:wrapNone/>
                <wp:docPr id="42" name="Frame34"/>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settlements. </w:t>
      </w:r>
    </w:p>
    <w:tbl>
      <w:tblPr>
        <w:tblW w:w="8114" w:type="dxa"/>
        <w:jc w:val="left"/>
        <w:tblInd w:w="0" w:type="dxa"/>
        <w:tblLayout w:type="fixed"/>
        <w:tblCellMar>
          <w:top w:w="28" w:type="dxa"/>
          <w:left w:w="28" w:type="dxa"/>
          <w:bottom w:w="28" w:type="dxa"/>
          <w:right w:w="28" w:type="dxa"/>
        </w:tblCellMar>
      </w:tblPr>
      <w:tblGrid>
        <w:gridCol w:w="1604"/>
        <w:gridCol w:w="1415"/>
        <w:gridCol w:w="1435"/>
        <w:gridCol w:w="353"/>
        <w:gridCol w:w="353"/>
        <w:gridCol w:w="176"/>
        <w:gridCol w:w="159"/>
        <w:gridCol w:w="159"/>
        <w:gridCol w:w="159"/>
        <w:gridCol w:w="351"/>
        <w:gridCol w:w="354"/>
        <w:gridCol w:w="176"/>
        <w:gridCol w:w="159"/>
        <w:gridCol w:w="159"/>
        <w:gridCol w:w="159"/>
        <w:gridCol w:w="353"/>
        <w:gridCol w:w="353"/>
        <w:gridCol w:w="237"/>
      </w:tblGrid>
      <w:tr>
        <w:trPr/>
        <w:tc>
          <w:tcPr>
            <w:tcW w:w="160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millions)</w:t>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706"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243.3 </w:t>
            </w:r>
          </w:p>
        </w:tc>
        <w:tc>
          <w:tcPr>
            <w:tcW w:w="17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7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314.3 </w:t>
            </w:r>
          </w:p>
        </w:tc>
        <w:tc>
          <w:tcPr>
            <w:tcW w:w="237"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financing activities</w:t>
            </w:r>
          </w:p>
        </w:tc>
        <w:tc>
          <w:tcPr>
            <w:tcW w:w="706"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(186.3)</w:t>
            </w:r>
          </w:p>
        </w:tc>
        <w:tc>
          <w:tcPr>
            <w:tcW w:w="17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235.5 </w:t>
            </w:r>
          </w:p>
        </w:tc>
        <w:tc>
          <w:tcPr>
            <w:tcW w:w="17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92.4 </w:t>
            </w:r>
          </w:p>
        </w:tc>
        <w:tc>
          <w:tcPr>
            <w:tcW w:w="23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
        <w:ind w:left="0" w:right="0" w:firstLine="720"/>
        <w:jc w:val="left"/>
        <w:rPr>
          <w:rFonts w:ascii="Arial;sans-serif" w:hAnsi="Arial;sans-serif"/>
          <w:b w:val="false"/>
          <w:i/>
          <w:color w:val="0046AD"/>
          <w:sz w:val="20"/>
        </w:rPr>
      </w:pPr>
      <w:r>
        <w:rPr>
          <w:rFonts w:ascii="Arial;sans-serif" w:hAnsi="Arial;sans-serif"/>
          <w:b w:val="false"/>
          <w:i/>
          <w:color w:val="0046AD"/>
          <w:sz w:val="20"/>
        </w:rPr>
        <w:t>Operating Activities</w:t>
      </w:r>
    </w:p>
    <w:p>
      <w:pPr>
        <w:pStyle w:val="TextBody"/>
        <w:bidi w:val="0"/>
        <w:spacing w:lineRule="auto" w:line="288" w:before="180" w:after="283"/>
        <w:ind w:left="0" w:right="0" w:firstLine="720"/>
        <w:jc w:val="both"/>
        <w:rPr/>
      </w:pPr>
      <w:r>
        <w:rPr>
          <w:rFonts w:ascii="Arial;sans-serif" w:hAnsi="Arial;sans-serif"/>
          <w:b w:val="false"/>
          <w:color w:val="000000"/>
          <w:sz w:val="20"/>
        </w:rPr>
        <w:t xml:space="preserve">Net cash provided by operating activities of continuing operations increased by $222.9 million during 2023, as compared to 2022. The increase was primarily driven by a $143.8 million payments made for the </w:t>
      </w:r>
      <w:r>
        <w:rPr>
          <w:rFonts w:ascii="Arial;sans-serif" w:hAnsi="Arial;sans-serif"/>
          <w:b w:val="false"/>
          <w:i/>
          <w:color w:val="000000"/>
          <w:sz w:val="20"/>
        </w:rPr>
        <w:t>Bucio</w:t>
      </w:r>
      <w:r>
        <w:rPr>
          <w:color w:val="000000"/>
        </w:rPr>
        <w:t xml:space="preserve"> </w:t>
      </w:r>
      <w:r>
        <w:rPr>
          <w:rFonts w:ascii="Arial;sans-serif" w:hAnsi="Arial;sans-serif"/>
          <w:b w:val="false"/>
          <w:color w:val="000000"/>
          <w:sz w:val="20"/>
        </w:rPr>
        <w:t xml:space="preserve">settlement in 2022, and the related </w:t>
      </w:r>
      <w:r>
        <w:rPr>
          <w:rFonts w:ascii="Arial;sans-serif" w:hAnsi="Arial;sans-serif"/>
          <w:b w:val="false"/>
          <w:color w:val="000000"/>
          <w:sz w:val="21"/>
        </w:rPr>
        <w:t>income tax benefit</w:t>
      </w:r>
      <w:r>
        <w:rPr>
          <w:rFonts w:ascii="Arial;sans-serif" w:hAnsi="Arial;sans-serif"/>
          <w:b w:val="false"/>
          <w:color w:val="000000"/>
          <w:sz w:val="20"/>
        </w:rPr>
        <w:t>.</w:t>
      </w:r>
    </w:p>
    <w:p>
      <w:pPr>
        <w:pStyle w:val="TextBody"/>
        <w:bidi w:val="0"/>
        <w:spacing w:lineRule="auto" w:line="288" w:before="180" w:after="283"/>
        <w:ind w:left="0" w:right="0" w:firstLine="720"/>
        <w:jc w:val="both"/>
        <w:rPr/>
      </w:pPr>
      <w:r>
        <w:rPr>
          <w:rFonts w:ascii="Arial;sans-serif" w:hAnsi="Arial;sans-serif"/>
          <w:b w:val="false"/>
          <w:color w:val="000000"/>
          <w:sz w:val="20"/>
        </w:rPr>
        <w:t xml:space="preserve">Net cash provided by operating activities of continuing operations decreased by $293.9 million during 2022, as compared to 2021. The decrease was primarily driven by payments made for the </w:t>
      </w:r>
      <w:r>
        <w:rPr>
          <w:rFonts w:ascii="Arial;sans-serif" w:hAnsi="Arial;sans-serif"/>
          <w:b w:val="false"/>
          <w:i/>
          <w:color w:val="000000"/>
          <w:sz w:val="20"/>
        </w:rPr>
        <w:t>Bucio</w:t>
      </w:r>
      <w:r>
        <w:rPr>
          <w:color w:val="000000"/>
        </w:rPr>
        <w:t xml:space="preserve"> </w:t>
      </w:r>
      <w:r>
        <w:rPr>
          <w:rFonts w:ascii="Arial;sans-serif" w:hAnsi="Arial;sans-serif"/>
          <w:b w:val="false"/>
          <w:color w:val="000000"/>
          <w:sz w:val="20"/>
        </w:rPr>
        <w:t>settlement, which was recorded within “Other Accrued Liabilities” in the Consolidated Balance Sheets, and deferred remittance of payroll taxes in the current year and the timing of client receivable collections and vendor payments.</w:t>
      </w:r>
    </w:p>
    <w:p>
      <w:pPr>
        <w:pStyle w:val="TextBody"/>
        <w:bidi w:val="0"/>
        <w:spacing w:lineRule="auto" w:line="288" w:before="180" w:after="12"/>
        <w:ind w:left="0" w:right="0" w:firstLine="720"/>
        <w:jc w:val="both"/>
        <w:rPr>
          <w:rFonts w:ascii="Arial;sans-serif" w:hAnsi="Arial;sans-serif"/>
          <w:b w:val="false"/>
          <w:i/>
          <w:color w:val="0046AD"/>
          <w:sz w:val="20"/>
        </w:rPr>
      </w:pPr>
      <w:r>
        <w:rPr>
          <w:rFonts w:ascii="Arial;sans-serif" w:hAnsi="Arial;sans-serif"/>
          <w:b w:val="false"/>
          <w:i/>
          <w:color w:val="0046AD"/>
          <w:sz w:val="20"/>
        </w:rPr>
        <w:t>Investing Activities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Net cash used in investing activities changed by $179.5 million during 2023, as compared to 2022. The change was primarily related to the Momentum and RavenVolt acquisitions, completed in 2022.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Net cash used in investing activities changed by $498.5 million during 2022, as compared to 2021. The change was primarily related to the Able Acquisition during the fourth quarter of 2021, partially offset by Momentum and RavenVolt acquisitions. </w:t>
      </w:r>
    </w:p>
    <w:p>
      <w:pPr>
        <w:pStyle w:val="TextBody"/>
        <w:bidi w:val="0"/>
        <w:spacing w:lineRule="auto" w:line="288" w:before="180" w:after="12"/>
        <w:ind w:left="0" w:right="0" w:firstLine="720"/>
        <w:jc w:val="both"/>
        <w:rPr>
          <w:rFonts w:ascii="Arial;sans-serif" w:hAnsi="Arial;sans-serif"/>
          <w:b w:val="false"/>
          <w:i/>
          <w:color w:val="0046AD"/>
          <w:sz w:val="20"/>
        </w:rPr>
      </w:pPr>
      <w:r>
        <w:rPr>
          <w:rFonts w:ascii="Arial;sans-serif" w:hAnsi="Arial;sans-serif"/>
          <w:b w:val="false"/>
          <w:i/>
          <w:color w:val="0046AD"/>
          <w:sz w:val="20"/>
        </w:rPr>
        <w:t xml:space="preserve">Financing Activities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Net cash used in financing activities was $186.3 million in 2023, as compared to net cash provided by financing activities of $235.5 million in 2022. The change was primarily related to a decrease in net borrowings from our Amended Credit Facility, as in 2022 we had higher borrowings to fund Momentum and RavenVolt acquisitions, and higher share repurchases in 2023.</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Net cash provided by financing activities was $235.5 million in 2022, as compared to $92.4 million in 2021, primarily due to higher net borrowings to fund acquisitions and working capital requirements.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Dividends</w:t>
      </w:r>
    </w:p>
    <w:p>
      <w:pPr>
        <w:pStyle w:val="TextBody"/>
        <w:bidi w:val="0"/>
        <w:spacing w:lineRule="auto" w:line="288" w:before="180" w:after="120"/>
        <w:ind w:left="0" w:right="0" w:firstLine="720"/>
        <w:jc w:val="both"/>
        <w:rPr>
          <w:rFonts w:ascii="Arial;sans-serif" w:hAnsi="Arial;sans-serif"/>
          <w:b w:val="false"/>
          <w:color w:val="000000"/>
          <w:sz w:val="20"/>
        </w:rPr>
      </w:pPr>
      <w:r>
        <w:rPr>
          <w:rFonts w:ascii="Arial;sans-serif" w:hAnsi="Arial;sans-serif"/>
          <w:b w:val="false"/>
          <w:color w:val="000000"/>
          <w:sz w:val="20"/>
        </w:rPr>
        <w:t>On December 13, 2023, we announced a quarterly cash dividend of $0.225 per share on our common stock, payable on February 5, 2024, to shareholders of record on January 4, 2024. We declared a quarterly cash dividend on our common stock every quarter during 2023, 2022, and 2021. We paid total annual dividends of $57.5 million, $51.9 million, and $51.0 million during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Material Cash Requirements from Contractual and Other Obligations</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October 31, 2023, our material cash requirements for our known contractual and other obligations were as follows: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i/>
          <w:color w:val="0046AD"/>
          <w:sz w:val="20"/>
        </w:rPr>
        <w:t>Debt Obligations and Interest Payments</w:t>
      </w:r>
      <w:r>
        <w:rPr>
          <w:color w:val="2F5496"/>
        </w:rPr>
        <w:t xml:space="preserve"> </w:t>
      </w:r>
      <w:r>
        <w:rPr>
          <w:color w:val="000000"/>
        </w:rPr>
        <w:t xml:space="preserve">– </w:t>
      </w:r>
      <w:r>
        <w:rPr>
          <w:rFonts w:ascii="Arial;sans-serif" w:hAnsi="Arial;sans-serif"/>
          <w:b w:val="false"/>
          <w:color w:val="000000"/>
          <w:sz w:val="20"/>
        </w:rPr>
        <w:t>Outstanding payments on our Amended Credit Facility were $1,313.8 million, with $32.5 million payable within 12 months. We have future interest payments based on our hedged borrowings under our Amended Credit Facility of $16.8 million, which is payable within 12 months. The interest payments on our remaining borrowings under the Amended Credit Facility will be determined based upon the average outstanding balance of our borrowings and the prevailing interest rate during that time. See Note 11, “Debt,” in the Financial Statements for further detail of our debt and the timing of expected future principal and interest payments.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i/>
          <w:color w:val="0046AD"/>
          <w:sz w:val="20"/>
        </w:rPr>
        <w:t>Operating and Finance Leases</w:t>
      </w:r>
      <w:r>
        <w:rPr>
          <w:color w:val="2F5496"/>
        </w:rPr>
        <w:t xml:space="preserve"> </w:t>
      </w:r>
      <w:r>
        <w:rPr>
          <w:color w:val="000000"/>
        </w:rPr>
        <w:t>–</w:t>
      </w:r>
      <w:r>
        <w:rPr>
          <w:color w:val="2F5496"/>
        </w:rPr>
        <w:t xml:space="preserve"> </w:t>
      </w:r>
      <w:r>
        <w:rPr>
          <w:rFonts w:ascii="Arial;sans-serif" w:hAnsi="Arial;sans-serif"/>
          <w:b w:val="false"/>
          <w:color w:val="000000"/>
          <w:sz w:val="20"/>
        </w:rPr>
        <w:t>We enter into various noncancelable l</w:t>
      </w:r>
      <w:r>
        <w:rPr>
          <w:rFonts w:ascii="Arial;sans-serif" w:hAnsi="Arial;sans-serif"/>
          <w:b w:val="false"/>
          <w:color w:val="000000"/>
          <w:sz w:val="20"/>
          <w:shd w:fill="FFFFFF" w:val="clear"/>
        </w:rPr>
        <w:t xml:space="preserve">ease agreements for office space, parking facilities, warehouses, vehicles, and equipment used in the normal course of business. </w:t>
      </w:r>
      <w:r>
        <w:rPr>
          <w:rFonts w:ascii="Arial;sans-serif" w:hAnsi="Arial;sans-serif"/>
          <w:b w:val="false"/>
          <w:color w:val="000000"/>
          <w:sz w:val="20"/>
        </w:rPr>
        <w:t xml:space="preserve">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60350"/>
                <wp:effectExtent l="0" t="0" r="0" b="0"/>
                <wp:wrapNone/>
                <wp:docPr id="43" name="Frame3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and finance lease obligations were $168.0 million, with $42.2 million payable within 12 months. See Note 5, “Leases,” in the Financial Statements for further detail of our obligations and the timing of expected future payments.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i/>
          <w:color w:val="0046AD"/>
          <w:sz w:val="20"/>
        </w:rPr>
        <w:t>Service Concession Arrangements</w:t>
      </w:r>
      <w:r>
        <w:rPr>
          <w:color w:val="2F5496"/>
        </w:rPr>
        <w:t xml:space="preserve"> </w:t>
      </w:r>
      <w:r>
        <w:rPr>
          <w:color w:val="000000"/>
        </w:rPr>
        <w:t>–</w:t>
      </w:r>
      <w:r>
        <w:rPr>
          <w:color w:val="2F5496"/>
        </w:rPr>
        <w:t xml:space="preserve"> </w:t>
      </w:r>
      <w:r>
        <w:rPr>
          <w:rFonts w:ascii="Arial;sans-serif" w:hAnsi="Arial;sans-serif"/>
          <w:b w:val="false"/>
          <w:color w:val="000000"/>
          <w:sz w:val="20"/>
        </w:rPr>
        <w:t xml:space="preserve">As defined under Topic 853, </w:t>
      </w:r>
      <w:r>
        <w:rPr>
          <w:rFonts w:ascii="Arial;sans-serif" w:hAnsi="Arial;sans-serif"/>
          <w:b w:val="false"/>
          <w:i/>
          <w:color w:val="000000"/>
          <w:sz w:val="20"/>
        </w:rPr>
        <w:t>Service Concession Arrangements</w:t>
      </w:r>
      <w:r>
        <w:rPr>
          <w:rFonts w:ascii="Arial;sans-serif" w:hAnsi="Arial;sans-serif"/>
          <w:b w:val="false"/>
          <w:color w:val="000000"/>
          <w:sz w:val="20"/>
        </w:rPr>
        <w:t xml:space="preserve">, our leased location parking arrangements are represented as service concession arrangements. We had contractual payments for these arrangements of $88.2 million, with $25.0 million payable within 12 months.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i/>
          <w:color w:val="0046AD"/>
          <w:sz w:val="20"/>
        </w:rPr>
        <w:t>Information Technology Service Agreement</w:t>
      </w:r>
      <w:r>
        <w:rPr>
          <w:rFonts w:ascii="Arial;sans-serif" w:hAnsi="Arial;sans-serif"/>
          <w:b w:val="false"/>
          <w:i/>
          <w:color w:val="2F5496"/>
          <w:sz w:val="20"/>
        </w:rPr>
        <w:t>s</w:t>
      </w:r>
      <w:r>
        <w:rPr>
          <w:color w:val="000000"/>
        </w:rPr>
        <w:t xml:space="preserve"> – </w:t>
      </w:r>
      <w:r>
        <w:rPr>
          <w:rFonts w:ascii="Arial;sans-serif" w:hAnsi="Arial;sans-serif"/>
          <w:b w:val="false"/>
          <w:color w:val="000000"/>
          <w:sz w:val="20"/>
        </w:rPr>
        <w:t>Information technology service agreements represent outsourced services and licensing costs pursuant to our information technology agreements. We had contractual payments for these agreements of $122.4 million, with $41.0 million payable within 12 months.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i/>
          <w:color w:val="0046AD"/>
          <w:sz w:val="20"/>
        </w:rPr>
        <w:t>Benefit Obligations</w:t>
      </w:r>
      <w:r>
        <w:rPr>
          <w:color w:val="000000"/>
        </w:rPr>
        <w:t xml:space="preserve"> – </w:t>
      </w:r>
      <w:r>
        <w:rPr>
          <w:rFonts w:ascii="Arial;sans-serif" w:hAnsi="Arial;sans-serif"/>
          <w:b w:val="false"/>
          <w:color w:val="000000"/>
          <w:sz w:val="20"/>
        </w:rPr>
        <w:t>Expected future payments relating to our defined benefit, postretirement, and deferred compensation plans were $38.2 million, with $3.3 million payable in 12 months. These amounts are based on expected future service and were calculated using the same assumptions used to measure our benefit obligation at October 31, 2023.</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addition, our material cash requirements for other obligations, for which we cannot reasonably estimate future payments, include the following:</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i/>
          <w:color w:val="0046AD"/>
          <w:sz w:val="20"/>
        </w:rPr>
        <w:t>Multiemployer Benefit Plans</w:t>
      </w:r>
      <w:r>
        <w:rPr>
          <w:color w:val="2F5496"/>
        </w:rPr>
        <w:t xml:space="preserve"> </w:t>
      </w:r>
      <w:r>
        <w:rPr>
          <w:color w:val="000000"/>
        </w:rPr>
        <w:t xml:space="preserve">– </w:t>
      </w:r>
      <w:r>
        <w:rPr>
          <w:rFonts w:ascii="Arial;sans-serif" w:hAnsi="Arial;sans-serif"/>
          <w:b w:val="false"/>
          <w:color w:val="000000"/>
          <w:sz w:val="20"/>
        </w:rPr>
        <w:t>In addition to our company sponsored benefit plans, we participate in certain multiemployer pension and other postretirement plans. The cost of these plans is equal to the annual required contributions determined in accordance with the provisions of negotiated collective bargaining arrangements. During 2023, 2022, and 2021, contributions made to these plans were $574.6 million, $555.1 million, and $348.8 million, respectively; however, our future contributions to the multiemployer plans are dependent upon a number of factors, including the funded status of the plans, the ability of other participating companies to meet ongoing funding obligations, and the level of our ongoing participation in these plans. Amounts of future contributions that we would be contractually obligated to make pursuant to these plans cannot be reasonably estimated. See Note 12, “Employee Benefit Plans,” in the Financial Statements for more information.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i/>
          <w:color w:val="0046AD"/>
          <w:sz w:val="20"/>
        </w:rPr>
        <w:t>Self-Insurance Obligations</w:t>
      </w:r>
      <w:r>
        <w:rPr>
          <w:color w:val="000000"/>
        </w:rPr>
        <w:t xml:space="preserve"> – </w:t>
      </w:r>
      <w:r>
        <w:rPr>
          <w:rFonts w:ascii="Arial;sans-serif" w:hAnsi="Arial;sans-serif"/>
          <w:b w:val="false"/>
          <w:color w:val="000000"/>
          <w:sz w:val="20"/>
        </w:rPr>
        <w:t xml:space="preserve">We may make payments for exposures for which we are self-insured, including workers’ compensation, general liability, automobile liability, property damage, and other insurable risks. At October 31, 2023, our self-insurance reserves, net of recoverables, were $487.9 million. As these obligations do not have scheduled maturities, we are unable to make a reliable estimate of the amount or timing of cash that may be required to settle these matters. See Note 10, “Insurance,” in the Financial Statements for further detail.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i/>
          <w:color w:val="0046AD"/>
          <w:sz w:val="20"/>
        </w:rPr>
        <w:t>Unrecognized Tax Benefits</w:t>
      </w:r>
      <w:r>
        <w:rPr>
          <w:color w:val="000000"/>
        </w:rPr>
        <w:t xml:space="preserve"> – </w:t>
      </w:r>
      <w:r>
        <w:rPr>
          <w:rFonts w:ascii="Arial;sans-serif" w:hAnsi="Arial;sans-serif"/>
          <w:b w:val="false"/>
          <w:color w:val="000000"/>
          <w:sz w:val="20"/>
        </w:rPr>
        <w:t>At October 31, 2023, our total liability for unrecognized tax benefits was $11.6 million. The resolution or settlement of these tax positions with the taxing authorities is subject to significant uncertainty, and therefore we are unable to make a reliable estimate of the amount or timing of cash that may be required to settle these matters. In addition, certain of these matters may not require cash settlements due to the utilization of credits and net operating loss carryforwards as well as other offsets, including the indirect benefit from other taxing jurisdictions that may be available.</w:t>
      </w:r>
    </w:p>
    <w:p>
      <w:pPr>
        <w:pStyle w:val="TextBody"/>
        <w:bidi w:val="0"/>
        <w:spacing w:before="0" w:after="0"/>
        <w:jc w:val="both"/>
        <w:rPr/>
      </w:pPr>
      <w:r>
        <w:rPr/>
      </w:r>
    </w:p>
    <w:p>
      <w:pPr>
        <w:pStyle w:val="TextBody"/>
        <w:bidi w:val="0"/>
        <w:spacing w:lineRule="auto" w:line="256" w:before="0" w:after="0"/>
        <w:ind w:left="0" w:right="0" w:hanging="360"/>
        <w:jc w:val="both"/>
        <w:rPr/>
      </w:pPr>
      <w:r>
        <w:rPr>
          <w:color w:val="0046AD"/>
        </w:rPr>
        <w:t>•</w:t>
      </w:r>
      <w:r>
        <w:rPr>
          <w:rFonts w:ascii="Arial;sans-serif" w:hAnsi="Arial;sans-serif"/>
          <w:b w:val="false"/>
          <w:i/>
          <w:color w:val="0046AD"/>
          <w:sz w:val="20"/>
        </w:rPr>
        <w:t xml:space="preserve">Contingent Consideration Payable in Connection with Our Acquisition of RavenVolt </w:t>
      </w:r>
      <w:r>
        <w:rPr>
          <w:color w:val="000000"/>
        </w:rPr>
        <w:t xml:space="preserve">– </w:t>
      </w:r>
      <w:r>
        <w:rPr>
          <w:rFonts w:ascii="Arial;sans-serif" w:hAnsi="Arial;sans-serif"/>
          <w:b w:val="false"/>
          <w:color w:val="000000"/>
          <w:sz w:val="20"/>
        </w:rPr>
        <w:t>At October 31, 2023, contingent consideration of up to $280.0 million in cash may be paid in calendar years 2024, 2025, and 2026, if the RavenVolt business achieves certain financial targets, as defined in the merger agreement, in calendar years 2023, 2024, and 2025</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We do not expect the RavenVolt business to achieve the aforementioned financial targets for calendar year 2023, and as such, we do not expect contingent consideration to be payable in the next 12 months.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Off-Balance Sheet Arrangements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no off-balance sheet arrangements other than unrecorded standby letters of credit and surety bonds. We use letters of credit and surety bonds in the ordinary course of business to ensure the performance of contractual obligations and to collateralize self-insurance obligations in the event we are unable to meet our claim payment obligations. As we already have reserves on our books for the claims costs, these do not represent additional liabilities. The surety bonds typically remain in force for one to five years and may include optional renewal periods. As of October 31, 2023, these letters of credit totaled $58.2 million, and surety bonds and surety-backed letters of credit totaled $776.2 million, respectively. Neither of these arrangements has a material current effect, or is reasonably likely to have a material future effect, on our financial condition, revenues or expenses, results of operations, liquidity, capital expenditures, or capital resources.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60350"/>
                <wp:effectExtent l="0" t="0" r="0" b="0"/>
                <wp:wrapNone/>
                <wp:docPr id="44" name="Frame36"/>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46AD"/>
          <w:sz w:val="20"/>
        </w:rPr>
      </w:pPr>
      <w:r>
        <w:rPr>
          <w:rFonts w:ascii="Arial;sans-serif" w:hAnsi="Arial;sans-serif"/>
          <w:b/>
          <w:color w:val="0046AD"/>
          <w:sz w:val="20"/>
        </w:rPr>
        <w:t>Critical Accounting Policies and Estimates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op w:val="single" w:sz="8" w:space="0" w:color="E983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firstLine="720"/>
        <w:jc w:val="both"/>
        <w:rPr>
          <w:rFonts w:ascii="Arial;sans-serif" w:hAnsi="Arial;sans-serif"/>
          <w:b w:val="false"/>
          <w:color w:val="000000"/>
          <w:sz w:val="20"/>
        </w:rPr>
      </w:pPr>
      <w:r>
        <w:rPr>
          <w:rFonts w:ascii="Arial;sans-serif" w:hAnsi="Arial;sans-serif"/>
          <w:b w:val="false"/>
          <w:color w:val="000000"/>
          <w:sz w:val="20"/>
        </w:rPr>
        <w:t>The preparation of consolidated financial statements in accordance with United States generally accepted accounting principles (“U.S. GAAP”) requires our management to make certain estimates that affect the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 We removed “Contingent Consideration” from our critical accounting policies and estimates in 2023. There have been no other significant changes to our critical accounting policies and estimates for the year ended October 31, 2023. We believe the following critical accounting policies govern the more significant judgments and estimates used in the preparation of our Financial Statements.</w:t>
      </w:r>
    </w:p>
    <w:p>
      <w:pPr>
        <w:pStyle w:val="TextBody"/>
        <w:bidi w:val="0"/>
        <w:spacing w:before="18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60350"/>
                <wp:effectExtent l="0" t="0" r="0" b="0"/>
                <wp:wrapNone/>
                <wp:docPr id="45" name="Frame3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30"/>
        <w:gridCol w:w="1523"/>
        <w:gridCol w:w="1535"/>
        <w:gridCol w:w="109"/>
        <w:gridCol w:w="109"/>
        <w:gridCol w:w="109"/>
        <w:gridCol w:w="872"/>
        <w:gridCol w:w="727"/>
        <w:gridCol w:w="728"/>
        <w:gridCol w:w="109"/>
        <w:gridCol w:w="109"/>
        <w:gridCol w:w="109"/>
        <w:gridCol w:w="712"/>
        <w:gridCol w:w="712"/>
        <w:gridCol w:w="1012"/>
      </w:tblGrid>
      <w:tr>
        <w:trPr/>
        <w:tc>
          <w:tcPr>
            <w:tcW w:w="1730"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47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Judgments and Uncertainties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Effect if Actual Results Differ from Assumptions</w:t>
            </w:r>
          </w:p>
        </w:tc>
      </w:tr>
      <w:tr>
        <w:trPr/>
        <w:tc>
          <w:tcPr>
            <w:tcW w:w="4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left"/>
              <w:rPr>
                <w:rFonts w:ascii="Arial;sans-serif" w:hAnsi="Arial;sans-serif"/>
                <w:b/>
                <w:color w:val="000000"/>
                <w:sz w:val="17"/>
              </w:rPr>
            </w:pPr>
            <w:r>
              <w:rPr>
                <w:rFonts w:ascii="Arial;sans-serif" w:hAnsi="Arial;sans-serif"/>
                <w:b/>
                <w:color w:val="000000"/>
                <w:sz w:val="17"/>
              </w:rPr>
              <w:t>Valuation of Long-Lived Assets</w:t>
            </w:r>
          </w:p>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 xml:space="preserve">We evaluate our fixed assets and amortizable intangible assets for impairment whenever events or changes in circumstances indicate that the carrying amount of such assets may not be recoverable. These events and circumstances include, but are not limited to: higher than expected attrition for customer relationships; a current expectation that a long-lived asset will be disposed of significantly before the end of its previously estimated useful life, such as when we classify a business as held for sale; a significant adverse change in the extent or manner in which we use a long-lived asset; or a change in the physical condition of a long-lived asset. Undiscounted cash flow analyses are used to determine if impairment exists; if impairment is determined to exist, the loss is calculated based on estimated fair value. Goodwill is not amortized but rather tested at least annually for impairment or more often if events or changes in circumstances indicate it is more likely than not that the carrying amount of the asset may not be recoverable. Goodwill is tested for impairment at the reporting unit level, which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of our reporting units and instead perform a quantitative impairment test.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 xml:space="preserve">Our impairment evaluations require us to apply judgment in determining whether a triggering event has occurred, including the evaluation of whether it is more likely than not that a long-lived asset will be disposed of significantly before the end of its previously estimated useful life. Incorrect estimation of useful lives may result in inaccurate depreciation and amortization charges over future periods leading, to future impairment. </w:t>
            </w:r>
          </w:p>
          <w:p>
            <w:pPr>
              <w:pStyle w:val="TableContents"/>
              <w:bidi w:val="0"/>
              <w:spacing w:lineRule="auto" w:line="240" w:before="60" w:after="283"/>
              <w:jc w:val="left"/>
              <w:rPr>
                <w:rFonts w:ascii="Arial;sans-serif" w:hAnsi="Arial;sans-serif"/>
                <w:b w:val="false"/>
                <w:color w:val="000000"/>
                <w:sz w:val="17"/>
              </w:rPr>
            </w:pPr>
            <w:r>
              <w:rPr>
                <w:rFonts w:ascii="Arial;sans-serif" w:hAnsi="Arial;sans-serif"/>
                <w:b w:val="false"/>
                <w:color w:val="000000"/>
                <w:sz w:val="17"/>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pStyle w:val="TableContents"/>
              <w:bidi w:val="0"/>
              <w:spacing w:lineRule="auto" w:line="240" w:before="60" w:after="283"/>
              <w:jc w:val="left"/>
              <w:rPr>
                <w:rFonts w:ascii="Arial;sans-serif" w:hAnsi="Arial;sans-serif"/>
                <w:b w:val="false"/>
                <w:color w:val="000000"/>
                <w:sz w:val="17"/>
              </w:rPr>
            </w:pPr>
            <w:r>
              <w:rPr>
                <w:rFonts w:ascii="Arial;sans-serif" w:hAnsi="Arial;sans-serif"/>
                <w:b w:val="false"/>
                <w:color w:val="000000"/>
                <w:sz w:val="17"/>
              </w:rPr>
              <w:t>We estimate the fair value of each reporting unit using a combination of the income approach and the market approach.</w:t>
            </w:r>
          </w:p>
          <w:p>
            <w:pPr>
              <w:pStyle w:val="TableContents"/>
              <w:bidi w:val="0"/>
              <w:spacing w:lineRule="auto" w:line="240" w:before="60" w:after="283"/>
              <w:jc w:val="left"/>
              <w:rPr>
                <w:rFonts w:ascii="Arial;sans-serif" w:hAnsi="Arial;sans-serif"/>
                <w:b w:val="false"/>
                <w:color w:val="000000"/>
                <w:sz w:val="17"/>
              </w:rPr>
            </w:pPr>
            <w:r>
              <w:rPr>
                <w:rFonts w:ascii="Arial;sans-serif" w:hAnsi="Arial;sans-serif"/>
                <w:b w:val="false"/>
                <w:color w:val="000000"/>
                <w:sz w:val="17"/>
              </w:rPr>
              <w:t xml:space="preserve">The income approach incorporates the use of a discounted cash flow method in which the estimated future cash flows and terminal value are calculated for each reporting unit and then discounted to present value using an appropriate discount rate. </w:t>
            </w:r>
          </w:p>
          <w:p>
            <w:pPr>
              <w:pStyle w:val="TableContents"/>
              <w:bidi w:val="0"/>
              <w:spacing w:lineRule="auto" w:line="240" w:before="60" w:after="283"/>
              <w:jc w:val="left"/>
              <w:rPr>
                <w:rFonts w:ascii="Arial;sans-serif" w:hAnsi="Arial;sans-serif"/>
                <w:b w:val="false"/>
                <w:color w:val="000000"/>
                <w:sz w:val="17"/>
              </w:rPr>
            </w:pPr>
            <w:r>
              <w:rPr>
                <w:rFonts w:ascii="Arial;sans-serif" w:hAnsi="Arial;sans-serif"/>
                <w:b w:val="false"/>
                <w:color w:val="000000"/>
                <w:sz w:val="17"/>
              </w:rPr>
              <w:t>The valuation of our reporting units requires significant judgment in evaluation of recent indicators of market activity and estimated future cash flows, discount rates, and other factors. Our impairment analyses contain inherent uncertainties due to uncontrollable events that could positively or negatively impact anticipated future economic and operating conditions.</w:t>
            </w:r>
          </w:p>
          <w:p>
            <w:pPr>
              <w:pStyle w:val="TableContents"/>
              <w:bidi w:val="0"/>
              <w:spacing w:lineRule="auto" w:line="240" w:before="60" w:after="283"/>
              <w:jc w:val="left"/>
              <w:rPr>
                <w:rFonts w:ascii="Arial;sans-serif" w:hAnsi="Arial;sans-serif"/>
                <w:b w:val="false"/>
                <w:color w:val="000000"/>
                <w:sz w:val="17"/>
              </w:rPr>
            </w:pPr>
            <w:r>
              <w:rPr>
                <w:rFonts w:ascii="Arial;sans-serif" w:hAnsi="Arial;sans-serif"/>
                <w:b w:val="false"/>
                <w:color w:val="000000"/>
                <w:sz w:val="17"/>
              </w:rPr>
              <w:t xml:space="preserve">In making these estimates, the weighted-average cost of capital is utilized to calculate the present value of future cash flows and terminal value. Many variables go into estimating future cash flows, including estimates of our future revenue growth and operating results. When estimating our projected revenue growth and future operating results, we consider industry trends, economic data, and our competitive advantage. </w:t>
            </w:r>
          </w:p>
          <w:p>
            <w:pPr>
              <w:pStyle w:val="TableContents"/>
              <w:bidi w:val="0"/>
              <w:spacing w:lineRule="auto" w:line="240" w:before="60" w:after="283"/>
              <w:jc w:val="left"/>
              <w:rPr>
                <w:rFonts w:ascii="Arial;sans-serif" w:hAnsi="Arial;sans-serif"/>
                <w:b w:val="false"/>
                <w:color w:val="000000"/>
                <w:sz w:val="17"/>
              </w:rPr>
            </w:pPr>
            <w:r>
              <w:rPr>
                <w:rFonts w:ascii="Arial;sans-serif" w:hAnsi="Arial;sans-serif"/>
                <w:b w:val="false"/>
                <w:color w:val="000000"/>
                <w:sz w:val="17"/>
              </w:rPr>
              <w:t>The market approach estimates fair value of a reporting unit by using market comparables for reasonably similar public companies.</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During the last three years, we have not made any changes in the accounting methodology used to evaluate the impairment of long-lived assets or to estimate the useful lives of our long-lived assets. Additionally, we have not made any changes in the accounting methodology used to evaluate impairment of goodwill during the last three years.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At October 31, 2023, we had $2.5 billion of goodwill. Our goodwill is included in the following segments: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 xml:space="preserve">$1.1 billion — B&amp;I </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$502.2 million — M&amp;D</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$459.3 million — Education</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$69.0 million — Aviation</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 xml:space="preserve">$368.0 million — Technical Solutions </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A goodwill impairment analysis was performed for each of our reporting units on August 1, 2023. Based on these studies, the implied fair value of each of our reporting units was substantially in excess of its carrying value, with the exception of the Education reporting unit, where the excess of the fair value over its carrying value was less than 20%. A 10% decrease in the estimated fair value of any of our reporting units would not have resulted in a different conclusion. We concluded there were no indicators of impairment.</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During the third quarter of 2021, we recognized a non-cash impairment charge totaling $9.1 million in our Corporate segment for previously capitalized internal-use software related to our ERP system implementation. The Company determined that certain components that were previously developed would no longer be integrated into the new ERP system. The impairment charge reduced the carrying value to zero for those components.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60350"/>
                <wp:effectExtent l="0" t="0" r="0" b="0"/>
                <wp:wrapNone/>
                <wp:docPr id="46" name="Frame38"/>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60350"/>
                <wp:effectExtent l="0" t="0" r="0" b="0"/>
                <wp:wrapNone/>
                <wp:docPr id="47" name="Frame3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17"/>
        <w:gridCol w:w="1131"/>
        <w:gridCol w:w="938"/>
        <w:gridCol w:w="109"/>
        <w:gridCol w:w="109"/>
        <w:gridCol w:w="109"/>
        <w:gridCol w:w="906"/>
        <w:gridCol w:w="864"/>
        <w:gridCol w:w="866"/>
        <w:gridCol w:w="109"/>
        <w:gridCol w:w="109"/>
        <w:gridCol w:w="109"/>
        <w:gridCol w:w="1042"/>
        <w:gridCol w:w="1028"/>
        <w:gridCol w:w="1459"/>
      </w:tblGrid>
      <w:tr>
        <w:trPr/>
        <w:tc>
          <w:tcPr>
            <w:tcW w:w="131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3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Judgments and Uncertainties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Effect if Actual Results Differ from Assumptions</w:t>
            </w:r>
          </w:p>
        </w:tc>
      </w:tr>
      <w:tr>
        <w:trPr/>
        <w:tc>
          <w:tcPr>
            <w:tcW w:w="3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Insurance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We use a combination of insured and self-insurance programs to cover workers’ compensation, general liability, automobile liability, property damage, and other insurable risks. </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Insurance claim liabilities represent our estimate of retained risks without regard to insurance coverage. We retain a substantial portion of the risk related to certain workers’ compensation and medical claims. Liabilities associated with these losses include estimates of both claims filed and IBNR Claims.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With the assistance of third-party actuaries, we periodically review our estimate of ultimate losses for IBNR Claims and adjust our required self-insurance reserves as appropriate. As part of this evaluation, we review the status of existing and new claim reserves as established by our third-party claims administrators. </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third-party claims administrators establish the case reserves based upon known factors related to the type and severity of the claims, demographic data, legislative matters, and case law, as appropriate. </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We compare actual trends to expected trends and monitor claims development. </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The specific case reserves estimated by the third-party administrators are provided to an actuary who assists us in projecting an actuarial estimate of the overall ultimate losses for our self-insured or high deductible programs. The projection includes the case reserves plus an actuarial estimate of reserves required for additional developments, including IBNR Claims. </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We utilize the results of actuarial studies to estimate our insurance rates and insurance reserves for future periods and to adjust reserves, if appropriate, for prior years.</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val="false"/>
                <w:color w:val="000000"/>
                <w:sz w:val="18"/>
              </w:rPr>
              <w:t xml:space="preserve">Our self-insurance liabilities contain uncertainties due to assumptions required and judgment used. </w:t>
              <w:br/>
            </w:r>
            <w:r>
              <w:rPr>
                <w:rFonts w:ascii="Arial;sans-serif" w:hAnsi="Arial;sans-serif"/>
                <w:b w:val="false"/>
                <w:sz w:val="18"/>
              </w:rPr>
              <w:br/>
            </w:r>
            <w:r>
              <w:rPr>
                <w:rFonts w:ascii="Arial;sans-serif" w:hAnsi="Arial;sans-serif"/>
                <w:b w:val="false"/>
                <w:color w:val="000000"/>
                <w:sz w:val="18"/>
              </w:rPr>
              <w:t xml:space="preserve">Costs to settle our obligations, including legal and healthcare costs, could fluctuate and cause estimates of our self-insurance liabilities to change. </w:t>
              <w:br/>
            </w:r>
            <w:r>
              <w:rPr>
                <w:rFonts w:ascii="Arial;sans-serif" w:hAnsi="Arial;sans-serif"/>
                <w:b w:val="false"/>
                <w:sz w:val="18"/>
              </w:rPr>
              <w:br/>
            </w:r>
            <w:r>
              <w:rPr>
                <w:rFonts w:ascii="Arial;sans-serif" w:hAnsi="Arial;sans-serif"/>
                <w:b w:val="false"/>
                <w:color w:val="000000"/>
                <w:sz w:val="18"/>
              </w:rPr>
              <w:t>Incident rates, including frequency and severity, could fluctuate and cause the estimates in our self-insurance liabilities to change.</w:t>
              <w:br/>
            </w:r>
            <w:r>
              <w:rPr>
                <w:rFonts w:ascii="Arial;sans-serif" w:hAnsi="Arial;sans-serif"/>
                <w:b w:val="false"/>
                <w:sz w:val="18"/>
              </w:rPr>
              <w:br/>
            </w:r>
            <w:r>
              <w:rPr>
                <w:rFonts w:ascii="Arial;sans-serif" w:hAnsi="Arial;sans-serif"/>
                <w:b w:val="false"/>
                <w:color w:val="000000"/>
                <w:sz w:val="18"/>
              </w:rPr>
              <w:t>These estimates are subject to: changes in the regulatory environment; fluctuations in projected exposures, including payroll, revenues, and the number of vehicle units; and the frequency, lag, and severity of claims.</w:t>
              <w:br/>
              <w:t xml:space="preserve">The full extent of certain claims, especially workers’ compensation and general liability claims, may not be fully determined for several years. </w:t>
              <w:br/>
            </w:r>
            <w:r>
              <w:rPr>
                <w:rFonts w:ascii="Arial;sans-serif" w:hAnsi="Arial;sans-serif"/>
                <w:b w:val="false"/>
                <w:sz w:val="18"/>
              </w:rPr>
              <w:br/>
            </w:r>
            <w:r>
              <w:rPr>
                <w:rFonts w:ascii="Arial;sans-serif" w:hAnsi="Arial;sans-serif"/>
                <w:b w:val="false"/>
                <w:color w:val="000000"/>
                <w:sz w:val="18"/>
              </w:rPr>
              <w:t>In addition, if the reserves related to self-insurance or high deductible programs from acquired businesses are not adequate to cover damages resulting from future accidents or other incidents, we may be exposed to substantial losses arising from future claim developments.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We have not made any changes in the accounting methodology used to establish our self-insurance liabilities during the past three years.</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After analyzing recent loss development patterns, comparing the loss development patterns against benchmarks, and applying actuarial projection methods to estimate the ultimate losses, we decreased our total reserves related to prior years known claims as well as our estimate of the loss amounts associated with IBNR Claims during 2023 by $14.8 million. In 2022, we decreased our total reserves related to prior years claims by $36.8 million.</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It is possible that actual results could differ from recorded self-insurance liabilities. A 10% change in our projected ultimate losses would have affected net income by approximately $35.1 million for 2023.</w:t>
            </w:r>
          </w:p>
          <w:p>
            <w:pPr>
              <w:pStyle w:val="TableContents"/>
              <w:bidi w:val="0"/>
              <w:spacing w:before="0" w:after="0"/>
              <w:jc w:val="left"/>
              <w:rPr/>
            </w:pPr>
            <w:r>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60350"/>
                <wp:effectExtent l="0" t="0" r="0" b="0"/>
                <wp:wrapNone/>
                <wp:docPr id="48" name="Frame40"/>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192" w:before="180" w:after="180"/>
        <w:jc w:val="left"/>
        <w:rPr>
          <w:rFonts w:ascii="Arial;sans-serif" w:hAnsi="Arial;sans-serif"/>
          <w:b/>
          <w:color w:val="0046AD"/>
          <w:sz w:val="20"/>
        </w:rPr>
      </w:pPr>
      <w:r>
        <w:rPr>
          <w:rFonts w:ascii="Arial;sans-serif" w:hAnsi="Arial;sans-serif"/>
          <w:b/>
          <w:color w:val="0046AD"/>
          <w:sz w:val="20"/>
        </w:rPr>
        <w:t>Accounting Pronouncements</w:t>
      </w:r>
    </w:p>
    <w:tbl>
      <w:tblPr>
        <w:tblW w:w="10205" w:type="dxa"/>
        <w:jc w:val="left"/>
        <w:tblInd w:w="0" w:type="dxa"/>
        <w:tblLayout w:type="fixed"/>
        <w:tblCellMar>
          <w:top w:w="28" w:type="dxa"/>
          <w:left w:w="28" w:type="dxa"/>
          <w:bottom w:w="28" w:type="dxa"/>
          <w:right w:w="28" w:type="dxa"/>
        </w:tblCellMar>
      </w:tblPr>
      <w:tblGrid>
        <w:gridCol w:w="429"/>
        <w:gridCol w:w="377"/>
        <w:gridCol w:w="378"/>
        <w:gridCol w:w="109"/>
        <w:gridCol w:w="109"/>
        <w:gridCol w:w="109"/>
        <w:gridCol w:w="775"/>
        <w:gridCol w:w="506"/>
        <w:gridCol w:w="512"/>
        <w:gridCol w:w="109"/>
        <w:gridCol w:w="109"/>
        <w:gridCol w:w="109"/>
        <w:gridCol w:w="1307"/>
        <w:gridCol w:w="1293"/>
        <w:gridCol w:w="1306"/>
        <w:gridCol w:w="109"/>
        <w:gridCol w:w="109"/>
        <w:gridCol w:w="109"/>
        <w:gridCol w:w="823"/>
        <w:gridCol w:w="625"/>
        <w:gridCol w:w="893"/>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Accounting Standard Updates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Topic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Summary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Effective Date/</w:t>
              <w:br/>
              <w:t>Method of Adoption</w:t>
            </w:r>
          </w:p>
        </w:tc>
      </w:tr>
      <w:tr>
        <w:trPr/>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2022-04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Liabilities - Supplier Finance Programs (Subtopic 405-50): Disclosure of Supplier Finance Program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val="false"/>
                <w:color w:val="000000"/>
                <w:sz w:val="18"/>
              </w:rPr>
              <w:t xml:space="preserve">This Accounting Standard Update (“ASU”), issued in September 2022, is designed to enhance transparency around supplier finance programs by requiring new disclosures that would allow a user of the financial statements to understand the program’s nature, activity during the period, changes from period to period, and potential magnitude. </w:t>
              <w:br/>
            </w:r>
            <w:r>
              <w:rPr>
                <w:rFonts w:ascii="Arial;sans-serif" w:hAnsi="Arial;sans-serif"/>
                <w:b w:val="false"/>
                <w:sz w:val="18"/>
              </w:rPr>
              <w:br/>
            </w:r>
            <w:r>
              <w:rPr>
                <w:rFonts w:ascii="Arial;sans-serif" w:hAnsi="Arial;sans-serif"/>
                <w:b w:val="false"/>
                <w:color w:val="000000"/>
                <w:sz w:val="18"/>
              </w:rPr>
              <w:t>While we are currently evaluating the impact of implementing this guidance on our financial statements, we do not expect adoption to have a material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This ASU is effective for fiscal years beginning after December 15, 2022, including interim periods within those fiscal years, except for the amendment on rollforward information, which is effective for fiscal years beginning after December 15, 2023. Early adoption is permitted.</w:t>
            </w:r>
          </w:p>
        </w:tc>
      </w:tr>
      <w:tr>
        <w:trPr/>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2023-07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Segment Reporting (Topic 280): Improvements to Reportable Segment Disclosures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This ASU, issued in November 2023, improves reportable segment disclosure requirements, primarily through enhanced disclosures about significant segment expenses. This ASU requires disclosure, on an annual and interim basis, of significant segment expenses that are regularly provided to the chief operating decision maker, and an amount for other segment items by reportable segment, with a description of its composition. We are currently evaluating the impact of implementing this guidance on our financial statements; however, we do not expect adoption to have a material impact.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This ASU is effective for fiscal years beginning after December 15, 2023, and interim periods within fiscal years beginning after December 15, 2024, with early adoption permitted.</w:t>
            </w:r>
          </w:p>
        </w:tc>
      </w:tr>
    </w:tbl>
    <w:p>
      <w:pPr>
        <w:pStyle w:val="TextBody"/>
        <w:bidi w:val="0"/>
        <w:spacing w:before="0" w:after="0"/>
        <w:jc w:val="center"/>
        <w:rPr/>
      </w:pPr>
      <w:r>
        <w:rPr/>
      </w:r>
    </w:p>
    <w:p>
      <w:pPr>
        <w:pStyle w:val="TextBody"/>
        <w:bidi w:val="0"/>
        <w:spacing w:before="18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60350"/>
                <wp:effectExtent l="0" t="0" r="0" b="0"/>
                <wp:wrapNone/>
                <wp:docPr id="49" name="Frame4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ITEM 7A. QUANTITATIVE AND QUALITATIVE DISCLOSURES ABOUT MARKET RISK.</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have market risk exposure related to interest rates and foreign currency exchange rates. Market risk is measured as the potential negative impact on earnings, cash flows, or fair values resulting from a hypothetical change in interest rates or foreign currency exchange rates.</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Interest Rate Risk</w:t>
      </w:r>
    </w:p>
    <w:p>
      <w:pPr>
        <w:pStyle w:val="TextBody"/>
        <w:bidi w:val="0"/>
        <w:spacing w:lineRule="auto" w:line="288" w:before="180" w:after="283"/>
        <w:ind w:left="0" w:right="0" w:firstLine="720"/>
        <w:jc w:val="both"/>
        <w:rPr/>
      </w:pPr>
      <w:r>
        <w:rPr>
          <w:rFonts w:ascii="Arial;sans-serif" w:hAnsi="Arial;sans-serif"/>
          <w:b w:val="false"/>
          <w:color w:val="000000"/>
          <w:sz w:val="20"/>
        </w:rPr>
        <w:t xml:space="preserve">We are primarily exposed to interest rate risk through our variable rate borrowings under our Amended Credit Facility, as further described in </w:t>
      </w:r>
      <w:hyperlink w:anchor="ic200b63e1e39483a9921aa57a67e426d_145">
        <w:r>
          <w:rPr>
            <w:rStyle w:val="InternetLink"/>
            <w:rFonts w:ascii="Arial;sans-serif" w:hAnsi="Arial;sans-serif"/>
            <w:b w:val="false"/>
            <w:color w:val="0000FF"/>
            <w:sz w:val="20"/>
            <w:u w:val="single"/>
          </w:rPr>
          <w:t>Note 11</w:t>
        </w:r>
      </w:hyperlink>
      <w:r>
        <w:rPr>
          <w:rFonts w:ascii="Arial;sans-serif" w:hAnsi="Arial;sans-serif"/>
          <w:b w:val="false"/>
          <w:color w:val="000000"/>
          <w:sz w:val="20"/>
        </w:rPr>
        <w:t>, “Debt,” in the Financial Statements. Under the Amended Credit Facility, the term loan and U.S.-dollar-denominated borrowings under the revolver bear interest at a rate equal to one-month SOFR plus a spread. Euro- and sterling-denominated borrowings under the revolver bear at rate equal to the EURIBOR and SONIA reference rates, respectively, plus a spread. At October 31, 2023, we had total outstanding borrowings of $1,313.8 million. To limit exposure to upward movements in interest rates associated with our floating-rate, SOFR-based borrowings, we entered into interest rate swap agreements to fix the interest rates on a portion of our outstanding borrowings. At October 31, 2023, we had interest rate swaps with an underlying notional amount of $820.1 million and fixed interest rates ranging from 1.72% to 3.81%. Based on our average borrowings, interest rates, and interest rate swaps in effect at October 31, 2023 and 2022, a 100 basis point increase in SOFR, EURIBOR, and SONIA would decrease our future earnings and cash flows by $5.4 million and $5.2 million, respectively. As actual interest rate movements over time are uncertain, our interest rate swaps pose potential interest rate risks if interest rates decrease. As of October 31, 2023, the fair value of our interest rate swap agreements was an asset of $36.4 million.</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Foreign Currency Exchange Rate Risk</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primarily exposed to the impact of foreign exchange rate risk through our UK and Ireland operations where the functional currency is the British pound sterling (“GBP”) and Euro (“EUR”), respectively. As we intend to remain permanently invested in these foreign operations, we do not utilize hedging instruments to mitigate foreign currency exchange risks. If we change our intent with respect to such international investment, we would expect to implement strategies designed to manage those risks in an effort to mitigate the effect of foreign currency fluctuations on our earnings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60350"/>
                <wp:effectExtent l="0" t="0" r="0" b="0"/>
                <wp:wrapNone/>
                <wp:docPr id="50" name="Frame42"/>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46AD"/>
          <w:sz w:val="20"/>
        </w:rPr>
      </w:pPr>
      <w:r>
        <w:rPr>
          <w:rFonts w:ascii="Arial;sans-serif" w:hAnsi="Arial;sans-serif"/>
          <w:b/>
          <w:color w:val="0046AD"/>
          <w:sz w:val="20"/>
        </w:rPr>
        <w:t>ITEM 8. FINANCIAL STATEMENTS AND SUPPLEMENTARY DATA.</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the Stockholders and Board of Directors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ABM Industries Incorporated: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Opinion on the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audited the accompanying consolidated balance sheets of ABM Industries Incorporated and subsidiaries (the Company) as of October 31, 2023 and 2022, the related consolidated statements of comprehensive income, stockholders’ equity, and cash flows for each of the years in the three-year period ended October 31, 2023, and the related notes and financial statement schedule II (collectively, the consolidated financial statements). In our opinion, the consolidated financial statements present fairly, in all material respects, the financial position of the Company as of October 31, 2023 and 2022, and the results of its operations and its cash flows for each of the years in the three-year period ended October 31, 2023, in conformity with U.S. generally accepted accounting principles.</w:t>
      </w:r>
    </w:p>
    <w:p>
      <w:pPr>
        <w:pStyle w:val="TextBody"/>
        <w:bidi w:val="0"/>
        <w:spacing w:before="0" w:after="0"/>
        <w:jc w:val="left"/>
        <w:rPr/>
      </w:pPr>
      <w:r>
        <w:rPr/>
      </w:r>
    </w:p>
    <w:p>
      <w:pPr>
        <w:pStyle w:val="TextBody"/>
        <w:bidi w:val="0"/>
        <w:spacing w:lineRule="auto" w:line="288" w:before="0" w:after="120"/>
        <w:jc w:val="left"/>
        <w:rPr/>
      </w:pPr>
      <w:r>
        <w:rPr>
          <w:rFonts w:ascii="Arial;sans-serif" w:hAnsi="Arial;sans-serif"/>
          <w:b w:val="false"/>
          <w:color w:val="000000"/>
          <w:sz w:val="20"/>
        </w:rPr>
        <w:t xml:space="preserve">We also have audited, in accordance with the standards of the Public Company Accounting Oversight Board (United States) (PCAOB), the Company’s internal control over financial reporting as of October 31, 2023, based on criteria established in </w:t>
      </w:r>
      <w:r>
        <w:rPr>
          <w:rFonts w:ascii="Arial;sans-serif" w:hAnsi="Arial;sans-serif"/>
          <w:b w:val="false"/>
          <w:i/>
          <w:color w:val="000000"/>
          <w:sz w:val="20"/>
        </w:rPr>
        <w:t>Internal Control – Integrated Framework (2013)</w:t>
      </w:r>
      <w:r>
        <w:rPr>
          <w:color w:val="000000"/>
        </w:rPr>
        <w:t xml:space="preserve"> </w:t>
      </w:r>
      <w:r>
        <w:rPr>
          <w:rFonts w:ascii="Arial;sans-serif" w:hAnsi="Arial;sans-serif"/>
          <w:b w:val="false"/>
          <w:color w:val="000000"/>
          <w:sz w:val="20"/>
        </w:rPr>
        <w:t>issued by the Committee of Sponsoring Organizations of the Treadway Commission, and our report dated December 18, 2023, expressed an unqualified opinion on the effectiveness of the Company’s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Critical Audit Matters</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consolidated financial statements that were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Valuation of self-insurance liabilities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discussed in Notes 2 and 10 to the consolidated financial statements, the Company uses a combination of insured and self-insurance programs to cover workers’ compensation, general liability, automobile liability, property damage,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60350"/>
                <wp:effectExtent l="0" t="0" r="0" b="0"/>
                <wp:wrapNone/>
                <wp:docPr id="51" name="Frame4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insurable risks. The balance of casualty program insurance reserves, net of recoverables, as of October 31, 2023, amounted to $487.9 million. The Company engages actuaries to estimate its self-insurance liabilities at least annually.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identified the evaluation of certain self-insurance liabilities as a critical audit matter because it involves a high degree of judgment and actuarial expertise to assess: (1) the actuarial models used and (2) estimated incurred but not reported claims based on application of loss development factors to historical claims experience.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are the primary procedures we performed to address this critical audit matter. We evaluated the design and tested the operating effectiveness of certain internal controls over the Company’s self-insurance liability process, including controls related to (1) evaluation of claims information sent to the actuary, (2) estimation of incurred but not reported claims based on the application of loss development factors to historical claims experience, and (3) evaluation of the actuarial report and the external actuarial specialist’s qualifications and competency. We evaluated the Company’s historical ability to estimate self-insurance liabilities by comparing the prior year recorded amounts to the subsequent claim development. We tested a sample of the claims data utilized by the Company’s actuaries by comparing it to underlying claims details; and involved an actuarial professional with specialized skills and knowledge who assisted in the: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assessment of the actuarial models used by the Company for consistency with generally accepted actuarial standards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development of an actuarial estimate of self-insurance liabilities based on the Company’s underlying historical paid and incurred loss data for comparison with the liabilities recorded by the Company.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served as the Company’s auditor since 1980.</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New York, New York</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December 18,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60350"/>
                <wp:effectExtent l="0" t="0" r="0" b="0"/>
                <wp:wrapNone/>
                <wp:docPr id="52" name="Frame44"/>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the Stockholders and Board of Directors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ABM Industries Incorporated: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We have audited ABM Industries Incorporated and subsidiaries' (the Company) internal control over financial reporting as of October 31, 2023, based on criteria established in </w:t>
      </w:r>
      <w:r>
        <w:rPr>
          <w:rFonts w:ascii="Arial;sans-serif" w:hAnsi="Arial;sans-serif"/>
          <w:b w:val="false"/>
          <w:i/>
          <w:color w:val="000000"/>
          <w:sz w:val="20"/>
        </w:rPr>
        <w:t xml:space="preserve">Internal Control – Integrated Framework (2013) </w:t>
      </w:r>
      <w:r>
        <w:rPr>
          <w:rFonts w:ascii="Arial;sans-serif" w:hAnsi="Arial;sans-serif"/>
          <w:b w:val="false"/>
          <w:color w:val="000000"/>
          <w:sz w:val="20"/>
        </w:rPr>
        <w:t xml:space="preserve">issued by the Committee of Sponsoring Organizations of the Treadway Commission. In our opinion, the Company maintained, in all material respects, effective internal control over financial reporting as of October 31, 2023, based on criteria established in </w:t>
      </w:r>
      <w:r>
        <w:rPr>
          <w:rFonts w:ascii="Arial;sans-serif" w:hAnsi="Arial;sans-serif"/>
          <w:b w:val="false"/>
          <w:i/>
          <w:color w:val="000000"/>
          <w:sz w:val="20"/>
        </w:rPr>
        <w:t>Internal Control – Integrated Framework (2013)</w:t>
      </w:r>
      <w:r>
        <w:rPr>
          <w:color w:val="000000"/>
        </w:rPr>
        <w:t xml:space="preserve"> </w:t>
      </w:r>
      <w:r>
        <w:rPr>
          <w:rFonts w:ascii="Arial;sans-serif" w:hAnsi="Arial;sans-serif"/>
          <w:b w:val="false"/>
          <w:color w:val="000000"/>
          <w:sz w:val="20"/>
        </w:rPr>
        <w:t>issued by the Committee of Sponsoring Organizations of the Treadway Commission.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consolidated balance sheets of the Company as of October 31, 2023 and 2022, the related consolidated statements of comprehensive income, stockholders’ equity, and cash flows for each of the years in the three-year period ended October 31, 2023, and the related notes and financial statement schedule II (collectively, the consolidated financial statements), and our report dated December 18, 2023, expressed an unqualified opinion on those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60350"/>
                <wp:effectExtent l="0" t="0" r="0" b="0"/>
                <wp:wrapNone/>
                <wp:docPr id="53" name="Frame4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New York, New York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December 18, 2023</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60350"/>
                <wp:effectExtent l="0" t="0" r="0" b="0"/>
                <wp:wrapNone/>
                <wp:docPr id="54" name="Frame46"/>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80" w:after="120"/>
        <w:jc w:val="both"/>
        <w:rPr>
          <w:rFonts w:ascii="Arial;sans-serif" w:hAnsi="Arial;sans-serif"/>
          <w:b/>
          <w:color w:val="0046AD"/>
          <w:sz w:val="20"/>
        </w:rPr>
      </w:pPr>
      <w:r>
        <w:rPr>
          <w:rFonts w:ascii="Arial;sans-serif" w:hAnsi="Arial;sans-serif"/>
          <w:b/>
          <w:color w:val="0046AD"/>
          <w:sz w:val="20"/>
        </w:rPr>
        <w:t>ABM INDUSTRIES INCORPORATED AND SUBSIDIARIES</w:t>
      </w:r>
    </w:p>
    <w:p>
      <w:pPr>
        <w:pStyle w:val="TextBody"/>
        <w:bidi w:val="0"/>
        <w:spacing w:lineRule="auto" w:line="240" w:before="180" w:after="120"/>
        <w:jc w:val="center"/>
        <w:rPr>
          <w:rFonts w:ascii="Arial;sans-serif" w:hAnsi="Arial;sans-serif"/>
          <w:b/>
          <w:color w:val="0046AD"/>
          <w:sz w:val="20"/>
        </w:rPr>
      </w:pPr>
      <w:r>
        <w:rPr>
          <w:rFonts w:ascii="Arial;sans-serif" w:hAnsi="Arial;sans-serif"/>
          <w:b/>
          <w:color w:val="0046AD"/>
          <w:sz w:val="20"/>
        </w:rPr>
        <w:t>CONSOLIDATED BALANCE SHEETS</w:t>
      </w:r>
    </w:p>
    <w:tbl>
      <w:tblPr>
        <w:tblW w:w="9563" w:type="dxa"/>
        <w:jc w:val="center"/>
        <w:tblInd w:w="0" w:type="dxa"/>
        <w:tblLayout w:type="fixed"/>
        <w:tblCellMar>
          <w:top w:w="28" w:type="dxa"/>
          <w:left w:w="28" w:type="dxa"/>
          <w:bottom w:w="28" w:type="dxa"/>
          <w:right w:w="28" w:type="dxa"/>
        </w:tblCellMar>
      </w:tblPr>
      <w:tblGrid>
        <w:gridCol w:w="2502"/>
        <w:gridCol w:w="2208"/>
        <w:gridCol w:w="2219"/>
        <w:gridCol w:w="211"/>
        <w:gridCol w:w="811"/>
        <w:gridCol w:w="109"/>
        <w:gridCol w:w="109"/>
        <w:gridCol w:w="109"/>
        <w:gridCol w:w="109"/>
        <w:gridCol w:w="211"/>
        <w:gridCol w:w="811"/>
        <w:gridCol w:w="154"/>
      </w:tblGrid>
      <w:tr>
        <w:trPr/>
        <w:tc>
          <w:tcPr>
            <w:tcW w:w="2502"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October 31,</w:t>
            </w:r>
          </w:p>
        </w:tc>
      </w:tr>
      <w:tr>
        <w:trPr/>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 except share and per share amounts)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13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Trade accounts receivable, net of allowances of $25.0 and $22.6 at </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October 31, 2023 and 2022, respectively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in excess of amounts billed</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investments</w:t>
            </w:r>
          </w:p>
        </w:tc>
        <w:tc>
          <w:tcPr>
            <w:tcW w:w="102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Property, plant and equipment, net of accumulated depreciation of $326.5 and </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$296.9 at October 31, 2023 and 2022, respectively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intangible assets, net of accumulated amortization of $438.3 and</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$459.8 at October 31, 2023 and 2022, respectively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2,491.3 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2,485.6 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4,933.7 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4,868.9 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13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debt,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315.5 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taxes—other than income</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revenue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claims</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171.4 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Current portion of lease liabilities </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02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1,217.9 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1,353.2 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lease liabilities</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liability,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insurance claims</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387.7 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income taxes payable</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13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Preferred stock, $0.01 par value; 500,000 shares authorized; none issued </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$0.01 par value; 100,000,000 shares authorized;</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 xml:space="preserve">62,847,387 and 65,587,894 shares issued and outstanding at </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October 31, 2023 and 2022, respectively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558.9 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675.5 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 net of taxes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1,249.6 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1,057.2 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4,933.7 </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4,868.9 </w:t>
            </w:r>
          </w:p>
        </w:tc>
        <w:tc>
          <w:tcPr>
            <w:tcW w:w="154"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60350"/>
                <wp:effectExtent l="0" t="0" r="0" b="0"/>
                <wp:wrapNone/>
                <wp:docPr id="55" name="Frame4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80" w:after="120"/>
        <w:jc w:val="center"/>
        <w:rPr>
          <w:rFonts w:ascii="Arial;sans-serif" w:hAnsi="Arial;sans-serif"/>
          <w:b/>
          <w:color w:val="0046AD"/>
          <w:sz w:val="20"/>
        </w:rPr>
      </w:pPr>
      <w:r>
        <w:rPr>
          <w:rFonts w:ascii="Arial;sans-serif" w:hAnsi="Arial;sans-serif"/>
          <w:b/>
          <w:color w:val="0046AD"/>
          <w:sz w:val="20"/>
        </w:rPr>
        <w:t>ABM INDUSTRIES INCORPORATED AND SUBSIDIARIES</w:t>
      </w:r>
    </w:p>
    <w:p>
      <w:pPr>
        <w:pStyle w:val="TextBody"/>
        <w:bidi w:val="0"/>
        <w:spacing w:lineRule="auto" w:line="240" w:before="180" w:after="120"/>
        <w:jc w:val="center"/>
        <w:rPr>
          <w:rFonts w:ascii="Arial;sans-serif" w:hAnsi="Arial;sans-serif"/>
          <w:b/>
          <w:color w:val="0046AD"/>
          <w:sz w:val="20"/>
        </w:rPr>
      </w:pPr>
      <w:r>
        <w:rPr>
          <w:rFonts w:ascii="Arial;sans-serif" w:hAnsi="Arial;sans-serif"/>
          <w:b/>
          <w:color w:val="0046AD"/>
          <w:sz w:val="20"/>
        </w:rPr>
        <w:t>CONSOLIDATED STATEMENTS OF COMPREHENSIVE INCOME</w:t>
      </w:r>
    </w:p>
    <w:tbl>
      <w:tblPr>
        <w:tblW w:w="10205" w:type="dxa"/>
        <w:jc w:val="center"/>
        <w:tblInd w:w="0" w:type="dxa"/>
        <w:tblLayout w:type="fixed"/>
        <w:tblCellMar>
          <w:top w:w="28" w:type="dxa"/>
          <w:left w:w="28" w:type="dxa"/>
          <w:bottom w:w="28" w:type="dxa"/>
          <w:right w:w="28" w:type="dxa"/>
        </w:tblCellMar>
      </w:tblPr>
      <w:tblGrid>
        <w:gridCol w:w="2301"/>
        <w:gridCol w:w="1901"/>
        <w:gridCol w:w="1910"/>
        <w:gridCol w:w="211"/>
        <w:gridCol w:w="811"/>
        <w:gridCol w:w="109"/>
        <w:gridCol w:w="109"/>
        <w:gridCol w:w="109"/>
        <w:gridCol w:w="109"/>
        <w:gridCol w:w="211"/>
        <w:gridCol w:w="811"/>
        <w:gridCol w:w="109"/>
        <w:gridCol w:w="109"/>
        <w:gridCol w:w="109"/>
        <w:gridCol w:w="109"/>
        <w:gridCol w:w="211"/>
        <w:gridCol w:w="811"/>
        <w:gridCol w:w="155"/>
      </w:tblGrid>
      <w:tr>
        <w:trPr/>
        <w:tc>
          <w:tcPr>
            <w:tcW w:w="230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r>
      <w:tr>
        <w:trPr/>
        <w:tc>
          <w:tcPr>
            <w:tcW w:w="6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 except per share amounts)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611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8,096.4 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7,806.6 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6,228.6 </w:t>
            </w:r>
          </w:p>
        </w:tc>
        <w:tc>
          <w:tcPr>
            <w:tcW w:w="155"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719.2 </w:t>
            </w:r>
          </w:p>
        </w:tc>
        <w:tc>
          <w:tcPr>
            <w:tcW w:w="155"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6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Amortization of intangible assets </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611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102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409.5 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348.8 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206.3 </w:t>
            </w:r>
          </w:p>
        </w:tc>
        <w:tc>
          <w:tcPr>
            <w:tcW w:w="155"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unconsolidated affiliates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155"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w:t>
            </w:r>
          </w:p>
        </w:tc>
        <w:tc>
          <w:tcPr>
            <w:tcW w:w="155"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6112"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6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113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and other</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55"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258.1 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236.9 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134.5 </w:t>
            </w:r>
          </w:p>
        </w:tc>
        <w:tc>
          <w:tcPr>
            <w:tcW w:w="155"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per common share</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55"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Weighted-average common and common equivalent shares outstanding</w:t>
            </w:r>
          </w:p>
        </w:tc>
        <w:tc>
          <w:tcPr>
            <w:tcW w:w="113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68.0 </w:t>
            </w:r>
          </w:p>
        </w:tc>
        <w:tc>
          <w:tcPr>
            <w:tcW w:w="155"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60350"/>
                <wp:effectExtent l="0" t="0" r="0" b="0"/>
                <wp:wrapNone/>
                <wp:docPr id="56" name="Frame48"/>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80" w:after="120"/>
        <w:jc w:val="center"/>
        <w:rPr>
          <w:rFonts w:ascii="Arial;sans-serif" w:hAnsi="Arial;sans-serif"/>
          <w:b/>
          <w:color w:val="0046AD"/>
          <w:sz w:val="20"/>
        </w:rPr>
      </w:pPr>
      <w:r>
        <w:rPr>
          <w:rFonts w:ascii="Arial;sans-serif" w:hAnsi="Arial;sans-serif"/>
          <w:b/>
          <w:color w:val="0046AD"/>
          <w:sz w:val="20"/>
        </w:rPr>
        <w:t>ABM INDUSTRIES INCORPORATED AND SUBSIDIARIES</w:t>
      </w:r>
    </w:p>
    <w:p>
      <w:pPr>
        <w:pStyle w:val="TextBody"/>
        <w:bidi w:val="0"/>
        <w:spacing w:lineRule="auto" w:line="240" w:before="180" w:after="120"/>
        <w:jc w:val="center"/>
        <w:rPr>
          <w:rFonts w:ascii="Arial;sans-serif" w:hAnsi="Arial;sans-serif"/>
          <w:b/>
          <w:color w:val="0046AD"/>
          <w:sz w:val="20"/>
        </w:rPr>
      </w:pPr>
      <w:r>
        <w:rPr>
          <w:rFonts w:ascii="Arial;sans-serif" w:hAnsi="Arial;sans-serif"/>
          <w:b/>
          <w:color w:val="0046AD"/>
          <w:sz w:val="20"/>
        </w:rPr>
        <w:t xml:space="preserve">CONSOLIDATED STATEMENTS OF STOCKHOLDERS’ EQUITY </w:t>
      </w:r>
    </w:p>
    <w:tbl>
      <w:tblPr>
        <w:tblW w:w="10205" w:type="dxa"/>
        <w:jc w:val="center"/>
        <w:tblInd w:w="0" w:type="dxa"/>
        <w:tblLayout w:type="fixed"/>
        <w:tblCellMar>
          <w:top w:w="28" w:type="dxa"/>
          <w:left w:w="28" w:type="dxa"/>
          <w:bottom w:w="28" w:type="dxa"/>
          <w:right w:w="28" w:type="dxa"/>
        </w:tblCellMar>
      </w:tblPr>
      <w:tblGrid>
        <w:gridCol w:w="1443"/>
        <w:gridCol w:w="863"/>
        <w:gridCol w:w="856"/>
        <w:gridCol w:w="109"/>
        <w:gridCol w:w="109"/>
        <w:gridCol w:w="109"/>
        <w:gridCol w:w="233"/>
        <w:gridCol w:w="233"/>
        <w:gridCol w:w="216"/>
        <w:gridCol w:w="109"/>
        <w:gridCol w:w="109"/>
        <w:gridCol w:w="109"/>
        <w:gridCol w:w="196"/>
        <w:gridCol w:w="691"/>
        <w:gridCol w:w="109"/>
        <w:gridCol w:w="109"/>
        <w:gridCol w:w="109"/>
        <w:gridCol w:w="109"/>
        <w:gridCol w:w="233"/>
        <w:gridCol w:w="233"/>
        <w:gridCol w:w="216"/>
        <w:gridCol w:w="109"/>
        <w:gridCol w:w="109"/>
        <w:gridCol w:w="109"/>
        <w:gridCol w:w="196"/>
        <w:gridCol w:w="691"/>
        <w:gridCol w:w="109"/>
        <w:gridCol w:w="109"/>
        <w:gridCol w:w="109"/>
        <w:gridCol w:w="109"/>
        <w:gridCol w:w="233"/>
        <w:gridCol w:w="233"/>
        <w:gridCol w:w="216"/>
        <w:gridCol w:w="109"/>
        <w:gridCol w:w="109"/>
        <w:gridCol w:w="109"/>
        <w:gridCol w:w="196"/>
        <w:gridCol w:w="691"/>
        <w:gridCol w:w="156"/>
      </w:tblGrid>
      <w:tr>
        <w:trPr/>
        <w:tc>
          <w:tcPr>
            <w:tcW w:w="144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October 31,</w:t>
            </w:r>
          </w:p>
        </w:tc>
      </w:tr>
      <w:tr>
        <w:trPr/>
        <w:tc>
          <w:tcPr>
            <w:tcW w:w="3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316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Common Stock</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issued under employee stock purchase and share-based</w:t>
              <w:br/>
              <w:t>   compensation plans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21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21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21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Repurchase of common stock, including excise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end of year</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62.8 </w:t>
            </w:r>
          </w:p>
        </w:tc>
        <w:tc>
          <w:tcPr>
            <w:tcW w:w="21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65.5 </w:t>
            </w:r>
          </w:p>
        </w:tc>
        <w:tc>
          <w:tcPr>
            <w:tcW w:w="21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67.3 </w:t>
            </w:r>
          </w:p>
        </w:tc>
        <w:tc>
          <w:tcPr>
            <w:tcW w:w="21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beginning of year</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750.9 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724.1 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sans-serif" w:hAnsi="Arial;sans-serif"/>
                <w:b w:val="false"/>
                <w:color w:val="000000"/>
                <w:sz w:val="16"/>
              </w:rPr>
            </w:pPr>
            <w:r>
              <w:rPr>
                <w:rFonts w:ascii="Arial;sans-serif" w:hAnsi="Arial;sans-serif"/>
                <w:b w:val="false"/>
                <w:color w:val="000000"/>
                <w:sz w:val="16"/>
              </w:rPr>
              <w:t>Taxes withheld under employee stock purchase and share-based compensation plans,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Repurchase of common stock, including excise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end of year</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558.9 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675.5 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750.9 </w:t>
            </w:r>
          </w:p>
        </w:tc>
        <w:tc>
          <w:tcPr>
            <w:tcW w:w="1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Other Comprehensive Loss,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beginning of year</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end of year</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beginning of year</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806.4 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($0.88, $0.78, and $0.76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issued under share-based compensation plans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Balance,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1,799.9 </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1,717.2 </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1,609.2 </w:t>
            </w:r>
          </w:p>
        </w:tc>
        <w:tc>
          <w:tcPr>
            <w:tcW w:w="15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pStyle w:val="TextBody"/>
        <w:bidi w:val="0"/>
        <w:spacing w:before="180" w:after="283"/>
        <w:jc w:val="center"/>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60350"/>
                <wp:effectExtent l="0" t="0" r="0" b="0"/>
                <wp:wrapNone/>
                <wp:docPr id="57" name="Frame4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80" w:after="120"/>
        <w:jc w:val="center"/>
        <w:rPr>
          <w:rFonts w:ascii="Arial;sans-serif" w:hAnsi="Arial;sans-serif"/>
          <w:b/>
          <w:color w:val="0046AD"/>
          <w:sz w:val="20"/>
        </w:rPr>
      </w:pPr>
      <w:r>
        <w:rPr>
          <w:rFonts w:ascii="Arial;sans-serif" w:hAnsi="Arial;sans-serif"/>
          <w:b/>
          <w:color w:val="0046AD"/>
          <w:sz w:val="20"/>
        </w:rPr>
        <w:t>ABM INDUSTRIES INCORPORATED AND SUBSIDIARIES</w:t>
      </w:r>
    </w:p>
    <w:p>
      <w:pPr>
        <w:pStyle w:val="TextBody"/>
        <w:bidi w:val="0"/>
        <w:spacing w:lineRule="auto" w:line="240" w:before="180" w:after="120"/>
        <w:jc w:val="center"/>
        <w:rPr>
          <w:rFonts w:ascii="Arial;sans-serif" w:hAnsi="Arial;sans-serif"/>
          <w:b/>
          <w:color w:val="0046AD"/>
          <w:sz w:val="20"/>
        </w:rPr>
      </w:pPr>
      <w:r>
        <w:rPr>
          <w:rFonts w:ascii="Arial;sans-serif" w:hAnsi="Arial;sans-serif"/>
          <w:b/>
          <w:color w:val="0046AD"/>
          <w:sz w:val="20"/>
        </w:rPr>
        <w:t>CONSOLIDATED STATEMENTS OF CASH FLOWS</w:t>
      </w:r>
    </w:p>
    <w:tbl>
      <w:tblPr>
        <w:tblW w:w="9083" w:type="dxa"/>
        <w:jc w:val="center"/>
        <w:tblInd w:w="0" w:type="dxa"/>
        <w:tblLayout w:type="fixed"/>
        <w:tblCellMar>
          <w:top w:w="28" w:type="dxa"/>
          <w:left w:w="28" w:type="dxa"/>
          <w:bottom w:w="28" w:type="dxa"/>
          <w:right w:w="28" w:type="dxa"/>
        </w:tblCellMar>
      </w:tblPr>
      <w:tblGrid>
        <w:gridCol w:w="2080"/>
        <w:gridCol w:w="1832"/>
        <w:gridCol w:w="1863"/>
        <w:gridCol w:w="199"/>
        <w:gridCol w:w="566"/>
        <w:gridCol w:w="109"/>
        <w:gridCol w:w="109"/>
        <w:gridCol w:w="109"/>
        <w:gridCol w:w="109"/>
        <w:gridCol w:w="199"/>
        <w:gridCol w:w="566"/>
        <w:gridCol w:w="109"/>
        <w:gridCol w:w="109"/>
        <w:gridCol w:w="109"/>
        <w:gridCol w:w="109"/>
        <w:gridCol w:w="196"/>
        <w:gridCol w:w="556"/>
        <w:gridCol w:w="154"/>
      </w:tblGrid>
      <w:tr>
        <w:trPr/>
        <w:tc>
          <w:tcPr>
            <w:tcW w:w="2080"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October 31,</w:t>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millions)</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874"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 xml:space="preserve">Adjustments to reconcile net income to net cash provided </w:t>
            </w:r>
          </w:p>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by operating activities</w:t>
            </w:r>
          </w:p>
        </w:tc>
        <w:tc>
          <w:tcPr>
            <w:tcW w:w="87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loss on fixed assets</w:t>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for/(Recovery of) bad debt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accumulated other comprehensive gain on interest rate swaps</w:t>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accretion on insurance claims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(Gain)/Loss on sale of assets</w:t>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from unconsolidated affiliates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from unconsolidated affiliates</w:t>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contingent consideration</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 net of effects of acquisitions</w:t>
            </w:r>
          </w:p>
        </w:tc>
        <w:tc>
          <w:tcPr>
            <w:tcW w:w="87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 accounts receivable and costs incurred in excess of amounts billed</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Right-of-use assets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 accounts payable and other accrued liabilities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lease liabilities</w:t>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 claims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adjustments</w:t>
            </w:r>
          </w:p>
        </w:tc>
        <w:tc>
          <w:tcPr>
            <w:tcW w:w="765"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(210.0)</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operating activities</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874"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 to property, plant and equipment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assets</w:t>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 in equity securities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business, net of cash acquired</w:t>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(194.6)</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(710.2)</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investing activities</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874"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Taxes withheld from issuance of share-based compensation awards, net </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 including excise taxes</w:t>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(138.1)</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financing costs paid</w:t>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from debt</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borrowings from debt</w:t>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(1,136.0)</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(1,096.9)</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(194.2)</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book cash overdrafts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of energy savings performance contracts</w:t>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finance lease obligations</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provided by financing activities</w:t>
            </w:r>
          </w:p>
        </w:tc>
        <w:tc>
          <w:tcPr>
            <w:tcW w:w="765"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(186.3)</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235.5 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Effect of exchange rate changes on cash and cash equivalents</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(decrease) increase in cash and cash equivalents</w:t>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(331.4)</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beginning of year</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end of year</w:t>
            </w:r>
          </w:p>
        </w:tc>
        <w:tc>
          <w:tcPr>
            <w:tcW w:w="199"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60350"/>
                <wp:effectExtent l="0" t="0" r="0" b="0"/>
                <wp:wrapNone/>
                <wp:docPr id="58" name="Frame50"/>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80" w:after="120"/>
        <w:jc w:val="center"/>
        <w:rPr>
          <w:rFonts w:ascii="Arial;sans-serif" w:hAnsi="Arial;sans-serif"/>
          <w:b/>
          <w:color w:val="0046AD"/>
          <w:sz w:val="20"/>
        </w:rPr>
      </w:pPr>
      <w:r>
        <w:rPr>
          <w:rFonts w:ascii="Arial;sans-serif" w:hAnsi="Arial;sans-serif"/>
          <w:b/>
          <w:color w:val="0046AD"/>
          <w:sz w:val="20"/>
        </w:rPr>
        <w:t>ABM INDUSTRIES INCORPORATED AND SUBSIDIARIES</w:t>
      </w:r>
    </w:p>
    <w:p>
      <w:pPr>
        <w:pStyle w:val="TextBody"/>
        <w:bidi w:val="0"/>
        <w:spacing w:lineRule="auto" w:line="240" w:before="180" w:after="120"/>
        <w:jc w:val="center"/>
        <w:rPr>
          <w:rFonts w:ascii="Arial;sans-serif" w:hAnsi="Arial;sans-serif"/>
          <w:b/>
          <w:color w:val="0046AD"/>
          <w:sz w:val="20"/>
        </w:rPr>
      </w:pPr>
      <w:r>
        <w:rPr>
          <w:rFonts w:ascii="Arial;sans-serif" w:hAnsi="Arial;sans-serif"/>
          <w:b/>
          <w:color w:val="0046AD"/>
          <w:sz w:val="20"/>
        </w:rPr>
        <w:t>CONSOLIDATED STATEMENTS OF CASH FLOWS</w:t>
      </w:r>
    </w:p>
    <w:p>
      <w:pPr>
        <w:pStyle w:val="TextBody"/>
        <w:bidi w:val="0"/>
        <w:spacing w:lineRule="auto" w:line="240" w:before="180" w:after="120"/>
        <w:jc w:val="center"/>
        <w:rPr>
          <w:rFonts w:ascii="Arial;sans-serif" w:hAnsi="Arial;sans-serif"/>
          <w:b/>
          <w:color w:val="0046AD"/>
          <w:sz w:val="20"/>
        </w:rPr>
      </w:pPr>
      <w:r>
        <w:rPr>
          <w:rFonts w:ascii="Arial;sans-serif" w:hAnsi="Arial;sans-serif"/>
          <w:b/>
          <w:color w:val="0046AD"/>
          <w:sz w:val="20"/>
        </w:rPr>
        <w:t>(continued)</w:t>
      </w:r>
    </w:p>
    <w:tbl>
      <w:tblPr>
        <w:tblW w:w="6011" w:type="dxa"/>
        <w:jc w:val="center"/>
        <w:tblInd w:w="0" w:type="dxa"/>
        <w:tblLayout w:type="fixed"/>
        <w:tblCellMar>
          <w:top w:w="28" w:type="dxa"/>
          <w:left w:w="28" w:type="dxa"/>
          <w:bottom w:w="28" w:type="dxa"/>
          <w:right w:w="28" w:type="dxa"/>
        </w:tblCellMar>
      </w:tblPr>
      <w:tblGrid>
        <w:gridCol w:w="1083"/>
        <w:gridCol w:w="952"/>
        <w:gridCol w:w="964"/>
        <w:gridCol w:w="196"/>
        <w:gridCol w:w="466"/>
        <w:gridCol w:w="109"/>
        <w:gridCol w:w="109"/>
        <w:gridCol w:w="109"/>
        <w:gridCol w:w="109"/>
        <w:gridCol w:w="196"/>
        <w:gridCol w:w="466"/>
        <w:gridCol w:w="109"/>
        <w:gridCol w:w="109"/>
        <w:gridCol w:w="109"/>
        <w:gridCol w:w="109"/>
        <w:gridCol w:w="196"/>
        <w:gridCol w:w="466"/>
        <w:gridCol w:w="154"/>
      </w:tblGrid>
      <w:tr>
        <w:trPr/>
        <w:tc>
          <w:tcPr>
            <w:tcW w:w="108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Years Ended October 31,</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299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cash flow information</w:t>
            </w:r>
          </w:p>
        </w:tc>
        <w:tc>
          <w:tcPr>
            <w:tcW w:w="77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payments,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paid on credit facility</w:t>
            </w:r>
          </w:p>
        </w:tc>
        <w:tc>
          <w:tcPr>
            <w:tcW w:w="66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60350"/>
                <wp:effectExtent l="0" t="0" r="0" b="0"/>
                <wp:wrapNone/>
                <wp:docPr id="59" name="Frame5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180" w:after="283"/>
        <w:jc w:val="left"/>
        <w:rPr/>
      </w:pPr>
      <w:r>
        <w:rPr/>
      </w:r>
    </w:p>
    <w:p>
      <w:pPr>
        <w:pStyle w:val="TextBody"/>
        <w:bidi w:val="0"/>
        <w:spacing w:lineRule="auto" w:line="240" w:before="180" w:after="120"/>
        <w:jc w:val="center"/>
        <w:rPr>
          <w:rFonts w:ascii="Arial;sans-serif" w:hAnsi="Arial;sans-serif"/>
          <w:b/>
          <w:color w:val="0046AD"/>
          <w:sz w:val="20"/>
        </w:rPr>
      </w:pPr>
      <w:r>
        <w:rPr>
          <w:rFonts w:ascii="Arial;sans-serif" w:hAnsi="Arial;sans-serif"/>
          <w:b/>
          <w:color w:val="0046AD"/>
          <w:sz w:val="20"/>
        </w:rPr>
        <w:t>ABM INDUSTRIES INCORPORATED AND SUBSIDIARIES</w:t>
      </w:r>
    </w:p>
    <w:p>
      <w:pPr>
        <w:pStyle w:val="TextBody"/>
        <w:bidi w:val="0"/>
        <w:spacing w:lineRule="auto" w:line="240" w:before="180" w:after="120"/>
        <w:jc w:val="center"/>
        <w:rPr>
          <w:rFonts w:ascii="Arial;sans-serif" w:hAnsi="Arial;sans-serif"/>
          <w:b/>
          <w:color w:val="0046AD"/>
          <w:sz w:val="20"/>
        </w:rPr>
      </w:pPr>
      <w:r>
        <w:rPr>
          <w:rFonts w:ascii="Arial;sans-serif" w:hAnsi="Arial;sans-serif"/>
          <w:b/>
          <w:color w:val="0046AD"/>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1. THE COMPANY AND NATURE OF OPERATIONS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pPr>
      <w:r>
        <w:rPr>
          <w:rFonts w:ascii="Arial;sans-serif" w:hAnsi="Arial;sans-serif"/>
          <w:b w:val="false"/>
          <w:color w:val="000000"/>
          <w:sz w:val="20"/>
        </w:rPr>
        <w:t xml:space="preserve">ABM is a leading provider of integrated facility services with a mission to </w:t>
      </w:r>
      <w:r>
        <w:rPr>
          <w:rFonts w:ascii="Arial;sans-serif" w:hAnsi="Arial;sans-serif"/>
          <w:b/>
          <w:color w:val="326ABD"/>
          <w:sz w:val="20"/>
        </w:rPr>
        <w:t>make a difference, every person, every day</w:t>
      </w:r>
      <w:r>
        <w:rPr>
          <w:rFonts w:ascii="Arial;sans-serif" w:hAnsi="Arial;sans-serif"/>
          <w:b w:val="false"/>
          <w:color w:val="000000"/>
          <w:sz w:val="20"/>
        </w:rPr>
        <w:t xml:space="preserve">. We are organized into four industry groups and one Technical Solutions segment: </w:t>
      </w:r>
    </w:p>
    <w:p>
      <w:pPr>
        <w:pStyle w:val="TextBody"/>
        <w:bidi w:val="0"/>
        <w:spacing w:before="180" w:after="283"/>
        <w:jc w:val="center"/>
        <w:rPr/>
      </w:pPr>
      <w:r>
        <w:rPr/>
        <w:drawing>
          <wp:inline distT="0" distB="0" distL="0" distR="0">
            <wp:extent cx="5543550" cy="1047750"/>
            <wp:effectExtent l="0" t="0" r="0" b="0"/>
            <wp:docPr id="6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9" descr=""/>
                    <pic:cNvPicPr>
                      <a:picLocks noChangeAspect="1" noChangeArrowheads="1"/>
                    </pic:cNvPicPr>
                  </pic:nvPicPr>
                  <pic:blipFill>
                    <a:blip r:embed="rId10"/>
                    <a:stretch>
                      <a:fillRect/>
                    </a:stretch>
                  </pic:blipFill>
                  <pic:spPr bwMode="auto">
                    <a:xfrm>
                      <a:off x="0" y="0"/>
                      <a:ext cx="5543550" cy="1047750"/>
                    </a:xfrm>
                    <a:prstGeom prst="rect">
                      <a:avLst/>
                    </a:prstGeom>
                  </pic:spPr>
                </pic:pic>
              </a:graphicData>
            </a:graphic>
          </wp:inline>
        </w:drawing>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Through these groups, we offer janitorial, facilities engineering, parking, and specialized mechanical and electrical technical solutions, on a standalone basis or in combination with other services.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2. BASIS OF PRESENTATION AND SIGNIFICANT ACCOUNTING POLICIES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Basis of Presentation and Principles of Consolidation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Financial Statements have been prepared in accordance with United States generally accepted accounting principles (“U.S. GAAP”) and with the rules and regulations of the SEC, specifically Regulation S-X and the instructions to Form 10-K. Unless otherwise indicated, all references to years are to our fiscal year, which ends on October 31.</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Financial Statements include the accounts of ABM and all of our consolidated subsidiaries. We account for ABM’s investments in unconsolidated affiliates under the equity method of accounting. We include the results of acquired businesses in the Consolidated Statements of Comprehensive Income from their respective acquisition dates. All intercompany accounts and transactions have been eliminated in consolidation.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preparation of consolidated financial statements in accordance with U.S. GAAP requires our management to make certain estimates that affect reported amounts. We base our estimates on historical experience, known or expected trends, independent valuations, and various other assumptions that we believe to be reasonable under the circumstances. As future events and their effects cannot be determined with precision, actual results could differ significantly from these estimates.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We round amounts in the Financial Statements to millions and calculate all percentages and per-share data from the underlying whole-dollar amounts. Thus, certain amounts may not foot, crossfoot, or recalculate based on reported numbers due to rounding.</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Cash and Cash Equivalents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consider all highly liquid securities with an original maturity of three months or less to be cash and cash equivalents. As part of our cash management system, we use “zero balance” accounts to fund our disbursements. Under this system, at the end of each day the bank balance is zero, while the book balance is usually a negative amount due to reconciling items, such as outstanding checks. We report the changes in these book cash overdrafts as cash flows from financing activities.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Trade Accounts Receivable and Costs Incurred in Excess of Amounts Billed</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Trade accounts receivable arise from services provided to our clients and are usually due and payable on varying terms from receipt of the invoice to net 90 days, with the exception of certain Technical Solutions project receivables that may have longer collection periods. These receivables are recorded at the invoiced amount and normally do not bear interest. In addition, our trade accounts receivable include unbilled receivables, such as invoices for services that have been provided but are not yet billed.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60350"/>
                <wp:effectExtent l="0" t="0" r="0" b="0"/>
                <wp:wrapNone/>
                <wp:docPr id="61" name="Frame52"/>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Costs incurred in excess of amounts billed arise from Technical Solutions project contracts that typically provide for a schedule of billings or invoices to the client based on our performance to date of specific tasks inherent in the fulfillment of our performance obligation(s). The schedules for such billings usually do not precisely match the schedule on which costs are incurred. As a result, revenues generally differ from amounts that can be billed or invoiced to the client at any point during the contract.</w:t>
      </w:r>
    </w:p>
    <w:p>
      <w:pPr>
        <w:pStyle w:val="TextBody"/>
        <w:bidi w:val="0"/>
        <w:spacing w:lineRule="auto" w:line="288" w:before="180" w:after="283"/>
        <w:jc w:val="both"/>
        <w:rPr>
          <w:rFonts w:ascii="Arial;sans-serif" w:hAnsi="Arial;sans-serif"/>
          <w:b w:val="false"/>
          <w:i/>
          <w:color w:val="0046AD"/>
          <w:sz w:val="20"/>
        </w:rPr>
      </w:pPr>
      <w:r>
        <w:rPr>
          <w:rFonts w:ascii="Arial;sans-serif" w:hAnsi="Arial;sans-serif"/>
          <w:b w:val="false"/>
          <w:i/>
          <w:color w:val="0046AD"/>
          <w:sz w:val="20"/>
        </w:rPr>
        <w:t>Allowance for Doubtful Accounts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determine the allowance for doubtful accounts based on historical write-offs, known or expected trends, and the identification of specific balances deemed uncollectible. For the specifically identified balances, we establish the reserve upon the earlier of a client’s inability to meet its financial obligations or after a period of 12 months, unless our management believes such amounts will ultimately be collectible. </w:t>
      </w:r>
    </w:p>
    <w:p>
      <w:pPr>
        <w:pStyle w:val="TextBody"/>
        <w:bidi w:val="0"/>
        <w:spacing w:lineRule="auto" w:line="288" w:before="180" w:after="283"/>
        <w:jc w:val="both"/>
        <w:rPr>
          <w:rFonts w:ascii="Arial;sans-serif" w:hAnsi="Arial;sans-serif"/>
          <w:b w:val="false"/>
          <w:i/>
          <w:color w:val="0046AD"/>
          <w:sz w:val="20"/>
        </w:rPr>
      </w:pPr>
      <w:r>
        <w:rPr>
          <w:rFonts w:ascii="Arial;sans-serif" w:hAnsi="Arial;sans-serif"/>
          <w:b w:val="false"/>
          <w:i/>
          <w:color w:val="0046AD"/>
          <w:sz w:val="20"/>
        </w:rPr>
        <w:t>Sales Allowance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connection with our service contracts, we periodically issue credit memos to our clients that are recorded as a reduction in revenues and an increase to the allowance for billing adjustments. These credits can result from client vacancy discounts, job cancellations, property damage, and other items. We estimate our potential future losses on these client receivables based on an analysis of the historical rate of sales adjustments (credit memos, net of re-bills) and known or expected trends.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Other Current Assets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October 31, 2023 and 2022, other current assets primarily consisted of other receivables, short-term insurance recoverables, and capitalized commissions.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Other Investments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October 31, 2023 and 2022, other investments primarily consisted of preferred equity investments and investments in unconsolidated affiliates and were $28.8 million and $14.5 million, respectively. We did not recognize any impairment charges on these investments in 2023, 2022, or 2021. </w:t>
      </w:r>
    </w:p>
    <w:p>
      <w:pPr>
        <w:pStyle w:val="TextBody"/>
        <w:bidi w:val="0"/>
        <w:spacing w:lineRule="auto" w:line="288" w:before="180" w:after="283"/>
        <w:jc w:val="both"/>
        <w:rPr>
          <w:rFonts w:ascii="Arial;sans-serif" w:hAnsi="Arial;sans-serif"/>
          <w:b w:val="false"/>
          <w:i/>
          <w:color w:val="0046AD"/>
          <w:sz w:val="20"/>
        </w:rPr>
      </w:pPr>
      <w:r>
        <w:rPr>
          <w:rFonts w:ascii="Arial;sans-serif" w:hAnsi="Arial;sans-serif"/>
          <w:b w:val="false"/>
          <w:i/>
          <w:color w:val="0046AD"/>
          <w:sz w:val="20"/>
        </w:rPr>
        <w:t>Preferred Equity investments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own non-controlling interests (generally under 20%) in entities that provide specialized services. Our investments do not have readily determinable fair values; therefore, we measure the investment at initial cost less impairment, if any.</w:t>
      </w:r>
    </w:p>
    <w:p>
      <w:pPr>
        <w:pStyle w:val="TextBody"/>
        <w:bidi w:val="0"/>
        <w:spacing w:lineRule="auto" w:line="288" w:before="180" w:after="283"/>
        <w:jc w:val="both"/>
        <w:rPr>
          <w:rFonts w:ascii="Arial;sans-serif" w:hAnsi="Arial;sans-serif"/>
          <w:b w:val="false"/>
          <w:i/>
          <w:color w:val="0046AD"/>
          <w:sz w:val="20"/>
        </w:rPr>
      </w:pPr>
      <w:r>
        <w:rPr>
          <w:rFonts w:ascii="Arial;sans-serif" w:hAnsi="Arial;sans-serif"/>
          <w:b w:val="false"/>
          <w:i/>
          <w:color w:val="0046AD"/>
          <w:sz w:val="20"/>
        </w:rPr>
        <w:t>Investments in Unconsolidated Affiliates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own non-controlling interests (generally 20% to 50%) in certain affiliated entities that predominantly provide facility solutions to governmental and commercial clients, primarily in the United States and the Middle East. We have significant influence over such investments and account for them under the equity method of accounting. We evaluate our equity method investments for impairment whenever events or changes in circumstances indicate that the carrying amounts of such investments may not be recoverable. An impairment loss is recognized to the extent that the estimated fair value of the investment is less than its carrying amount and we determine that the impairment is other than temporary. </w:t>
      </w:r>
    </w:p>
    <w:p>
      <w:pPr>
        <w:pStyle w:val="TextBody"/>
        <w:bidi w:val="0"/>
        <w:spacing w:lineRule="auto" w:line="288" w:before="180" w:after="283"/>
        <w:jc w:val="both"/>
        <w:rPr/>
      </w:pPr>
      <w:r>
        <w:rPr>
          <w:rFonts w:ascii="Arial;sans-serif" w:hAnsi="Arial;sans-serif"/>
          <w:b/>
          <w:color w:val="0046AD"/>
          <w:sz w:val="20"/>
        </w:rPr>
        <w:t>Property, Plant and Equipment</w:t>
      </w:r>
      <w:r>
        <w:rPr>
          <w:color w:val="000000"/>
        </w:rPr>
        <w:t xml:space="preserve">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record property, plant and equipment at cost. Repairs and maintenance expenditures are expensed as incurred. In contrast, we capitalize major renewals or replacements that substantially extend the useful life of an asset. We determine depreciation for financial reporting purposes using the straight-line method over the following estimated useful lives: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60350"/>
                <wp:effectExtent l="0" t="0" r="0" b="0"/>
                <wp:wrapNone/>
                <wp:docPr id="62" name="Frame5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180" w:after="283"/>
        <w:jc w:val="left"/>
        <w:rPr/>
      </w:pPr>
      <w:r>
        <w:rPr/>
      </w:r>
    </w:p>
    <w:tbl>
      <w:tblPr>
        <w:tblW w:w="3823" w:type="dxa"/>
        <w:jc w:val="left"/>
        <w:tblInd w:w="0" w:type="dxa"/>
        <w:tblLayout w:type="fixed"/>
        <w:tblCellMar>
          <w:top w:w="28" w:type="dxa"/>
          <w:left w:w="28" w:type="dxa"/>
          <w:bottom w:w="28" w:type="dxa"/>
          <w:right w:w="28" w:type="dxa"/>
        </w:tblCellMar>
      </w:tblPr>
      <w:tblGrid>
        <w:gridCol w:w="1117"/>
        <w:gridCol w:w="980"/>
        <w:gridCol w:w="992"/>
        <w:gridCol w:w="215"/>
        <w:gridCol w:w="215"/>
        <w:gridCol w:w="304"/>
      </w:tblGrid>
      <w:tr>
        <w:trPr/>
        <w:tc>
          <w:tcPr>
            <w:tcW w:w="111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Category</w:t>
            </w:r>
          </w:p>
        </w:tc>
        <w:tc>
          <w:tcPr>
            <w:tcW w:w="73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w:t>
            </w:r>
          </w:p>
        </w:tc>
      </w:tr>
      <w:tr>
        <w:trPr/>
        <w:tc>
          <w:tcPr>
            <w:tcW w:w="3089" w:type="dxa"/>
            <w:gridSpan w:val="3"/>
            <w:tcBorders>
              <w:left w:val="single" w:sz="8" w:space="0" w:color="000000"/>
            </w:tcBorders>
            <w:shd w:fill="DCE2E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equipment and software</w:t>
            </w:r>
          </w:p>
        </w:tc>
        <w:tc>
          <w:tcPr>
            <w:tcW w:w="734" w:type="dxa"/>
            <w:gridSpan w:val="3"/>
            <w:tcBorders>
              <w:right w:val="single" w:sz="8" w:space="0" w:color="000000"/>
            </w:tcBorders>
            <w:shd w:fill="DCE2EF" w:val="clear"/>
            <w:tcMar>
              <w:top w:w="0" w:type="dxa"/>
              <w:left w:w="0" w:type="dxa"/>
              <w:bottom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c>
      </w:tr>
      <w:tr>
        <w:trPr/>
        <w:tc>
          <w:tcPr>
            <w:tcW w:w="308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other equipment</w:t>
            </w:r>
          </w:p>
        </w:tc>
        <w:tc>
          <w:tcPr>
            <w:tcW w:w="734"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c>
      </w:tr>
      <w:tr>
        <w:trPr/>
        <w:tc>
          <w:tcPr>
            <w:tcW w:w="3089" w:type="dxa"/>
            <w:gridSpan w:val="3"/>
            <w:tcBorders>
              <w:left w:val="single" w:sz="8" w:space="0" w:color="000000"/>
            </w:tcBorders>
            <w:shd w:fill="DCE2E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Transportation equipment</w:t>
            </w:r>
          </w:p>
        </w:tc>
        <w:tc>
          <w:tcPr>
            <w:tcW w:w="734" w:type="dxa"/>
            <w:gridSpan w:val="3"/>
            <w:tcBorders>
              <w:right w:val="single" w:sz="8" w:space="0" w:color="000000"/>
            </w:tcBorders>
            <w:shd w:fill="DCE2EF" w:val="clear"/>
            <w:tcMar>
              <w:top w:w="0" w:type="dxa"/>
              <w:left w:w="0" w:type="dxa"/>
              <w:bottom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1.5–10</w:t>
            </w:r>
          </w:p>
        </w:tc>
      </w:tr>
      <w:tr>
        <w:trPr/>
        <w:tc>
          <w:tcPr>
            <w:tcW w:w="308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w:t>
            </w:r>
          </w:p>
        </w:tc>
        <w:tc>
          <w:tcPr>
            <w:tcW w:w="734"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10–40</w:t>
            </w:r>
          </w:p>
        </w:tc>
      </w:tr>
      <w:tr>
        <w:trPr/>
        <w:tc>
          <w:tcPr>
            <w:tcW w:w="3089" w:type="dxa"/>
            <w:gridSpan w:val="3"/>
            <w:tcBorders>
              <w:left w:val="single" w:sz="8" w:space="0" w:color="000000"/>
              <w:bottom w:val="single" w:sz="8" w:space="0" w:color="000000"/>
            </w:tcBorders>
            <w:shd w:fill="DCE2E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and fixtures</w:t>
            </w:r>
          </w:p>
        </w:tc>
        <w:tc>
          <w:tcPr>
            <w:tcW w:w="734" w:type="dxa"/>
            <w:gridSpan w:val="3"/>
            <w:tcBorders>
              <w:bottom w:val="single" w:sz="8" w:space="0" w:color="000000"/>
              <w:right w:val="single" w:sz="8" w:space="0" w:color="000000"/>
            </w:tcBorders>
            <w:shd w:fill="DCE2EF" w:val="clear"/>
            <w:tcMar>
              <w:top w:w="0" w:type="dxa"/>
              <w:left w:w="0" w:type="dxa"/>
              <w:bottom w:w="3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we depreciate assets under finance leases and leasehold improvements over the shorter of their estimated useful lives or the remaining lease term. Upon retirement or sale of an asset, we remove the cost and accumulated depreciation from our Consolidated Balance Sheets. When applicable, we record corresponding gains or losses within the accompanying Consolidated Statements of Comprehensive Income.</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Leases</w:t>
      </w:r>
    </w:p>
    <w:p>
      <w:pPr>
        <w:pStyle w:val="TextBody"/>
        <w:bidi w:val="0"/>
        <w:spacing w:lineRule="auto" w:line="288" w:before="180" w:after="283"/>
        <w:ind w:left="0" w:right="0" w:firstLine="720"/>
        <w:jc w:val="both"/>
        <w:rPr/>
      </w:pPr>
      <w:r>
        <w:rPr>
          <w:rFonts w:ascii="Arial;sans-serif" w:hAnsi="Arial;sans-serif"/>
          <w:b w:val="false"/>
          <w:color w:val="000000"/>
          <w:sz w:val="20"/>
          <w:shd w:fill="FFFFFF" w:val="clear"/>
        </w:rPr>
        <w:t>We account for our leases in accordance with ASU 2016-02,</w:t>
      </w:r>
      <w:r>
        <w:rPr>
          <w:color w:val="000000"/>
          <w:shd w:fill="FFFFFF" w:val="clear"/>
        </w:rPr>
        <w:t xml:space="preserve"> </w:t>
      </w:r>
      <w:r>
        <w:rPr>
          <w:rFonts w:ascii="Arial;sans-serif" w:hAnsi="Arial;sans-serif"/>
          <w:b w:val="false"/>
          <w:i/>
          <w:color w:val="000000"/>
          <w:sz w:val="20"/>
          <w:shd w:fill="FFFFFF" w:val="clear"/>
        </w:rPr>
        <w:t>Leases</w:t>
      </w:r>
      <w:r>
        <w:rPr>
          <w:color w:val="000000"/>
          <w:shd w:fill="FFFFFF" w:val="clear"/>
        </w:rPr>
        <w:t xml:space="preserve"> </w:t>
      </w:r>
      <w:r>
        <w:rPr>
          <w:rFonts w:ascii="Arial;sans-serif" w:hAnsi="Arial;sans-serif"/>
          <w:b w:val="false"/>
          <w:color w:val="000000"/>
          <w:sz w:val="20"/>
          <w:shd w:fill="FFFFFF" w:val="clear"/>
        </w:rPr>
        <w:t>(Topic 842). Topic 842 requires lessees to recognize substantially all leases on their balance sheet as a right-of-use (“ROU”) asset and a lease liability. We made the accounting policy election to not recognize leases with an initial term of 12 months or less on the balance sheet and will expense payments for such leases on a straight-line basis over the lease term. We also elected to not separate lease components from non-lease components.</w:t>
      </w:r>
    </w:p>
    <w:p>
      <w:pPr>
        <w:pStyle w:val="TextBody"/>
        <w:bidi w:val="0"/>
        <w:spacing w:lineRule="auto" w:line="288" w:before="180" w:after="283"/>
        <w:ind w:left="0" w:right="0" w:firstLine="720"/>
        <w:jc w:val="both"/>
        <w:rPr/>
      </w:pPr>
      <w:r>
        <w:rPr>
          <w:rFonts w:ascii="Arial;sans-serif" w:hAnsi="Arial;sans-serif"/>
          <w:b w:val="false"/>
          <w:color w:val="000000"/>
          <w:sz w:val="20"/>
        </w:rPr>
        <w:t>We enter into various noncancelable l</w:t>
      </w:r>
      <w:r>
        <w:rPr>
          <w:rFonts w:ascii="Arial;sans-serif" w:hAnsi="Arial;sans-serif"/>
          <w:b w:val="false"/>
          <w:color w:val="000000"/>
          <w:sz w:val="20"/>
          <w:shd w:fill="FFFFFF" w:val="clear"/>
        </w:rPr>
        <w:t xml:space="preserve">ease agreements for office space, parking facilities, warehouses, vehicles, and equipment used in the normal course of business. </w:t>
      </w:r>
      <w:r>
        <w:rPr>
          <w:rFonts w:ascii="Arial;sans-serif" w:hAnsi="Arial;sans-serif"/>
          <w:b w:val="false"/>
          <w:color w:val="000000"/>
          <w:sz w:val="20"/>
        </w:rPr>
        <w:t xml:space="preserve">We determine if an arrangement is a lease at inception and begin recording lease activity at the commencement date. ROU assets and lease liabilities are recognized based on the present value of lease payments over the lease term with lease expense recognized on a straight-line basis. The present value of future lease payments is determined using our incremental borrow rate (“IBR”) unless the implicit rate in the lease is readily determinable. Our IBR is equal to our rate of interest adjusted for term differences. This IBR is applied to the minimum lease payments within each lease agreement to determine the amounts of our ROU assets and lease liabilities.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Our lease terms range from one to 30 years. Some leases include options to renew or extend. We typically include extension options in a lease term when it is reasonably certain that we will exercise that option and when doing so is at our sole discretion. Certain equipment and vehicle leases may also include options to purchase the leased property. The depreciable life of assets and leasehold improvements are limited by the expected lease term, unless there is a transfer of title or purchase option reasonably certain of exercise. Typically, if we decide to cancel or terminate a lease before the end of its term, then we would owe the lessor the remaining lease payments under the term of such lease. Our lease agreements generally do not contain any material residual value guarantees or material restrictive covenants. We may rent or sublease certain real estate assets that we no longer use to third parties.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Lease agreements may contain rent escalation clauses, rent holidays, or certain landlord incentives, including tenant improvement allowances. ROU assets include amounts for scheduled rent increases and are reduced by lease incentive amounts. </w:t>
      </w:r>
    </w:p>
    <w:p>
      <w:pPr>
        <w:pStyle w:val="TextBody"/>
        <w:bidi w:val="0"/>
        <w:spacing w:lineRule="auto" w:line="288" w:before="180" w:after="283"/>
        <w:ind w:left="0" w:right="0" w:firstLine="720"/>
        <w:jc w:val="both"/>
        <w:rPr/>
      </w:pPr>
      <w:r>
        <w:rPr>
          <w:rFonts w:ascii="Arial;sans-serif" w:hAnsi="Arial;sans-serif"/>
          <w:b w:val="false"/>
          <w:color w:val="000000"/>
          <w:sz w:val="20"/>
        </w:rPr>
        <w:t>Certain of our lease agreements include variable rent payments consisting primarily of rental payments adjusted periodically for inflation, maintenance, and utilities</w:t>
      </w:r>
      <w:r>
        <w:rPr>
          <w:rFonts w:ascii="Arial;sans-serif" w:hAnsi="Arial;sans-serif"/>
          <w:b w:val="false"/>
          <w:color w:val="000000"/>
          <w:sz w:val="20"/>
          <w:shd w:fill="FFFFFF" w:val="clear"/>
        </w:rPr>
        <w:t>. These costs are expensed as incurred. Certain of our parking arrangements also contain variable rent payments that are a percentage of parking services revenue based on contractual levels. We record contingent rent as it becomes probable that specified targets will be met. Vari</w:t>
      </w:r>
      <w:r>
        <w:rPr>
          <w:rFonts w:ascii="Arial;sans-serif" w:hAnsi="Arial;sans-serif"/>
          <w:b w:val="false"/>
          <w:color w:val="000000"/>
          <w:sz w:val="20"/>
        </w:rPr>
        <w:t xml:space="preserve">able rent lease components are not included in the lease liability. </w:t>
      </w:r>
    </w:p>
    <w:p>
      <w:pPr>
        <w:pStyle w:val="TextBody"/>
        <w:bidi w:val="0"/>
        <w:spacing w:lineRule="auto" w:line="288" w:before="180" w:after="283"/>
        <w:ind w:left="0" w:right="0" w:firstLine="720"/>
        <w:jc w:val="both"/>
        <w:rPr/>
      </w:pPr>
      <w:r>
        <w:rPr>
          <w:rFonts w:ascii="Arial;sans-serif" w:hAnsi="Arial;sans-serif"/>
          <w:b w:val="false"/>
          <w:color w:val="000000"/>
          <w:sz w:val="20"/>
        </w:rPr>
        <w:t xml:space="preserve">Service concession arrangements within the scope of ASU No. 2017-10, </w:t>
      </w:r>
      <w:r>
        <w:rPr>
          <w:rFonts w:ascii="Arial;sans-serif" w:hAnsi="Arial;sans-serif"/>
          <w:b w:val="false"/>
          <w:i/>
          <w:color w:val="000000"/>
          <w:sz w:val="20"/>
        </w:rPr>
        <w:t>Service Concession Arrangements (Topic 853)</w:t>
      </w:r>
      <w:r>
        <w:rPr>
          <w:rFonts w:ascii="Arial;sans-serif" w:hAnsi="Arial;sans-serif"/>
          <w:b w:val="false"/>
          <w:color w:val="000000"/>
          <w:sz w:val="20"/>
        </w:rPr>
        <w:t xml:space="preserve">: </w:t>
      </w:r>
      <w:r>
        <w:rPr>
          <w:rFonts w:ascii="Arial;sans-serif" w:hAnsi="Arial;sans-serif"/>
          <w:b w:val="false"/>
          <w:i/>
          <w:color w:val="000000"/>
          <w:sz w:val="20"/>
        </w:rPr>
        <w:t>Determining the Customer of the Operation Services</w:t>
      </w:r>
      <w:r>
        <w:rPr>
          <w:rFonts w:ascii="Arial;sans-serif" w:hAnsi="Arial;sans-serif"/>
          <w:b w:val="false"/>
          <w:color w:val="000000"/>
          <w:sz w:val="20"/>
        </w:rPr>
        <w:t xml:space="preserve">, are excluded from the scope of Topic 842. Lease costs associated with these arrangements are recorded as a reduction of revenues. See Note 4, “Revenues,” for further discussion.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Goodwill and Other Intangible Assets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Goodwill represents the excess purchase price of acquired businesses over the fair value of the assets acquired and liabilities assumed. We have elected to make the first day of our fourth quarter, August 1, the annual impairment assessment date for goodwill. However, we could be required to evaluate the recoverability of goodwill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60350"/>
                <wp:effectExtent l="0" t="0" r="0" b="0"/>
                <wp:wrapNone/>
                <wp:docPr id="63" name="Frame54"/>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more often if impairment indicators exist. Goodwill is tested for impairment at a “reporting unit” level by performing either a qualitative evaluation or a quantitative test. The qualitative evaluation is an assessment of factors to determine whether it is more likely than not that the fair value of a reporting unit is less than its carrying amount. We may elect not to perform the qualitative assessment for some or all reporting units and instead perform a quantitative test under which we estimate the fair value using a weighting of fair values derived from an income approach and a market approach. The discounted estimates of future cash flows include significant management assumptions, such as revenue growth rates, operating margins, weighted average cost of capital, and future economic and market conditions.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Other intangible assets primarily consist of acquired customer contracts and relationships that are amortized using the sum-of-the-years’-digits method over their useful lives, consistent with the estimated useful life considerations used in the determination of their fair values. This accelerated method of amortization reflects the pattern in which the economic benefits from the intangible assets of customer contracts and relationships are expected to be realized. We amortize other non-customer acquired intangibles using a straight-line method of amortization. We evaluate other intangible assets, as well as our long-lived assets, for impairment whenever events or changes in circumstances indicate that the carrying amount of such assets may not be recoverable. When this occurs, a recoverability test is performed that compares the projected undiscounted cash flows from the use and eventual disposition of an asset or asset group to its carrying amount. If the projected undiscounted cash flows are less than the carrying amount, then we calculate an impairment loss. The impairment loss calculation compares the fair value, which is based on projected discounted cash flows, to the carrying value.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See Note 9, “Goodwill and Other Intangible Assets,” for further information on goodwill, other intangible assets, and impairment charges.</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Other Noncurrent Assets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At October 31, 2023 and 2022, other noncurrent assets primarily consisted of long-term insurance recoverables, interest rate swap assets, capitalized commissions, cloud computing arrangements, prepayments to carriers for future insurance claims, and insurance deposits.</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Federal Energy Savings Performance Contract Receivables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part of our Technical Solutions business, we enter into ESPCs with the federal government pursuant to which we agree to develop, design, engineer, and construct a project and to guarantee that the project will satisfy agreed-upon performance standards. ESPC receivables represent the amount to be paid by various federal government agencies for work we have satisfactorily performed under specific ESPCs. We assign certain of our rights to receive those payments to unaffiliated third parties that provide construction financing, which we record as a liability, for such contracts. This construction financing is recorded as cash flows from financing activities, while the use of the cash received to pay project costs under these arrangements is classified as operating cash flows. The ESPC receivable is recognized as revenue as each project is constructed. Upon completion and acceptance of the project by the government and upon satisfaction of true sale criteria, the assigned ESPC receivable from the government and corresponding ESPC liability are eliminated from our consolidated financial statements.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Fair Value of Financial Instruments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Fair value is the price we would receive to sell an asset or pay to transfer a liability in an orderly transaction with a market participant at the measurement date. In the absence of active markets for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Observable inputs reflect market data obtained from independent sources, while unobservable inputs reflect our market assumptions. Preference is given to observable inputs. These two types of inputs create the following fair value hierarchy:</w:t>
      </w:r>
    </w:p>
    <w:p>
      <w:pPr>
        <w:pStyle w:val="TextBody"/>
        <w:bidi w:val="0"/>
        <w:spacing w:lineRule="auto" w:line="288" w:before="180" w:after="283"/>
        <w:jc w:val="both"/>
        <w:rPr/>
      </w:pPr>
      <w:r>
        <w:rPr>
          <w:rFonts w:ascii="Arial;sans-serif" w:hAnsi="Arial;sans-serif"/>
          <w:b/>
          <w:color w:val="000000"/>
          <w:sz w:val="20"/>
        </w:rPr>
        <w:t xml:space="preserve">Level 1 </w:t>
      </w:r>
      <w:r>
        <w:rPr>
          <w:color w:val="000000"/>
        </w:rPr>
        <w:t xml:space="preserve">– </w:t>
      </w:r>
      <w:r>
        <w:rPr>
          <w:rFonts w:ascii="Arial;sans-serif" w:hAnsi="Arial;sans-serif"/>
          <w:b w:val="false"/>
          <w:color w:val="000000"/>
          <w:sz w:val="20"/>
        </w:rPr>
        <w:t>Quoted prices for identical instruments in active markets;</w:t>
      </w:r>
    </w:p>
    <w:p>
      <w:pPr>
        <w:pStyle w:val="TextBody"/>
        <w:bidi w:val="0"/>
        <w:spacing w:lineRule="auto" w:line="288" w:before="180" w:after="283"/>
        <w:jc w:val="both"/>
        <w:rPr/>
      </w:pPr>
      <w:r>
        <w:rPr>
          <w:rFonts w:ascii="Arial;sans-serif" w:hAnsi="Arial;sans-serif"/>
          <w:b/>
          <w:color w:val="000000"/>
          <w:sz w:val="20"/>
        </w:rPr>
        <w:t xml:space="preserve">Level 2 </w:t>
      </w:r>
      <w:r>
        <w:rPr>
          <w:color w:val="000000"/>
        </w:rPr>
        <w:t xml:space="preserve">– </w:t>
      </w:r>
      <w:r>
        <w:rPr>
          <w:rFonts w:ascii="Arial;sans-serif" w:hAnsi="Arial;sans-serif"/>
          <w:b w:val="false"/>
          <w:color w:val="000000"/>
          <w:sz w:val="20"/>
        </w:rPr>
        <w:t>Quoted prices for similar instruments in active markets; quoted prices for identical or similar instruments in markets that are not active; and model-derived valuations whose inputs are observable or whose significant value drivers are observable; and</w:t>
      </w:r>
    </w:p>
    <w:p>
      <w:pPr>
        <w:pStyle w:val="TextBody"/>
        <w:bidi w:val="0"/>
        <w:spacing w:lineRule="auto" w:line="288" w:before="180" w:after="283"/>
        <w:jc w:val="both"/>
        <w:rPr/>
      </w:pPr>
      <w:r>
        <w:rPr>
          <w:rFonts w:ascii="Arial;sans-serif" w:hAnsi="Arial;sans-serif"/>
          <w:b/>
          <w:color w:val="000000"/>
          <w:sz w:val="20"/>
        </w:rPr>
        <w:t xml:space="preserve">Level 3 </w:t>
      </w:r>
      <w:r>
        <w:rPr>
          <w:color w:val="000000"/>
        </w:rPr>
        <w:t xml:space="preserve">– </w:t>
      </w:r>
      <w:r>
        <w:rPr>
          <w:rFonts w:ascii="Arial;sans-serif" w:hAnsi="Arial;sans-serif"/>
          <w:b w:val="false"/>
          <w:color w:val="000000"/>
          <w:sz w:val="20"/>
        </w:rPr>
        <w:t>Significant inputs to the valuation model are unobservable.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60350"/>
                <wp:effectExtent l="0" t="0" r="0" b="0"/>
                <wp:wrapNone/>
                <wp:docPr id="64" name="Frame5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evaluate assets and liabilities subject to fair value measurements on a recurring and non-recurring basis to determine the appropriate level at which to classify them for each reporting period. Some non-financial assets are measured at fair value on a non-recurring basis only in certain circumstances, including the event of impairment. See Note 7, “Fair Value of Financial Instruments,” for the fair value hierarchy table and for details on how we measure fair value for our assets and liabilities.</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Insurance Reserves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use a combination of insured and self-insurance programs to cover workers’ compensation, general liability, automobile liability, property damage, and other insurable risks. Insurance claim liabilities represent our estimate of retained risks without regard to insurance coverage. We retain a substantial portion of the risk related to certain workers’ compensation and medical claims. Liabilities associated with these losses include estimates of both filed claims and IBNR Claims.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With the assistance of third-party actuaries, we review our estimate of ultimate losses for IBNR Claims on a quarterly basis and adjust our required self-insurance reserves as appropriate. See Note 10, “Insurance,” for further details on the quarterly review procedures. As part of this evaluation, we review the status of existing and new claim reserves as established by third-party claims administrators. The third-party claims administrators establish the case reserves based upon known factors related to the type and severity of the claims, demographic factors, legislative matters, and case law, as appropriate. We compare actual trends to expected trends and monitor claims developments. 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such as IBNR Claims. We utilize the results of actuarial studies to estimate our insurance rates and insurance reserves for future periods and to adjust reserves, if appropriate, for prior years.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 general, our insurance reserves are recorded on an undiscounted basis. We allocate current-year insurance expense to our operating segments based upon their underlying exposures, while actuarial adjustments related to prior year claims are recorded within Corporate expenses. We classify claims as current or long-term based on the expected settlement date. Estimated insurance recoveries related to recorded liabilities are reflected as assets in our Consolidated Balance Sheets when we believe the receipt of such amounts is probable.</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Other Accrued Liabilities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At October 31, 2023 and 2022, other accrued liabilities primarily consisted of contract liabilities, employee benefits, ESPC liabilities, unclaimed property, legal fees and settlements, and dividends payable.</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Other Noncurrent Liabilities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At October 31, 2023 and 2022, other noncurrent liabilities primarily consisted of deferred compensation, contingent consideration liability, long-term finance leases, and retirement plan liabilities.</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Contracts with Customers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account for a contract when it has approval and commitment from both parties, the rights of the parties are identified, payment terms are identified, the contract has commercial substance, and collectability of consideration is probable. Once a contract is identified, we evaluate whether it is a combined or single contract and whether it should be accounted for as more than one performance obligation. Generally, most of our contracts are cancelable by either party without a substantive penalty, and the majority of our contracts have a notification period of 30 to 90 days. If a contract includes a cancellation clause, the remaining contract term is limited to the required termination notice period.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contract inception, we assess the services promised to our customers and identify a performance obligation for each promise to transfer to the customer a service, or a bundle of services, that is distinct. To identify the performance obligation, we consider all of our services promised in the contract, regardless of whether they are explicitly stated or are implied by customary business practices.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majority of our contracts contain multiple promises that represent an integrated bundle of services comprised of activities that may vary over time; however, these activities fulfill a single integrated performance obligation since we perform a continuous service that is substantially the same and has the same pattern of transfer to the customer. Our performance obligations are primarily satisfied over time as we provide the related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60350"/>
                <wp:effectExtent l="0" t="0" r="0" b="0"/>
                <wp:wrapNone/>
                <wp:docPr id="65" name="Frame56"/>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We allocate the contract transaction price to this single performance obligation and recognize revenue as the services are performed, as further described in “Contract Types” below.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Certain arrangements involve variable consideration (primarily per transaction fees, reimbursable expenses, and sales-based royalties). We do not estimate the variable consideration for these arrangements; rather, we recognize these variable fees in the period they are earned. Some of our contracts, often related to Airline Services, may also include performance incentives based on variable performance measures that are ascertained exclusively by future performance and therefore cannot be estimated at contract inception and are recognized as revenue once known and mutually agreed upon.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primarily account for our performance obligations under the series guidance, using the as-invoiced practical expedient when applicable. We apply the as-invoiced practical expedient to record revenue as the services are provided, given the nature of the services provided and the frequency of billing under the customer contracts. Under this practical expedient, we recognize revenue in an amount that corresponds directly with the value to the customer of our performance completed to date and for which we have the right to invoice the customer.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typically bill customers on a monthly basis and have the right to consideration from customers in an amount that corresponds directly with the performance obligation satisfied to date. The time between completion of the performance obligation and collection of cash is generally 30 to 60 days. Sales-based taxes are excluded from revenue.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Contracts generally can be modified to account for changes in specifications and requirements. We consider contract modifications to exist when the modification either changes the consideration, creates new performance obligations, or changes the existing scope of the contract and related performance obligations. Historically, contract modifications have been for services that are not distinct from the existing contract, since we are providing a bundle of services that are highly interrelated, and are therefore treated as if they were part of that existing contract. Such modifications are generally accounted for retrospectively as part of the existing contract.</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Contract Types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have arrangements under various contract types, as described below.</w:t>
      </w:r>
    </w:p>
    <w:p>
      <w:pPr>
        <w:pStyle w:val="TextBody"/>
        <w:bidi w:val="0"/>
        <w:spacing w:lineRule="auto" w:line="288" w:before="180" w:after="283"/>
        <w:jc w:val="both"/>
        <w:rPr/>
      </w:pPr>
      <w:r>
        <w:rPr>
          <w:rFonts w:ascii="Arial;sans-serif" w:hAnsi="Arial;sans-serif"/>
          <w:b w:val="false"/>
          <w:i/>
          <w:color w:val="0046AD"/>
          <w:sz w:val="20"/>
        </w:rPr>
        <w:t>Monthly Fixed-Price</w:t>
      </w:r>
      <w:r>
        <w:rPr>
          <w:color w:val="0046AD"/>
        </w:rPr>
        <w:t xml:space="preserve">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Monthly fixed-price arrangements are contracts in which the client agrees to pay a fixed fee every month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w:t>
      </w:r>
    </w:p>
    <w:p>
      <w:pPr>
        <w:pStyle w:val="TextBody"/>
        <w:bidi w:val="0"/>
        <w:spacing w:lineRule="auto" w:line="288" w:before="180" w:after="283"/>
        <w:jc w:val="both"/>
        <w:rPr>
          <w:rFonts w:ascii="Arial;sans-serif" w:hAnsi="Arial;sans-serif"/>
          <w:b w:val="false"/>
          <w:i/>
          <w:color w:val="0046AD"/>
          <w:sz w:val="20"/>
        </w:rPr>
      </w:pPr>
      <w:r>
        <w:rPr>
          <w:rFonts w:ascii="Arial;sans-serif" w:hAnsi="Arial;sans-serif"/>
          <w:b w:val="false"/>
          <w:i/>
          <w:color w:val="0046AD"/>
          <w:sz w:val="20"/>
        </w:rPr>
        <w:t>Square-Foot</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Square-foot arrangements are contracts in which the client agrees to pay a fixed fee every month based on the actual square footage serviced over a specified contract term.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w:t>
      </w:r>
    </w:p>
    <w:p>
      <w:pPr>
        <w:pStyle w:val="TextBody"/>
        <w:bidi w:val="0"/>
        <w:spacing w:lineRule="auto" w:line="288" w:before="180" w:after="283"/>
        <w:jc w:val="both"/>
        <w:rPr>
          <w:rFonts w:ascii="Arial;sans-serif" w:hAnsi="Arial;sans-serif"/>
          <w:b w:val="false"/>
          <w:i/>
          <w:color w:val="0046AD"/>
          <w:sz w:val="20"/>
        </w:rPr>
      </w:pPr>
      <w:r>
        <w:rPr>
          <w:rFonts w:ascii="Arial;sans-serif" w:hAnsi="Arial;sans-serif"/>
          <w:b w:val="false"/>
          <w:i/>
          <w:color w:val="0046AD"/>
          <w:sz w:val="20"/>
        </w:rPr>
        <w:t>Cost-Plus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Cost-plus arrangements are contracts in which the clients reimburse us for the agreed-upon amount of wages and benefits, payroll taxes, insurance charges, and other expenses associated with the contracted work, plus a profit margin.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60350"/>
                <wp:effectExtent l="0" t="0" r="0" b="0"/>
                <wp:wrapNone/>
                <wp:docPr id="66" name="Frame5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i/>
          <w:color w:val="0046AD"/>
          <w:sz w:val="20"/>
        </w:rPr>
      </w:pPr>
      <w:r>
        <w:rPr>
          <w:rFonts w:ascii="Arial;sans-serif" w:hAnsi="Arial;sans-serif"/>
          <w:b w:val="false"/>
          <w:i/>
          <w:color w:val="0046AD"/>
          <w:sz w:val="20"/>
        </w:rPr>
        <w:t xml:space="preserve">Work Orders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Work orders generally consist of supplemental services requested by clients outside of the standard service specification and include cleanup after tenant moves, construction cleanup, flood cleanup, and snow removal. The nature of these short-term contracts involves performing one-off type services, and revenue is recognized at the agreed-upon contractual amount over time as the services are provided, because the customer simultaneously receives and consumes the benefits of the services as they are performed. </w:t>
      </w:r>
    </w:p>
    <w:p>
      <w:pPr>
        <w:pStyle w:val="TextBody"/>
        <w:bidi w:val="0"/>
        <w:spacing w:lineRule="auto" w:line="288" w:before="180" w:after="283"/>
        <w:jc w:val="both"/>
        <w:rPr>
          <w:rFonts w:ascii="Arial;sans-serif" w:hAnsi="Arial;sans-serif"/>
          <w:b w:val="false"/>
          <w:i/>
          <w:color w:val="0046AD"/>
          <w:sz w:val="20"/>
        </w:rPr>
      </w:pPr>
      <w:r>
        <w:rPr>
          <w:rFonts w:ascii="Arial;sans-serif" w:hAnsi="Arial;sans-serif"/>
          <w:b w:val="false"/>
          <w:i/>
          <w:color w:val="0046AD"/>
          <w:sz w:val="20"/>
        </w:rPr>
        <w:t xml:space="preserve">Transaction-Price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Transaction-price contracts are arrangements in which customers are billed a fixed price for each transaction performed on a monthly basis (e.g., wheelchair passengers served, airplane cabins cleaned).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w:t>
      </w:r>
    </w:p>
    <w:p>
      <w:pPr>
        <w:pStyle w:val="TextBody"/>
        <w:bidi w:val="0"/>
        <w:spacing w:lineRule="auto" w:line="288" w:before="180" w:after="283"/>
        <w:jc w:val="both"/>
        <w:rPr>
          <w:rFonts w:ascii="Arial;sans-serif" w:hAnsi="Arial;sans-serif"/>
          <w:b w:val="false"/>
          <w:i/>
          <w:color w:val="0046AD"/>
          <w:sz w:val="20"/>
        </w:rPr>
      </w:pPr>
      <w:r>
        <w:rPr>
          <w:rFonts w:ascii="Arial;sans-serif" w:hAnsi="Arial;sans-serif"/>
          <w:b w:val="false"/>
          <w:i/>
          <w:color w:val="0046AD"/>
          <w:sz w:val="20"/>
        </w:rPr>
        <w:t xml:space="preserve">Hourly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Hourly arrangements are contracts in which the client is billed a fixed hourly rate for each labor hour provided. We measure progress toward satisfaction of the performance obligation as the services are provided, and revenue is recognized at the agreed-upon contractual amount over time, because the customer simultaneously receives and consumes the benefits of the services as they are performed. </w:t>
      </w:r>
    </w:p>
    <w:p>
      <w:pPr>
        <w:pStyle w:val="TextBody"/>
        <w:bidi w:val="0"/>
        <w:spacing w:lineRule="auto" w:line="288" w:before="180" w:after="283"/>
        <w:jc w:val="both"/>
        <w:rPr>
          <w:rFonts w:ascii="Arial;sans-serif" w:hAnsi="Arial;sans-serif"/>
          <w:b w:val="false"/>
          <w:i/>
          <w:color w:val="0046AD"/>
          <w:sz w:val="20"/>
        </w:rPr>
      </w:pPr>
      <w:r>
        <w:rPr>
          <w:rFonts w:ascii="Arial;sans-serif" w:hAnsi="Arial;sans-serif"/>
          <w:b w:val="false"/>
          <w:i/>
          <w:color w:val="0046AD"/>
          <w:sz w:val="20"/>
        </w:rPr>
        <w:t xml:space="preserve">Management Reimbursement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management reimbursement arrangements, we manage a parking facility for a management fee and pass through the revenue and expenses associated with the facility to the owner. We measure progress toward satisfaction of the performance obligation over time as the services are provided. Under these contracts we recognize both revenues and expenses, in equal amounts, that are directly reimbursed from the property owner for operating expenses, as such expenses are incurred. Such revenues do not include gross customer collections at the managed locations, because they belong to the property owners. We have determined we are the principal in these transactions, because the nature of our performance obligation is for us to provide the services on behalf of the customer and we have control of the promised services before they are transferred to the customer.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Management reimbursement revenue was $302.3 million, $280.6 million, and $240.3 million during 2023, 2022, and 2021, respectively.</w:t>
      </w:r>
    </w:p>
    <w:p>
      <w:pPr>
        <w:pStyle w:val="TextBody"/>
        <w:bidi w:val="0"/>
        <w:spacing w:lineRule="auto" w:line="288" w:before="180" w:after="283"/>
        <w:jc w:val="left"/>
        <w:rPr>
          <w:rFonts w:ascii="Arial;sans-serif" w:hAnsi="Arial;sans-serif"/>
          <w:b w:val="false"/>
          <w:i/>
          <w:color w:val="0046AD"/>
          <w:sz w:val="20"/>
        </w:rPr>
      </w:pPr>
      <w:r>
        <w:rPr>
          <w:rFonts w:ascii="Arial;sans-serif" w:hAnsi="Arial;sans-serif"/>
          <w:b w:val="false"/>
          <w:i/>
          <w:color w:val="0046AD"/>
          <w:sz w:val="20"/>
        </w:rPr>
        <w:t xml:space="preserve">Leased Location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Under leased location parking arrangements, we pay a fixed amount of rent, plus a percentage of revenues derived from monthly and transient parkers, to the property owner. We retain all revenues received and we are responsible for most operating expenses incurred. We measure progress toward satisfaction of the performance obligation as the services are provided, and revenue is recognized over time, because the customer simultaneously receives and consumes the benefits of the services as they are performed.</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Rental expense and certain other expenses under contracts that meet the definition of service concession arrangements are recorded as a reduction of revenue.</w:t>
      </w:r>
    </w:p>
    <w:p>
      <w:pPr>
        <w:pStyle w:val="TextBody"/>
        <w:bidi w:val="0"/>
        <w:spacing w:lineRule="auto" w:line="288" w:before="180" w:after="283"/>
        <w:jc w:val="both"/>
        <w:rPr>
          <w:rFonts w:ascii="Arial;sans-serif" w:hAnsi="Arial;sans-serif"/>
          <w:b w:val="false"/>
          <w:i/>
          <w:color w:val="0046AD"/>
          <w:sz w:val="20"/>
        </w:rPr>
      </w:pPr>
      <w:r>
        <w:rPr>
          <w:rFonts w:ascii="Arial;sans-serif" w:hAnsi="Arial;sans-serif"/>
          <w:b w:val="false"/>
          <w:i/>
          <w:color w:val="0046AD"/>
          <w:sz w:val="20"/>
        </w:rPr>
        <w:t>Allowance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Under allowance parking arrangements, we are paid a fixed amount or hourly rate to provide parking services, and we are responsible for certain operating expenses that are specified in the contract. We measure progress toward satisfaction of the performance obligation as the services are provided, and revenue is recognized at the agreed-upon contractual rate over time, because the customer simultaneously receives and consumes the benefits of the services as they are performed.</w:t>
      </w:r>
    </w:p>
    <w:p>
      <w:pPr>
        <w:pStyle w:val="TextBody"/>
        <w:bidi w:val="0"/>
        <w:spacing w:lineRule="auto" w:line="288" w:before="180" w:after="283"/>
        <w:jc w:val="both"/>
        <w:rPr>
          <w:rFonts w:ascii="Arial;sans-serif" w:hAnsi="Arial;sans-serif"/>
          <w:b w:val="false"/>
          <w:i/>
          <w:color w:val="0046AD"/>
          <w:sz w:val="20"/>
        </w:rPr>
      </w:pPr>
      <w:r>
        <w:rPr>
          <w:rFonts w:ascii="Arial;sans-serif" w:hAnsi="Arial;sans-serif"/>
          <w:b w:val="false"/>
          <w:i/>
          <w:color w:val="0046AD"/>
          <w:sz w:val="20"/>
        </w:rPr>
        <w:t>Energy Savings Contracts and Fixed-Price Repair and Refurbishment</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Under energy savings contracts and fixed-price repair and refurbishment arrangements, we agree to develop, design, engineer, and construct a project. Additionally, as part of bundled energy solutions arrangements, we guarantee the project will satisfy agreed-upon performance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60350"/>
                <wp:effectExtent l="0" t="0" r="0" b="0"/>
                <wp:wrapNone/>
                <wp:docPr id="67" name="Frame58"/>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use the cost-to-cost method, which compares the actual costs incurred to date with the current estimate of total costs to complete, to measure the satisfaction of the performance obligation and recognize revenue as work progresses and we incur costs on our contracts; we believe this method best reflects the transfer of control to the customer. This measurement and comparison process requires updates to the estimate of total costs to complete the contract, and these updates may include subjective assessments and judgments. Equipment purchased for these projects is project-specific and considered a value-added element to our work. Equipment costs are incurred when the title is transferred to us, typically upon delivery to the work site. Revenue for uninstalled equipment is recognized at cost and the associated margin is deferred until installation is substantially complete.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recognize revenue over time for all of our services as we perform them, because (i) control continuously transfers to the customer as work progresses, or (ii) we have the right to bill the customer as costs are incurred. The customer typically controls the work in process, as evidenced either by contractual termination clauses or by our rights to payment for work performed to date plus a reasonable profit to deliver products or services that do not have an alternative use to us.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Certain project contracts include a schedule of billings or invoices to the customer based on our job-to-date percentage of completion of specific tasks inherent in the fulfillment of our performance obligation(s) or in accordance with a fixed billing schedule. Fixed billing schedules may not precisely match the actual costs incurred. Therefore, revenue recognized may differ from amounts that can be billed or invoiced to the customer at any point during the contract, resulting in balances that are considered revenue recognized in excess of amounts billed or amounts billed in excess of revenue recognized. Advanced payments from our customers generally do not represent a significant financing component as the payments are used to meet working capital demands that can be higher in the early stages of a contract, as well as to protect us from our customer failing to meet its obligations under the contract.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Certain projects include service maintenance agreements under which existing systems are repaired and maintained for a specific period of time. We generally recognize revenue under these arrangements over time. Our service maintenance agreements are generally one-year renewable agreements.</w:t>
      </w:r>
    </w:p>
    <w:p>
      <w:pPr>
        <w:pStyle w:val="TextBody"/>
        <w:bidi w:val="0"/>
        <w:spacing w:lineRule="auto" w:line="288" w:before="180" w:after="283"/>
        <w:jc w:val="both"/>
        <w:rPr>
          <w:rFonts w:ascii="Arial;sans-serif" w:hAnsi="Arial;sans-serif"/>
          <w:b w:val="false"/>
          <w:i/>
          <w:color w:val="0046AD"/>
          <w:sz w:val="20"/>
        </w:rPr>
      </w:pPr>
      <w:r>
        <w:rPr>
          <w:rFonts w:ascii="Arial;sans-serif" w:hAnsi="Arial;sans-serif"/>
          <w:b w:val="false"/>
          <w:i/>
          <w:color w:val="0046AD"/>
          <w:sz w:val="20"/>
        </w:rPr>
        <w:t>Franchise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franchise certain engineering services through individual and area franchises under the Linc Service and TEGG brands, which are part of ABM Technical Solutions. Initial franchise fees result from the sale of a franchise license and include the use of the name, trademarks, and proprietary methods. The franchise license is considered symbolic intellectual property, and revenue related to the sale of this right is recognized at the agreed-upon contractual amount over the term of the initial franchise agreement.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Royalty fee revenue consists of sales-based royalties received as part of the consideration for the franchise right, which is calculated as a percentage of the franchisees’ revenue. We recognize royalty fee revenue at the agreed-upon contractual rates over time as the customer revenue is generated by the franchisees. A receivable is recognized for an estimate of the unreported royalty fees, which are reported and remitted to us in arrears.</w:t>
      </w:r>
    </w:p>
    <w:p>
      <w:pPr>
        <w:pStyle w:val="TextBody"/>
        <w:bidi w:val="0"/>
        <w:spacing w:lineRule="auto" w:line="288" w:before="180" w:after="283"/>
        <w:jc w:val="left"/>
        <w:rPr>
          <w:rFonts w:ascii="Arial;sans-serif" w:hAnsi="Arial;sans-serif"/>
          <w:b w:val="false"/>
          <w:i/>
          <w:color w:val="0A2299"/>
          <w:sz w:val="20"/>
        </w:rPr>
      </w:pPr>
      <w:r>
        <w:rPr>
          <w:rFonts w:ascii="Arial;sans-serif" w:hAnsi="Arial;sans-serif"/>
          <w:b w:val="false"/>
          <w:i/>
          <w:color w:val="0A2299"/>
          <w:sz w:val="20"/>
        </w:rPr>
        <w:t>Microgrid Systems Installation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provide electrical contracting services for energy related products such as the installation of solar solutions, battery storage, distributed generation, and other specialized electric trades.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use the cost-to-cost method, which compares the actual costs incurred to date with the current estimate of total costs to complete, to measure the satisfaction of the performance obligation and recognize revenue as work progresses and we incur costs on our contracts; we believe this method best reflects the transfer of control to the customer. This measurement and comparison process requires updates to the estimate of total costs to complete the contract, and these updates may include subjective assessments and judgments. </w:t>
      </w:r>
    </w:p>
    <w:p>
      <w:pPr>
        <w:pStyle w:val="TextBody"/>
        <w:bidi w:val="0"/>
        <w:spacing w:lineRule="auto" w:line="288" w:before="180" w:after="283"/>
        <w:jc w:val="both"/>
        <w:rPr>
          <w:rFonts w:ascii="Arial;sans-serif" w:hAnsi="Arial;sans-serif"/>
          <w:b/>
          <w:i/>
          <w:color w:val="164FA2"/>
          <w:sz w:val="20"/>
        </w:rPr>
      </w:pPr>
      <w:r>
        <w:rPr>
          <w:rFonts w:ascii="Arial;sans-serif" w:hAnsi="Arial;sans-serif"/>
          <w:b/>
          <w:i/>
          <w:color w:val="164FA2"/>
          <w:sz w:val="20"/>
        </w:rPr>
        <w:t>Costs to Obtain a Contract with a Customer</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capitalize the incremental costs of obtaining a contract with a customer, primarily commissions, as contract assets and recognize the expense on a straight-line basis over a weighted average expected customer relationship period. Capitalized commissions are classified as current or noncurrent based on the timing of when we expect to recognize the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60350"/>
                <wp:effectExtent l="0" t="0" r="0" b="0"/>
                <wp:wrapNone/>
                <wp:docPr id="68" name="Frame5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i/>
          <w:color w:val="164FA2"/>
          <w:sz w:val="20"/>
        </w:rPr>
      </w:pPr>
      <w:r>
        <w:rPr>
          <w:rFonts w:ascii="Arial;sans-serif" w:hAnsi="Arial;sans-serif"/>
          <w:b/>
          <w:i/>
          <w:color w:val="164FA2"/>
          <w:sz w:val="20"/>
        </w:rPr>
        <w:t xml:space="preserve">Contract Balances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timing of revenue recognition, billings, and cash collections results in contract assets and contract liabilities, as further explained below. The timing of revenue recognition may differ from the timing of invoicing to customers. If a contract includes a cancellation clause that allows for the termination of the contract by either party without a substantive penalty, then the contract term is limited to the termination notice period.</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Contract assets primarily consist of billed trade receivables, unbilled trade receivables, and costs incurred in excess of amounts billed. Billed and unbilled trade receivables represent amounts from work completed in which we have an unconditional right to bill our customer. Costs incurred in excess of amounts billed typically arise when the revenue recognized on projects exceeds the amount billed to the customer. These amounts are transferred to billed trade receivables when the rights become unconditional. Contract assets also include the capitalization of incremental costs of obtaining a contract with a customer, primarily commissions.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Contract liabilities consist of deferred revenue and advance payments and billings in excess of revenue recognized. We generally classify contract liabilities as current since the related contracts are generally for a period of one year or less. Contract liabilities decrease as we recognize revenue from the satisfaction of the related performance obligation.</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Advertising</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Advertising costs are expensed as incurred. During 2023, 2022, and 2021, advertising expense was $8.8 million, $6.0 million, and $6.2 million, respectively.</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Share-Based Compensation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current share-based awards principally consist of restricted stock units (“RSUs”) and performance share awards. We recognize compensation costs associated with these awards in selling, general and administrative expenses. For RSUs and performance share awards, the amount of compensation cost is measured based on the grant-date fair value of the equity instruments issued. Since our total shareholder return (“TSR”) performance share awards are performance awards with a market condition, the compensation costs associated with these awards are determined using a Monte Carlo simulation valuation model. For RSUs and TSR performance share awards, compensation cost is recognized over the period that an employee provides service in exchange for the award. We recognize compensation cost associated with other performance share awards over the requisite service period based on the probability of achievement of performance criteria.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Taxes Collected from Clients and Remitted to Governmental Agencies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record taxes on client transactions due to governmental agencies as receivables and liabilities on the Consolidated Balance Sheets.</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Net Income Per Common Share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Basic net income per common share is net income divided by the weighted-average number of common shares outstanding during the period. Diluted net income per common share is based on the weighted-average number of common shares outstanding during the period, adjusted to include the potential dilution from the conversion of RSUs, vesting of performance shares, and exercisable stock options.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Contingencies and Litigation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 We accrue for loss contingencies when losses become probable and are reasonably estimable. If the reasonable estimate of the loss is a range and no amount within the range is a better estimate, then the minimum amount of the range is recorded as a liability. We recognize legal costs as an expense in the period incurred.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Income Taxes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account for income taxes using the asset and liability method. Deferred tax assets and liabilities are recognized for the future tax consequences attributable to temporary differences between the financial statement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60350"/>
                <wp:effectExtent l="0" t="0" r="0" b="0"/>
                <wp:wrapNone/>
                <wp:docPr id="69" name="Frame60"/>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carrying amount of existing assets and liabilities and their respective tax bases. We measure deferred tax assets and liabilities using enacted tax rates expected to be applied to taxable income in the years in which those temporary differences are expected to be recovered. Deferred tax assets are reviewed for recoverability on a quarterly basis. A valuation allowance is recorded to reduce the carrying amount of a deferred tax asset to its realizable value unless it is more likely than not that such asset will be realized. We recognize accrued interest and penalties related to unrecognized tax benefits in income tax expense in our Consolidated Statements of Comprehensive Income.</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Employee Retention Tax Credit</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2020, the U.S. government enacted the Coronavirus Aid, Relief and Security Act (the “CARES Act”) to provide certain relief as a result of the COVID-19 pandemic. The CARES Act provides tax relief, along with other stimulus measures, including a provision for an Employee Retention Credit (“ERC”). ERC is a refundable tax credit for employers who kept employees on their payroll during the COVID-19 pandemic.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year ended October 31, 2023, we received and recorded an employee retention credit totaling $24.0 million, within the “Selling, general and administrative expenses” on the unaudited Consolidated Statements of Comprehensive Income.</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Recently Adopted Accounting Standards</w:t>
      </w:r>
    </w:p>
    <w:p>
      <w:pPr>
        <w:pStyle w:val="TextBody"/>
        <w:bidi w:val="0"/>
        <w:spacing w:lineRule="auto" w:line="288" w:before="180" w:after="283"/>
        <w:ind w:left="0" w:right="0" w:firstLine="720"/>
        <w:jc w:val="both"/>
        <w:rPr/>
      </w:pPr>
      <w:r>
        <w:rPr>
          <w:rFonts w:ascii="Arial;sans-serif" w:hAnsi="Arial;sans-serif"/>
          <w:b w:val="false"/>
          <w:color w:val="000000"/>
          <w:sz w:val="20"/>
        </w:rPr>
        <w:t xml:space="preserve">In March 2020, the FASB issued ASU 2020-04, </w:t>
      </w:r>
      <w:r>
        <w:rPr>
          <w:rFonts w:ascii="Arial;sans-serif" w:hAnsi="Arial;sans-serif"/>
          <w:b w:val="false"/>
          <w:i/>
          <w:color w:val="000000"/>
          <w:sz w:val="20"/>
        </w:rPr>
        <w:t>Reference Rate Reform (Topic 848), Facilitation of the Effects of Reference Rate Reform on Financial Reporting</w:t>
      </w:r>
      <w:r>
        <w:rPr>
          <w:rFonts w:ascii="Arial;sans-serif" w:hAnsi="Arial;sans-serif"/>
          <w:b w:val="false"/>
          <w:color w:val="000000"/>
          <w:sz w:val="20"/>
        </w:rPr>
        <w:t xml:space="preserve">. This ASU provides optional expedients to assist with the discontinuance of London Interbank Offered Rate (“LIBOR”). The expedients allow companies to ease the potential accounting burden when modifying contracts and hedging relationships that use LIBOR as a reference rate, if certain criteria are met. In January 2021, FASB issued ASU 2021-01, </w:t>
      </w:r>
      <w:r>
        <w:rPr>
          <w:rFonts w:ascii="Arial;sans-serif" w:hAnsi="Arial;sans-serif"/>
          <w:b w:val="false"/>
          <w:i/>
          <w:color w:val="000000"/>
          <w:sz w:val="20"/>
        </w:rPr>
        <w:t>Reference Rate Reform (Topic 848): Scope</w:t>
      </w:r>
      <w:r>
        <w:rPr>
          <w:rFonts w:ascii="Arial;sans-serif" w:hAnsi="Arial;sans-serif"/>
          <w:b w:val="false"/>
          <w:color w:val="000000"/>
          <w:sz w:val="20"/>
        </w:rPr>
        <w:t>. This ASU clarifies that derivatives affected by the discounting transition are explicitly eligible for certain optional expedients and exceptions under Topic 848. Effective November 1, 2022, we applied available practical expedients under Topic 848 to account for modifications, changes in critical terms, and updates to the designated hedged risks as qualifying changes have been made to applicable debt and derivative contracts as if they were not substantial.</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 xml:space="preserve">Recently Issued Accounting Standards </w:t>
      </w:r>
    </w:p>
    <w:p>
      <w:pPr>
        <w:pStyle w:val="TextBody"/>
        <w:bidi w:val="0"/>
        <w:spacing w:lineRule="auto" w:line="288" w:before="180" w:after="283"/>
        <w:ind w:left="0" w:right="0" w:firstLine="720"/>
        <w:jc w:val="both"/>
        <w:rPr/>
      </w:pPr>
      <w:r>
        <w:rPr>
          <w:rFonts w:ascii="Arial;sans-serif" w:hAnsi="Arial;sans-serif"/>
          <w:b w:val="false"/>
          <w:color w:val="000000"/>
          <w:sz w:val="20"/>
        </w:rPr>
        <w:t xml:space="preserve">In September 2022, the FASB issued ASU 2022-04, </w:t>
      </w:r>
      <w:r>
        <w:rPr>
          <w:rFonts w:ascii="Arial;sans-serif" w:hAnsi="Arial;sans-serif"/>
          <w:b w:val="false"/>
          <w:i/>
          <w:color w:val="000000"/>
          <w:sz w:val="20"/>
        </w:rPr>
        <w:t>Liabilities — Supplier Finance Programs (Subtopic 405-50): Disclosure of Supplier Finance Program Obligations</w:t>
      </w:r>
      <w:r>
        <w:rPr>
          <w:rFonts w:ascii="Arial;sans-serif" w:hAnsi="Arial;sans-serif"/>
          <w:b w:val="false"/>
          <w:color w:val="000000"/>
          <w:sz w:val="20"/>
        </w:rPr>
        <w:t xml:space="preserve">, designed to enhance transparency around supplier finance programs by requiring new disclosures that would allow a user of the financial statements to understand the program’s nature, activity during the period, changes from period to period, and potential magnitude. This ASU is effective for fiscal years beginning after December 15, 2022, including interim periods within those fiscal years, except for the amendment on rollforward information, which is effective for fiscal years beginning after December 15, 2023, with early adoption permitted. We are currently evaluating the impact of implementing this guidance on our financial statements; however, we do not expect adoption to have a material impact. </w:t>
      </w:r>
    </w:p>
    <w:p>
      <w:pPr>
        <w:pStyle w:val="TextBody"/>
        <w:bidi w:val="0"/>
        <w:spacing w:lineRule="auto" w:line="288" w:before="180" w:after="283"/>
        <w:ind w:left="0" w:right="0" w:firstLine="720"/>
        <w:jc w:val="both"/>
        <w:rPr/>
      </w:pPr>
      <w:r>
        <w:rPr>
          <w:rFonts w:ascii="Arial;sans-serif" w:hAnsi="Arial;sans-serif"/>
          <w:b w:val="false"/>
          <w:color w:val="000000"/>
          <w:sz w:val="20"/>
        </w:rPr>
        <w:t xml:space="preserve">In November 2023, the FASB issued ASU 2023-07, </w:t>
      </w:r>
      <w:r>
        <w:rPr>
          <w:rFonts w:ascii="Arial;sans-serif" w:hAnsi="Arial;sans-serif"/>
          <w:b w:val="false"/>
          <w:i/>
          <w:color w:val="000000"/>
          <w:sz w:val="20"/>
        </w:rPr>
        <w:t>Segment Reporting (Topic 280): Improvements to Reportable Segment Disclosures</w:t>
      </w:r>
      <w:r>
        <w:rPr>
          <w:rFonts w:ascii="Arial;sans-serif" w:hAnsi="Arial;sans-serif"/>
          <w:b w:val="false"/>
          <w:color w:val="000000"/>
          <w:sz w:val="20"/>
        </w:rPr>
        <w:t xml:space="preserve">. This accounting update improves reportable segment disclosure requirements, primarily through enhanced disclosures about significant segment expenses. This ASU requires disclosure, on an annual and interim basis, of significant segment expenses that are regularly provided to the chief operating decision maker, and an amount for other segment items by reportable segment, with a description of its composition. This ASU is effective for fiscal years beginning after December 15, 2023, and interim periods within fiscal years beginning after December 15, 2024, with early adoption permitted. We are currently evaluating the impact of implementing this guidance on our financial statements; however, we do not expect adoption to have a material impact.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do not expect any other recently issued accounting pronouncements to have a material impact on our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60350"/>
                <wp:effectExtent l="0" t="0" r="0" b="0"/>
                <wp:wrapNone/>
                <wp:docPr id="70" name="Frame6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3. ACQUISITIONS AND DISPOSITIONS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Acquisition of RavenVolt</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On September 1, 2022, we completed the acquisition of all of the equity interests of RavenVolt, Inc. (“RavenVolt”), a nationwide provider of advanced turn-key microgrid systems utilized by diversified commercial and industrial customers, national retailers, utilities, and municipalities. RavenVolt’s operations are included within our Technical Solutions segment. The transaction met the definition of a business combination. We applied the acquisition method of accounting.</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initial purchase price for the acquisition was approximately $170.0 million in cash at closing (subject to customary working capital and net debt adjustments) plus the potential of post-closing contingent consideration of up to $280.0 million. The post closing contingent consideration is payable in cash in calendar years 2024, 2025, and 2026 if RavenVolt’s earnings before interest, taxes, depreciation, and amortization (EBITDA), as defined in the RavenVolt merger agreement, meets or exceeds certain defined targets. The maximum contingent consideration that is payable in calendar years 2024, 2025, and 2026 is $75.0 million, $75.0 million, and $130.0 million, respectively. If the EBITDA achieved for calendar years 2023 - 2025 cumulatively meets the defined EBITDA targets, the entire $280.0 million would be paid in calendar year 2026, minus any earn-out payments made in 2024 and 2025. </w:t>
      </w:r>
    </w:p>
    <w:p>
      <w:pPr>
        <w:pStyle w:val="TextBody"/>
        <w:bidi w:val="0"/>
        <w:spacing w:lineRule="auto" w:line="268" w:before="120" w:after="120"/>
        <w:ind w:left="0" w:right="0" w:firstLine="720"/>
        <w:jc w:val="both"/>
        <w:rPr/>
      </w:pPr>
      <w:r>
        <w:rPr>
          <w:rFonts w:ascii="Arial;sans-serif" w:hAnsi="Arial;sans-serif"/>
          <w:b w:val="false"/>
          <w:color w:val="000000"/>
          <w:sz w:val="20"/>
        </w:rPr>
        <w:t>To estimate the fair value of the contingent consideration on the date of acquisition, we used the Real Options method.</w:t>
      </w:r>
      <w:r>
        <w:rPr>
          <w:color w:val="000000"/>
        </w:rPr>
        <w:t xml:space="preserve"> </w:t>
      </w:r>
      <w:r>
        <w:rPr>
          <w:rFonts w:ascii="Arial;sans-serif" w:hAnsi="Arial;sans-serif"/>
          <w:b w:val="false"/>
          <w:color w:val="000000"/>
          <w:sz w:val="20"/>
        </w:rPr>
        <w:t>The key assumptions used in our valuation were: i) forecast of revenues and EBITDA margins; ii) the volatility associated with the EBITDA; iii) risk-adjusted discount rate applied to forecasted EBITDA; and (iv) the credit-adjusted discount rate related to the payment of the contingent consideration.</w:t>
      </w:r>
      <w:r>
        <w:rPr>
          <w:color w:val="000000"/>
        </w:rPr>
        <w:t xml:space="preserve"> </w:t>
      </w:r>
      <w:r>
        <w:rPr>
          <w:rFonts w:ascii="Arial;sans-serif" w:hAnsi="Arial;sans-serif"/>
          <w:b w:val="false"/>
          <w:color w:val="000000"/>
          <w:sz w:val="20"/>
        </w:rPr>
        <w:t>A simulation of one million scenarios was performed with the assistance of a third-party valuation specialist, resulting in a fair value for the cumulative contingent consideration for calendar years 2023 through 2025 totaling $59.0 million. There were no material adjustments to the fair value of the contingent consideration from September 1, 2022 to October 31, 2022.</w:t>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October 31, 2023, the estimate of the fair value of the contingent consideration was $13.4 million. Results of operations subsequent to the acquisition date and changes to management’s forecasts, as well as the accretion of the liability, resulted in a total decrease in fair value of $45.6 million. This decrease is recognized within the “Selling, general and administrative expenses” of the Consolidated Statements of Comprehensive Income. We do not expect the RavenVolt business to achieve the financial targets for calendar year 2023, and as such we do not expect contingent consideration to be payable in the next 12 months. </w:t>
      </w:r>
    </w:p>
    <w:p>
      <w:pPr>
        <w:pStyle w:val="TextBody"/>
        <w:bidi w:val="0"/>
        <w:spacing w:lineRule="auto" w:line="288" w:before="180" w:after="283"/>
        <w:jc w:val="left"/>
        <w:rPr>
          <w:rFonts w:ascii="Arial;sans-serif" w:hAnsi="Arial;sans-serif"/>
          <w:b/>
          <w:i/>
          <w:color w:val="0046AD"/>
          <w:sz w:val="20"/>
        </w:rPr>
      </w:pPr>
      <w:r>
        <w:rPr>
          <w:rFonts w:ascii="Arial;sans-serif" w:hAnsi="Arial;sans-serif"/>
          <w:b/>
          <w:i/>
          <w:color w:val="0046AD"/>
          <w:sz w:val="20"/>
        </w:rPr>
        <w:t>Final Acquisition Accounting</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assets acquired and liabilities assumed were recognized at their acquisition date fair values. Goodwill arising from the RavenVolt Acquisition is not deductible for tax reporting purposes. There were no material changes made to preliminary acquisition accounting.</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the final acquisition accounting:</w:t>
      </w:r>
    </w:p>
    <w:tbl>
      <w:tblPr>
        <w:tblW w:w="4263" w:type="dxa"/>
        <w:jc w:val="left"/>
        <w:tblInd w:w="0" w:type="dxa"/>
        <w:tblLayout w:type="fixed"/>
        <w:tblCellMar>
          <w:top w:w="28" w:type="dxa"/>
          <w:left w:w="28" w:type="dxa"/>
          <w:bottom w:w="28" w:type="dxa"/>
          <w:right w:w="28" w:type="dxa"/>
        </w:tblCellMar>
      </w:tblPr>
      <w:tblGrid>
        <w:gridCol w:w="1056"/>
        <w:gridCol w:w="927"/>
        <w:gridCol w:w="942"/>
        <w:gridCol w:w="109"/>
        <w:gridCol w:w="109"/>
        <w:gridCol w:w="109"/>
        <w:gridCol w:w="211"/>
        <w:gridCol w:w="646"/>
        <w:gridCol w:w="154"/>
      </w:tblGrid>
      <w:tr>
        <w:trPr/>
        <w:tc>
          <w:tcPr>
            <w:tcW w:w="105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207.4 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accrued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liability, net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hanging="180"/>
        <w:jc w:val="both"/>
        <w:rPr>
          <w:rFonts w:ascii="Arial;sans-serif" w:hAnsi="Arial;sans-serif"/>
          <w:b/>
          <w:color w:val="0046AD"/>
          <w:sz w:val="20"/>
        </w:rPr>
      </w:pPr>
      <w:r>
        <w:rPr>
          <w:rFonts w:ascii="Arial;sans-serif" w:hAnsi="Arial;sans-serif"/>
          <w:b/>
          <w:color w:val="0046AD"/>
          <w:sz w:val="20"/>
        </w:rPr>
        <w:t>Acquisition of Momentum</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Effective April 7, 2022, we acquired Maybin Support Services Limited, Momentum Support Limited (UK), and Momentum Property Support Services Limited (collectively “Momentum”), a leading independent provider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60350"/>
                <wp:effectExtent l="0" t="0" r="0" b="0"/>
                <wp:wrapNone/>
                <wp:docPr id="71" name="Frame62"/>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facility services, primarily janitorial, across Ireland and Northern Ireland, for a purchase price of approximately $54.8 million. We have completed the acquisition accounting, and recorded final goodwill and intangibles of $42.9 million and $10.4 million, respectively. The total assets acquired, excluding goodwill and intangibles, and liabilities assumed amounted to $20.4 million and $18.9 million, respectively. Goodwill is not deductible for income tax purposes. There were no material changes made to preliminary acquisition accounting.</w:t>
      </w:r>
    </w:p>
    <w:p>
      <w:pPr>
        <w:pStyle w:val="TextBody"/>
        <w:bidi w:val="0"/>
        <w:spacing w:lineRule="auto" w:line="288" w:before="240" w:after="283"/>
        <w:jc w:val="both"/>
        <w:rPr>
          <w:rFonts w:ascii="Arial;sans-serif" w:hAnsi="Arial;sans-serif"/>
          <w:b/>
          <w:color w:val="0046AD"/>
          <w:sz w:val="20"/>
        </w:rPr>
      </w:pPr>
      <w:r>
        <w:rPr>
          <w:rFonts w:ascii="Arial;sans-serif" w:hAnsi="Arial;sans-serif"/>
          <w:b/>
          <w:color w:val="0046AD"/>
          <w:sz w:val="20"/>
        </w:rPr>
        <w:t>Disposition of Assets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2022, we sold a group of customer contracts for healthcare technology management within our Technical Solutions segment for $8.5 million and recognized a gain of $7.6 million, which is included in “Selling, general and administrative expenses” in the accompanying Consolidated Statements of Comprehensive Income.</w:t>
      </w:r>
    </w:p>
    <w:p>
      <w:pPr>
        <w:pStyle w:val="TextBody"/>
        <w:bidi w:val="0"/>
        <w:spacing w:lineRule="auto" w:line="288" w:before="240" w:after="283"/>
        <w:jc w:val="both"/>
        <w:rPr>
          <w:rFonts w:ascii="Arial;sans-serif" w:hAnsi="Arial;sans-serif"/>
          <w:b/>
          <w:color w:val="0046AD"/>
          <w:sz w:val="20"/>
        </w:rPr>
      </w:pPr>
      <w:r>
        <w:rPr>
          <w:rFonts w:ascii="Arial;sans-serif" w:hAnsi="Arial;sans-serif"/>
          <w:b/>
          <w:color w:val="0046AD"/>
          <w:sz w:val="20"/>
        </w:rPr>
        <w:t>Acquisition of Able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On September 30, 2021, we completed the Able Acquisition for a net cash purchase price of $741.7 million. Pursuant to the terms of the purchase agreement, approximately $12.1 million of the cash consideration was placed into escrow accounts, of which approximately $8.2 million was placed into escrow to satisfy any applicable indemnification claims for a period of 12 months. To fund the cash purchase price, we used cash on hand and borrowed $325.0 million on September 30, 2021, at an average interest rate of 1.58% from our revolving line of credit.</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60350"/>
                <wp:effectExtent l="0" t="0" r="0" b="0"/>
                <wp:wrapNone/>
                <wp:docPr id="72" name="Frame6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 xml:space="preserve">4. REVENUES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Disaggregation of Revenues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generate revenues under several types of contracts, which are further described in Note 2, “Basis of Presentation and Significant Accounting Policies.” Generally, the type of contract is determined by the nature of the services provided by each of our major service lines throughout our reportable segments; therefore, we disaggregate revenues from contracts with customers into major service lines. We have determined that disaggregating revenues into these categories best depicts how the nature, amount, timing, and uncertainty of revenues and cash flows are affected by economic factors. Our reportable segments are B&amp;I, M&amp;D, Education, Aviation, and Technical Solutions, as described in Note 17, “Segment and Geographic Information.”</w:t>
      </w:r>
    </w:p>
    <w:tbl>
      <w:tblPr>
        <w:tblW w:w="10205" w:type="dxa"/>
        <w:jc w:val="left"/>
        <w:tblInd w:w="0" w:type="dxa"/>
        <w:tblLayout w:type="fixed"/>
        <w:tblCellMar>
          <w:top w:w="28" w:type="dxa"/>
          <w:left w:w="28" w:type="dxa"/>
          <w:bottom w:w="28" w:type="dxa"/>
          <w:right w:w="28" w:type="dxa"/>
        </w:tblCellMar>
      </w:tblPr>
      <w:tblGrid>
        <w:gridCol w:w="684"/>
        <w:gridCol w:w="529"/>
        <w:gridCol w:w="493"/>
        <w:gridCol w:w="109"/>
        <w:gridCol w:w="109"/>
        <w:gridCol w:w="109"/>
        <w:gridCol w:w="211"/>
        <w:gridCol w:w="766"/>
        <w:gridCol w:w="109"/>
        <w:gridCol w:w="109"/>
        <w:gridCol w:w="109"/>
        <w:gridCol w:w="109"/>
        <w:gridCol w:w="211"/>
        <w:gridCol w:w="766"/>
        <w:gridCol w:w="109"/>
        <w:gridCol w:w="109"/>
        <w:gridCol w:w="109"/>
        <w:gridCol w:w="109"/>
        <w:gridCol w:w="216"/>
        <w:gridCol w:w="632"/>
        <w:gridCol w:w="113"/>
        <w:gridCol w:w="109"/>
        <w:gridCol w:w="109"/>
        <w:gridCol w:w="109"/>
        <w:gridCol w:w="211"/>
        <w:gridCol w:w="616"/>
        <w:gridCol w:w="109"/>
        <w:gridCol w:w="109"/>
        <w:gridCol w:w="109"/>
        <w:gridCol w:w="109"/>
        <w:gridCol w:w="301"/>
        <w:gridCol w:w="879"/>
        <w:gridCol w:w="155"/>
        <w:gridCol w:w="109"/>
        <w:gridCol w:w="109"/>
        <w:gridCol w:w="109"/>
        <w:gridCol w:w="211"/>
        <w:gridCol w:w="766"/>
        <w:gridCol w:w="156"/>
      </w:tblGrid>
      <w:tr>
        <w:trPr/>
        <w:tc>
          <w:tcPr>
            <w:tcW w:w="68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October 31, 2023</w:t>
            </w:r>
          </w:p>
        </w:tc>
      </w:tr>
      <w:tr>
        <w:trPr/>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5"/>
                <w:u w:val="single"/>
              </w:rPr>
            </w:pPr>
            <w:r>
              <w:rPr>
                <w:rFonts w:ascii="Times New Roman;sans-serif" w:hAnsi="Times New Roman;sans-serif"/>
                <w:b w:val="false"/>
                <w:i/>
                <w:color w:val="000000"/>
                <w:sz w:val="15"/>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Technical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70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Major Service Line</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Janitorial</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Parking</w:t>
            </w:r>
            <w:r>
              <w:rPr>
                <w:rFonts w:ascii="Arial;sans-serif" w:hAnsi="Arial;sans-serif"/>
                <w:b w:val="false"/>
                <w:color w:val="000000"/>
                <w:sz w:val="12"/>
              </w:rPr>
              <w:t>(2)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780.8 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Facility Services</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Building &amp; Energy Solutions</w:t>
            </w:r>
            <w:r>
              <w:rPr>
                <w:rFonts w:ascii="Arial;sans-serif" w:hAnsi="Arial;sans-serif"/>
                <w:b w:val="false"/>
                <w:color w:val="000000"/>
                <w:sz w:val="12"/>
              </w:rPr>
              <w:t>(4)</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674.2 </w:t>
            </w:r>
          </w:p>
        </w:tc>
        <w:tc>
          <w:tcPr>
            <w:tcW w:w="155"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674.2 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Airline Services</w:t>
            </w:r>
            <w:r>
              <w:rPr>
                <w:rFonts w:ascii="Arial;sans-serif" w:hAnsi="Arial;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4,089.4 </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1,526.7 </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880.4 </w:t>
            </w:r>
          </w:p>
        </w:tc>
        <w:tc>
          <w:tcPr>
            <w:tcW w:w="113"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925.7 </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674.2 </w:t>
            </w:r>
          </w:p>
        </w:tc>
        <w:tc>
          <w:tcPr>
            <w:tcW w:w="155"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8,096.4 </w:t>
            </w:r>
          </w:p>
        </w:tc>
        <w:tc>
          <w:tcPr>
            <w:tcW w:w="15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84"/>
        <w:gridCol w:w="529"/>
        <w:gridCol w:w="493"/>
        <w:gridCol w:w="109"/>
        <w:gridCol w:w="109"/>
        <w:gridCol w:w="109"/>
        <w:gridCol w:w="211"/>
        <w:gridCol w:w="766"/>
        <w:gridCol w:w="109"/>
        <w:gridCol w:w="109"/>
        <w:gridCol w:w="109"/>
        <w:gridCol w:w="109"/>
        <w:gridCol w:w="211"/>
        <w:gridCol w:w="766"/>
        <w:gridCol w:w="109"/>
        <w:gridCol w:w="109"/>
        <w:gridCol w:w="109"/>
        <w:gridCol w:w="109"/>
        <w:gridCol w:w="216"/>
        <w:gridCol w:w="632"/>
        <w:gridCol w:w="113"/>
        <w:gridCol w:w="109"/>
        <w:gridCol w:w="109"/>
        <w:gridCol w:w="109"/>
        <w:gridCol w:w="211"/>
        <w:gridCol w:w="616"/>
        <w:gridCol w:w="109"/>
        <w:gridCol w:w="109"/>
        <w:gridCol w:w="109"/>
        <w:gridCol w:w="109"/>
        <w:gridCol w:w="301"/>
        <w:gridCol w:w="879"/>
        <w:gridCol w:w="155"/>
        <w:gridCol w:w="109"/>
        <w:gridCol w:w="109"/>
        <w:gridCol w:w="109"/>
        <w:gridCol w:w="211"/>
        <w:gridCol w:w="766"/>
        <w:gridCol w:w="156"/>
      </w:tblGrid>
      <w:tr>
        <w:trPr/>
        <w:tc>
          <w:tcPr>
            <w:tcW w:w="68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October 31, 2022</w:t>
            </w:r>
          </w:p>
        </w:tc>
      </w:tr>
      <w:tr>
        <w:trPr/>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5"/>
                <w:u w:val="single"/>
              </w:rPr>
            </w:pPr>
            <w:r>
              <w:rPr>
                <w:rFonts w:ascii="Times New Roman;sans-serif" w:hAnsi="Times New Roman;sans-serif"/>
                <w:b w:val="false"/>
                <w:i/>
                <w:color w:val="000000"/>
                <w:sz w:val="15"/>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Education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Technical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70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Major Service Line</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Janitorial</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Parking</w:t>
            </w:r>
            <w:r>
              <w:rPr>
                <w:rFonts w:ascii="Arial;sans-serif" w:hAnsi="Arial;sans-serif"/>
                <w:b w:val="false"/>
                <w:color w:val="000000"/>
                <w:sz w:val="12"/>
              </w:rPr>
              <w:t>(2)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311.7 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703.6 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Facility Services</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Building &amp; Energy Solutions</w:t>
            </w:r>
            <w:r>
              <w:rPr>
                <w:rFonts w:ascii="Arial;sans-serif" w:hAnsi="Arial;sans-serif"/>
                <w:b w:val="false"/>
                <w:color w:val="000000"/>
                <w:sz w:val="12"/>
              </w:rPr>
              <w:t>(4)</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626.8 </w:t>
            </w:r>
          </w:p>
        </w:tc>
        <w:tc>
          <w:tcPr>
            <w:tcW w:w="155"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626.8 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Airline Services</w:t>
            </w:r>
            <w:r>
              <w:rPr>
                <w:rFonts w:ascii="Arial;sans-serif" w:hAnsi="Arial;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4,095.9 </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1,445.2 </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834.7 </w:t>
            </w:r>
          </w:p>
        </w:tc>
        <w:tc>
          <w:tcPr>
            <w:tcW w:w="113"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804.0 </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626.8 </w:t>
            </w:r>
          </w:p>
        </w:tc>
        <w:tc>
          <w:tcPr>
            <w:tcW w:w="155"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7,806.6 </w:t>
            </w:r>
          </w:p>
        </w:tc>
        <w:tc>
          <w:tcPr>
            <w:tcW w:w="15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xml:space="preserve">Janitorial arrangements provide a wide range of essential cleaning services for commercial office buildings, airports and other transportation centers, educational institutions, government buildings, health facilities, industrial buildings, retail stores, and stadiums and arenas. These arrangements are often structured as monthly fixed-price, square-foot, cost-plus, and work order contracts. </w:t>
      </w:r>
    </w:p>
    <w:p>
      <w:pPr>
        <w:pStyle w:val="TextBody"/>
        <w:bidi w:val="0"/>
        <w:spacing w:lineRule="auto" w:line="288" w:before="120" w:after="283"/>
        <w:ind w:left="0" w:right="0" w:hanging="180"/>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 xml:space="preserve">Parking arrangements provide parking and transportation services for clients at various locations, including airports and other transportation centers, commercial office buildings, educational institutions, health facilities, hotels, and stadiums and arenas. These arrangements are structured as management reimbursement, leased location, and allowance contracts. Certain of these arrangements are considered service concession agreements and are accounted for under the guidance of Topic 853; accordingly, rent expense related to these arrangements is recorded as a reduction of the related parking service revenues. </w:t>
      </w:r>
    </w:p>
    <w:p>
      <w:pPr>
        <w:pStyle w:val="TextBody"/>
        <w:bidi w:val="0"/>
        <w:spacing w:lineRule="auto" w:line="288" w:before="120" w:after="283"/>
        <w:ind w:left="0" w:right="0" w:hanging="180"/>
        <w:jc w:val="both"/>
        <w:rPr/>
      </w:pPr>
      <w:r>
        <w:rPr>
          <w:rFonts w:ascii="Arial;sans-serif" w:hAnsi="Arial;sans-serif"/>
          <w:b w:val="false"/>
          <w:color w:val="000000"/>
          <w:sz w:val="12"/>
        </w:rPr>
        <w:t>(3)</w:t>
      </w:r>
      <w:r>
        <w:rPr>
          <w:color w:val="000000"/>
        </w:rPr>
        <w:t xml:space="preserve"> </w:t>
      </w:r>
      <w:r>
        <w:rPr>
          <w:rFonts w:ascii="Arial;sans-serif" w:hAnsi="Arial;sans-serif"/>
          <w:b w:val="false"/>
          <w:color w:val="000000"/>
          <w:sz w:val="18"/>
        </w:rPr>
        <w:t>Facility Services arrangements provide onsite mechanical engineering and technical services and solutions relating to a broad range of facilities and infrastructure systems that are designed to extend the useful life of facility fixed assets, improve equipment operating efficiencies, reduce energy consumption, lower overall operational costs for clients, and enhance the sustainability of client locations. These arrangements are generally structured as monthly fixed-price, cost-plus, and work order contracts.</w:t>
      </w:r>
    </w:p>
    <w:p>
      <w:pPr>
        <w:pStyle w:val="TextBody"/>
        <w:bidi w:val="0"/>
        <w:spacing w:lineRule="auto" w:line="288" w:before="120" w:after="283"/>
        <w:ind w:left="0" w:right="0" w:hanging="180"/>
        <w:jc w:val="both"/>
        <w:rPr/>
      </w:pPr>
      <w:r>
        <w:rPr>
          <w:rFonts w:ascii="Arial;sans-serif" w:hAnsi="Arial;sans-serif"/>
          <w:b w:val="false"/>
          <w:color w:val="000000"/>
          <w:sz w:val="12"/>
        </w:rPr>
        <w:t>(4)</w:t>
      </w:r>
      <w:r>
        <w:rPr>
          <w:color w:val="000000"/>
        </w:rPr>
        <w:t xml:space="preserve"> </w:t>
      </w:r>
      <w:r>
        <w:rPr>
          <w:rFonts w:ascii="Arial;sans-serif" w:hAnsi="Arial;sans-serif"/>
          <w:b w:val="false"/>
          <w:color w:val="000000"/>
          <w:sz w:val="18"/>
        </w:rPr>
        <w:t>Building &amp; Energy Solutions arrangements provide custom energy solutions, including microgrid systems installation, electrical, HVAC, lighting, electric vehicle charging station installation, and other general maintenance and repair services for clients in the public and private sectors and are generally structured as Energy Savings and Fixed-Price Repair and Refurbishment contracts. We also franchise certain operations under franchise agreements relating to our Linc Network and TEGG brands pursuant to franchise contracts.</w:t>
      </w:r>
    </w:p>
    <w:p>
      <w:pPr>
        <w:pStyle w:val="TextBody"/>
        <w:bidi w:val="0"/>
        <w:spacing w:lineRule="auto" w:line="288" w:before="120" w:after="283"/>
        <w:ind w:left="0" w:right="0" w:hanging="180"/>
        <w:jc w:val="both"/>
        <w:rPr/>
      </w:pPr>
      <w:r>
        <w:rPr>
          <w:rFonts w:ascii="Arial;sans-serif" w:hAnsi="Arial;sans-serif"/>
          <w:b w:val="false"/>
          <w:color w:val="000000"/>
          <w:sz w:val="12"/>
        </w:rPr>
        <w:t>(5)</w:t>
      </w:r>
      <w:r>
        <w:rPr>
          <w:color w:val="000000"/>
        </w:rPr>
        <w:t xml:space="preserve"> </w:t>
      </w:r>
      <w:r>
        <w:rPr>
          <w:rFonts w:ascii="Arial;sans-serif" w:hAnsi="Arial;sans-serif"/>
          <w:b w:val="false"/>
          <w:color w:val="000000"/>
          <w:sz w:val="18"/>
        </w:rPr>
        <w:t>Airline Services arrangements support airlines and airports with services such as passenger assistance, catering logistics, and airplane cabin maintenance. These arrangements are often structured as monthly fixed-price, cost-plus, transaction price, and hourly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60350"/>
                <wp:effectExtent l="0" t="0" r="0" b="0"/>
                <wp:wrapNone/>
                <wp:docPr id="73" name="Frame64"/>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Remaining Performance Obligations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At October 31, 2023, performance obligations that were unsatisfied or partially unsatisfied for which we expect to recognize revenue totaled $332.8 million. We expect to recognize revenue on approximately 69% of the remaining performance obligations over the next 12 months, with the remainder recognized thereafter, based on our estimates of project timing.</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These amounts exclude variable consideration primarily related to: (i) contracts where we have determined that the contract consists of a series of distinct service periods and revenues are based on future performance that cannot be estimated at contract inception; (ii) parking contracts where we and the customer share the gross revenues or operating profit for the location; and (iii) contracts where transaction prices include performance incentives that are based on future performance and therefore cannot be estimated at contract inception. We apply the practical expedient that permits exclusion of information about the remaining performance obligations with original expected durations of one year or less.</w:t>
      </w:r>
    </w:p>
    <w:p>
      <w:pPr>
        <w:pStyle w:val="TextBody"/>
        <w:bidi w:val="0"/>
        <w:spacing w:lineRule="auto" w:line="288" w:before="180" w:after="283"/>
        <w:jc w:val="left"/>
        <w:rPr>
          <w:rFonts w:ascii="Arial;sans-serif" w:hAnsi="Arial;sans-serif"/>
          <w:b/>
          <w:color w:val="164FA2"/>
          <w:sz w:val="20"/>
        </w:rPr>
      </w:pPr>
      <w:r>
        <w:rPr>
          <w:rFonts w:ascii="Arial;sans-serif" w:hAnsi="Arial;sans-serif"/>
          <w:b/>
          <w:color w:val="164FA2"/>
          <w:sz w:val="20"/>
        </w:rPr>
        <w:t xml:space="preserve">Contract Balances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following tables present the balances in our contract assets and contract liabilities: </w:t>
      </w:r>
    </w:p>
    <w:tbl>
      <w:tblPr>
        <w:tblW w:w="6951" w:type="dxa"/>
        <w:jc w:val="left"/>
        <w:tblInd w:w="0" w:type="dxa"/>
        <w:tblLayout w:type="fixed"/>
        <w:tblCellMar>
          <w:top w:w="28" w:type="dxa"/>
          <w:left w:w="28" w:type="dxa"/>
          <w:bottom w:w="28" w:type="dxa"/>
          <w:right w:w="28" w:type="dxa"/>
        </w:tblCellMar>
      </w:tblPr>
      <w:tblGrid>
        <w:gridCol w:w="1441"/>
        <w:gridCol w:w="1268"/>
        <w:gridCol w:w="1281"/>
        <w:gridCol w:w="109"/>
        <w:gridCol w:w="109"/>
        <w:gridCol w:w="109"/>
        <w:gridCol w:w="211"/>
        <w:gridCol w:w="811"/>
        <w:gridCol w:w="109"/>
        <w:gridCol w:w="109"/>
        <w:gridCol w:w="109"/>
        <w:gridCol w:w="109"/>
        <w:gridCol w:w="211"/>
        <w:gridCol w:w="811"/>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October 31,</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99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Contract assets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Billed trade receivables</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Unbilled trade receivables</w:t>
            </w:r>
            <w:r>
              <w:rPr>
                <w:rFonts w:ascii="Arial;sans-serif" w:hAnsi="Arial;sans-serif"/>
                <w:b w:val="false"/>
                <w:color w:val="000000"/>
                <w:sz w:val="13"/>
              </w:rPr>
              <w:t>(1)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162.5 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Costs incurred in excess of amounts billed</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Capitalized commissions</w:t>
            </w:r>
            <w:r>
              <w:rPr>
                <w:rFonts w:ascii="Arial;sans-serif" w:hAnsi="Arial;sans-serif"/>
                <w:b w:val="false"/>
                <w:color w:val="000000"/>
                <w:sz w:val="13"/>
              </w:rPr>
              <w:t>(3)</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xml:space="preserve">Included in “Trade accounts receivable, net” on the Consolidated Balance Sheets. The fluctuations correlate directly to the execution of new customer contracts and to invoicing and collections from customers in the normal course of business. </w:t>
      </w:r>
    </w:p>
    <w:p>
      <w:pPr>
        <w:pStyle w:val="TextBody"/>
        <w:bidi w:val="0"/>
        <w:spacing w:lineRule="auto" w:line="288" w:before="60" w:after="283"/>
        <w:ind w:left="0" w:right="0" w:hanging="180"/>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 xml:space="preserve">Fluctuation is primarily due to the timing of payments on our contracts measured using the cost-to-cost method of revenue recognition. </w:t>
      </w:r>
    </w:p>
    <w:p>
      <w:pPr>
        <w:pStyle w:val="TextBody"/>
        <w:bidi w:val="0"/>
        <w:spacing w:lineRule="auto" w:line="288" w:before="120" w:after="283"/>
        <w:ind w:left="0" w:right="0" w:hanging="180"/>
        <w:jc w:val="both"/>
        <w:rPr/>
      </w:pPr>
      <w:r>
        <w:rPr>
          <w:rFonts w:ascii="Arial;sans-serif" w:hAnsi="Arial;sans-serif"/>
          <w:b w:val="false"/>
          <w:color w:val="000000"/>
          <w:sz w:val="12"/>
        </w:rPr>
        <w:t>(3)</w:t>
      </w:r>
      <w:r>
        <w:rPr>
          <w:color w:val="000000"/>
        </w:rPr>
        <w:t xml:space="preserve"> </w:t>
      </w:r>
      <w:r>
        <w:rPr>
          <w:rFonts w:ascii="Arial;sans-serif" w:hAnsi="Arial;sans-serif"/>
          <w:b w:val="false"/>
          <w:color w:val="000000"/>
          <w:sz w:val="18"/>
        </w:rPr>
        <w:t>Included in “Other current assets” and “Other noncurrent assets” on the Consolidated Balance Sheets. During the year ended October 31, 2023, we capitalized $14.5 million of new costs and amortized $15.2 million of previously capitalized costs. There was no impairment loss recorded on the costs capitalized.</w:t>
      </w:r>
    </w:p>
    <w:tbl>
      <w:tblPr>
        <w:tblW w:w="4901" w:type="dxa"/>
        <w:jc w:val="left"/>
        <w:tblInd w:w="0" w:type="dxa"/>
        <w:tblLayout w:type="fixed"/>
        <w:tblCellMar>
          <w:top w:w="28" w:type="dxa"/>
          <w:left w:w="28" w:type="dxa"/>
          <w:bottom w:w="28" w:type="dxa"/>
          <w:right w:w="28" w:type="dxa"/>
        </w:tblCellMar>
      </w:tblPr>
      <w:tblGrid>
        <w:gridCol w:w="1040"/>
        <w:gridCol w:w="914"/>
        <w:gridCol w:w="926"/>
        <w:gridCol w:w="109"/>
        <w:gridCol w:w="109"/>
        <w:gridCol w:w="109"/>
        <w:gridCol w:w="353"/>
        <w:gridCol w:w="1083"/>
        <w:gridCol w:w="258"/>
      </w:tblGrid>
      <w:tr>
        <w:trPr/>
        <w:tc>
          <w:tcPr>
            <w:tcW w:w="104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w:t>
              <w:br/>
              <w:t>October 31, 2023</w:t>
            </w:r>
          </w:p>
        </w:tc>
      </w:tr>
      <w:tr>
        <w:trPr/>
        <w:tc>
          <w:tcPr>
            <w:tcW w:w="2880"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Contract liabilities</w:t>
            </w:r>
            <w:r>
              <w:rPr>
                <w:rFonts w:ascii="Arial;sans-serif" w:hAnsi="Arial;sans-serif"/>
                <w:b w:val="false"/>
                <w:color w:val="000000"/>
                <w:sz w:val="13"/>
              </w:rPr>
              <w:t>(1)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contract liabilities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335.9 </w:t>
            </w:r>
          </w:p>
        </w:tc>
        <w:tc>
          <w:tcPr>
            <w:tcW w:w="25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ind w:left="0" w:right="0" w:hanging="180"/>
              <w:jc w:val="left"/>
              <w:rPr>
                <w:rFonts w:ascii="Arial;sans-serif" w:hAnsi="Arial;sans-serif"/>
                <w:b w:val="false"/>
                <w:color w:val="000000"/>
                <w:sz w:val="20"/>
              </w:rPr>
            </w:pPr>
            <w:r>
              <w:rPr>
                <w:rFonts w:ascii="Arial;sans-serif" w:hAnsi="Arial;sans-serif"/>
                <w:b w:val="false"/>
                <w:color w:val="000000"/>
                <w:sz w:val="20"/>
              </w:rPr>
              <w:t>Recognition of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(274.3)</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CE2EF" w:val="clear"/>
            <w:tcMar>
              <w:top w:w="0" w:type="dxa"/>
              <w:left w:w="0" w:type="dxa"/>
              <w:bottom w:w="0" w:type="dxa"/>
              <w:right w:w="0" w:type="dxa"/>
            </w:tcMar>
            <w:vAlign w:val="center"/>
          </w:tcPr>
          <w:p>
            <w:pPr>
              <w:pStyle w:val="TableContents"/>
              <w:bidi w:val="0"/>
              <w:spacing w:lineRule="auto" w:line="240" w:before="60" w:after="283"/>
              <w:ind w:left="0" w:right="0" w:hanging="180"/>
              <w:jc w:val="left"/>
              <w:rPr>
                <w:rFonts w:ascii="Arial;sans-serif" w:hAnsi="Arial;sans-serif"/>
                <w:b w:val="false"/>
                <w:color w:val="000000"/>
                <w:sz w:val="20"/>
              </w:rPr>
            </w:pPr>
            <w:r>
              <w:rPr>
                <w:rFonts w:ascii="Arial;sans-serif" w:hAnsi="Arial;sans-serif"/>
                <w:b w:val="false"/>
                <w:color w:val="000000"/>
                <w:sz w:val="20"/>
              </w:rPr>
              <w:t>Balance at end of year</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141.2 </w:t>
            </w:r>
          </w:p>
        </w:tc>
        <w:tc>
          <w:tcPr>
            <w:tcW w:w="258"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xml:space="preserve">Included in other accrued liabilities on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60350"/>
                <wp:effectExtent l="0" t="0" r="0" b="0"/>
                <wp:wrapNone/>
                <wp:docPr id="74" name="Frame6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180" w:after="283"/>
        <w:jc w:val="left"/>
        <w:rPr/>
      </w:pPr>
      <w:r>
        <w:rPr/>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5. LEASES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components of lease assets and liabilities and their classification on our Consolidated Balance Sheets were as follows:</w:t>
      </w:r>
    </w:p>
    <w:tbl>
      <w:tblPr>
        <w:tblW w:w="8267" w:type="dxa"/>
        <w:jc w:val="left"/>
        <w:tblInd w:w="0" w:type="dxa"/>
        <w:tblLayout w:type="fixed"/>
        <w:tblCellMar>
          <w:top w:w="28" w:type="dxa"/>
          <w:left w:w="28" w:type="dxa"/>
          <w:bottom w:w="28" w:type="dxa"/>
          <w:right w:w="28" w:type="dxa"/>
        </w:tblCellMar>
      </w:tblPr>
      <w:tblGrid>
        <w:gridCol w:w="738"/>
        <w:gridCol w:w="646"/>
        <w:gridCol w:w="655"/>
        <w:gridCol w:w="109"/>
        <w:gridCol w:w="109"/>
        <w:gridCol w:w="109"/>
        <w:gridCol w:w="1089"/>
        <w:gridCol w:w="1089"/>
        <w:gridCol w:w="1092"/>
        <w:gridCol w:w="109"/>
        <w:gridCol w:w="109"/>
        <w:gridCol w:w="109"/>
        <w:gridCol w:w="211"/>
        <w:gridCol w:w="646"/>
        <w:gridCol w:w="109"/>
        <w:gridCol w:w="109"/>
        <w:gridCol w:w="109"/>
        <w:gridCol w:w="109"/>
        <w:gridCol w:w="211"/>
        <w:gridCol w:w="646"/>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October 31,</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0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Lease assets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Property, plant and equipment, net</w:t>
            </w:r>
            <w:r>
              <w:rPr>
                <w:rFonts w:ascii="Arial;sans-serif" w:hAnsi="Arial;sans-serif"/>
                <w:b w:val="false"/>
                <w:color w:val="000000"/>
                <w:sz w:val="13"/>
              </w:rPr>
              <w:t>(1)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lease liabilities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lease liabilities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145.5 </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144.1 </w:t>
            </w:r>
          </w:p>
        </w:tc>
        <w:tc>
          <w:tcPr>
            <w:tcW w:w="154"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xml:space="preserve">Finance lease assets are recorded net of accumulated amortization of $18.9 million and $16.9 million as of October 31, 2023 and October 31, 2022, respectively.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components of lease costs and classification within the Consolidated Statements of Comprehensive Income were as follows:</w:t>
      </w:r>
    </w:p>
    <w:tbl>
      <w:tblPr>
        <w:tblW w:w="6952" w:type="dxa"/>
        <w:jc w:val="left"/>
        <w:tblInd w:w="0" w:type="dxa"/>
        <w:tblLayout w:type="fixed"/>
        <w:tblCellMar>
          <w:top w:w="28" w:type="dxa"/>
          <w:left w:w="28" w:type="dxa"/>
          <w:bottom w:w="28" w:type="dxa"/>
          <w:right w:w="28" w:type="dxa"/>
        </w:tblCellMar>
      </w:tblPr>
      <w:tblGrid>
        <w:gridCol w:w="1506"/>
        <w:gridCol w:w="1323"/>
        <w:gridCol w:w="1340"/>
        <w:gridCol w:w="109"/>
        <w:gridCol w:w="109"/>
        <w:gridCol w:w="109"/>
        <w:gridCol w:w="247"/>
        <w:gridCol w:w="635"/>
        <w:gridCol w:w="128"/>
        <w:gridCol w:w="128"/>
        <w:gridCol w:w="128"/>
        <w:gridCol w:w="128"/>
        <w:gridCol w:w="247"/>
        <w:gridCol w:w="635"/>
        <w:gridCol w:w="180"/>
      </w:tblGrid>
      <w:tr>
        <w:trPr/>
        <w:tc>
          <w:tcPr>
            <w:tcW w:w="150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16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costs: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Operating expenses</w:t>
            </w:r>
            <w:r>
              <w:rPr>
                <w:rFonts w:ascii="Arial;sans-serif" w:hAnsi="Arial;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Selling, general and administrative expenses</w:t>
            </w:r>
            <w:r>
              <w:rPr>
                <w:rFonts w:ascii="Arial;sans-serif" w:hAnsi="Arial;sans-serif"/>
                <w:b w:val="false"/>
                <w:color w:val="000000"/>
                <w:sz w:val="13"/>
              </w:rPr>
              <w:t>(3)</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2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80"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Operating expenses</w:t>
            </w:r>
            <w:r>
              <w:rPr>
                <w:rFonts w:ascii="Arial;sans-serif" w:hAnsi="Arial;sans-serif"/>
                <w:b w:val="false"/>
                <w:color w:val="000000"/>
                <w:sz w:val="13"/>
              </w:rPr>
              <w:t>(4)</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2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80"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Interest expense</w:t>
            </w:r>
            <w:r>
              <w:rPr>
                <w:rFonts w:ascii="Arial;sans-serif" w:hAnsi="Arial;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lease costs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5"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99.0 </w:t>
            </w:r>
          </w:p>
        </w:tc>
        <w:tc>
          <w:tcPr>
            <w:tcW w:w="128"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5"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88.1 </w:t>
            </w:r>
          </w:p>
        </w:tc>
        <w:tc>
          <w:tcPr>
            <w:tcW w:w="180"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Related to certain parking arrangements.</w:t>
      </w:r>
    </w:p>
    <w:p>
      <w:pPr>
        <w:pStyle w:val="TextBody"/>
        <w:bidi w:val="0"/>
        <w:spacing w:lineRule="auto" w:line="288" w:before="120" w:after="283"/>
        <w:ind w:left="0" w:right="0" w:hanging="180"/>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 xml:space="preserve">Includes short-term lease costs and variable lease costs. </w:t>
      </w:r>
    </w:p>
    <w:p>
      <w:pPr>
        <w:pStyle w:val="TextBody"/>
        <w:bidi w:val="0"/>
        <w:spacing w:lineRule="auto" w:line="288" w:before="120" w:after="283"/>
        <w:ind w:left="0" w:right="0" w:hanging="180"/>
        <w:jc w:val="both"/>
        <w:rPr/>
      </w:pPr>
      <w:r>
        <w:rPr>
          <w:rFonts w:ascii="Arial;sans-serif" w:hAnsi="Arial;sans-serif"/>
          <w:b w:val="false"/>
          <w:color w:val="000000"/>
          <w:sz w:val="12"/>
        </w:rPr>
        <w:t>(3)</w:t>
      </w:r>
      <w:r>
        <w:rPr>
          <w:color w:val="000000"/>
        </w:rPr>
        <w:t xml:space="preserve"> </w:t>
      </w:r>
      <w:r>
        <w:rPr>
          <w:rFonts w:ascii="Arial;sans-serif" w:hAnsi="Arial;sans-serif"/>
          <w:b w:val="false"/>
          <w:color w:val="000000"/>
          <w:sz w:val="18"/>
        </w:rPr>
        <w:t>Includes short-term lease costs.</w:t>
      </w:r>
    </w:p>
    <w:p>
      <w:pPr>
        <w:pStyle w:val="TextBody"/>
        <w:bidi w:val="0"/>
        <w:spacing w:lineRule="auto" w:line="288" w:before="120" w:after="283"/>
        <w:ind w:left="0" w:right="0" w:hanging="180"/>
        <w:jc w:val="both"/>
        <w:rPr/>
      </w:pPr>
      <w:r>
        <w:rPr>
          <w:rFonts w:ascii="Arial;sans-serif" w:hAnsi="Arial;sans-serif"/>
          <w:b w:val="false"/>
          <w:color w:val="000000"/>
          <w:sz w:val="12"/>
        </w:rPr>
        <w:t>(4)</w:t>
      </w:r>
      <w:r>
        <w:rPr>
          <w:color w:val="000000"/>
        </w:rPr>
        <w:t xml:space="preserve"> </w:t>
      </w:r>
      <w:r>
        <w:rPr>
          <w:rFonts w:ascii="Arial;sans-serif" w:hAnsi="Arial;sans-serif"/>
          <w:b w:val="false"/>
          <w:color w:val="000000"/>
          <w:sz w:val="18"/>
        </w:rPr>
        <w:t>Represents amortization of leased assets.</w:t>
      </w:r>
    </w:p>
    <w:p>
      <w:pPr>
        <w:pStyle w:val="TextBody"/>
        <w:bidi w:val="0"/>
        <w:spacing w:lineRule="auto" w:line="288" w:before="120" w:after="283"/>
        <w:ind w:left="0" w:right="0" w:hanging="180"/>
        <w:jc w:val="both"/>
        <w:rPr/>
      </w:pPr>
      <w:r>
        <w:rPr>
          <w:rFonts w:ascii="Arial;sans-serif" w:hAnsi="Arial;sans-serif"/>
          <w:b w:val="false"/>
          <w:color w:val="000000"/>
          <w:sz w:val="12"/>
        </w:rPr>
        <w:t>(5)</w:t>
      </w:r>
      <w:r>
        <w:rPr>
          <w:color w:val="000000"/>
        </w:rPr>
        <w:t xml:space="preserve"> </w:t>
      </w:r>
      <w:r>
        <w:rPr>
          <w:rFonts w:ascii="Arial;sans-serif" w:hAnsi="Arial;sans-serif"/>
          <w:b w:val="false"/>
          <w:color w:val="000000"/>
          <w:sz w:val="18"/>
        </w:rPr>
        <w:t>Interest on lease liabilities.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presents information on short-term and variable lease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60350"/>
                <wp:effectExtent l="0" t="0" r="0" b="0"/>
                <wp:wrapNone/>
                <wp:docPr id="75" name="Frame66"/>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180" w:after="283"/>
        <w:jc w:val="left"/>
        <w:rPr/>
      </w:pPr>
      <w:r>
        <w:rPr/>
      </w:r>
    </w:p>
    <w:tbl>
      <w:tblPr>
        <w:tblW w:w="6457" w:type="dxa"/>
        <w:jc w:val="left"/>
        <w:tblInd w:w="0" w:type="dxa"/>
        <w:tblLayout w:type="fixed"/>
        <w:tblCellMar>
          <w:top w:w="28" w:type="dxa"/>
          <w:left w:w="28" w:type="dxa"/>
          <w:bottom w:w="28" w:type="dxa"/>
          <w:right w:w="28" w:type="dxa"/>
        </w:tblCellMar>
      </w:tblPr>
      <w:tblGrid>
        <w:gridCol w:w="1326"/>
        <w:gridCol w:w="1167"/>
        <w:gridCol w:w="1181"/>
        <w:gridCol w:w="109"/>
        <w:gridCol w:w="109"/>
        <w:gridCol w:w="109"/>
        <w:gridCol w:w="247"/>
        <w:gridCol w:w="635"/>
        <w:gridCol w:w="128"/>
        <w:gridCol w:w="128"/>
        <w:gridCol w:w="128"/>
        <w:gridCol w:w="128"/>
        <w:gridCol w:w="247"/>
        <w:gridCol w:w="635"/>
        <w:gridCol w:w="180"/>
      </w:tblGrid>
      <w:tr>
        <w:trPr/>
        <w:tc>
          <w:tcPr>
            <w:tcW w:w="132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6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costs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5"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128"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5"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180"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and variable lease costs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5"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28"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5"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49.3 </w:t>
            </w:r>
          </w:p>
        </w:tc>
        <w:tc>
          <w:tcPr>
            <w:tcW w:w="180"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Sublease income generated during the year ended October 31, 2023, was immaterial.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amounts of future undiscounted cash flows related to the lease payments over the lease terms and the reconciliation to the present value of the lease liabilities as recorded on our Consolidated Balance Sheets as of October 31, 2023, are as follows:</w:t>
      </w:r>
    </w:p>
    <w:tbl>
      <w:tblPr>
        <w:tblW w:w="8111" w:type="dxa"/>
        <w:jc w:val="right"/>
        <w:tblInd w:w="0" w:type="dxa"/>
        <w:tblLayout w:type="fixed"/>
        <w:tblCellMar>
          <w:top w:w="28" w:type="dxa"/>
          <w:left w:w="28" w:type="dxa"/>
          <w:bottom w:w="28" w:type="dxa"/>
          <w:right w:w="28" w:type="dxa"/>
        </w:tblCellMar>
      </w:tblPr>
      <w:tblGrid>
        <w:gridCol w:w="1043"/>
        <w:gridCol w:w="914"/>
        <w:gridCol w:w="923"/>
        <w:gridCol w:w="109"/>
        <w:gridCol w:w="109"/>
        <w:gridCol w:w="109"/>
        <w:gridCol w:w="354"/>
        <w:gridCol w:w="1082"/>
        <w:gridCol w:w="184"/>
        <w:gridCol w:w="109"/>
        <w:gridCol w:w="109"/>
        <w:gridCol w:w="109"/>
        <w:gridCol w:w="396"/>
        <w:gridCol w:w="1017"/>
        <w:gridCol w:w="206"/>
        <w:gridCol w:w="109"/>
        <w:gridCol w:w="109"/>
        <w:gridCol w:w="109"/>
        <w:gridCol w:w="211"/>
        <w:gridCol w:w="64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Operating </w:t>
              <w:b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Finance </w:t>
              <w:b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288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Fiscal 2024</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2"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8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7"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0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Fiscal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Fiscal 2026</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8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0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Fiscal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Fiscal 2028</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8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0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payments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152.1 </w:t>
            </w:r>
          </w:p>
        </w:tc>
        <w:tc>
          <w:tcPr>
            <w:tcW w:w="18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20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168.0 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Present value of lease liabilities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2"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131.3 </w:t>
            </w:r>
          </w:p>
        </w:tc>
        <w:tc>
          <w:tcPr>
            <w:tcW w:w="184"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7"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0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145.5 </w:t>
            </w:r>
          </w:p>
        </w:tc>
        <w:tc>
          <w:tcPr>
            <w:tcW w:w="154"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Future sublease rental income was excluded for the periods shown above as the amounts are immaterial.</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have entered into operating lease arrangements as of October 31, 2023, that are effective for future periods. The total amount of ROU assets and lease liabilities related to these arrangements is immaterial.</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includes the weighted-average remaining lease terms, in years, and the weighted-average discount rate used to calculate the present value of operating lease liabilities:</w:t>
      </w:r>
    </w:p>
    <w:tbl>
      <w:tblPr>
        <w:tblW w:w="7305" w:type="dxa"/>
        <w:jc w:val="right"/>
        <w:tblInd w:w="0" w:type="dxa"/>
        <w:tblLayout w:type="fixed"/>
        <w:tblCellMar>
          <w:top w:w="28" w:type="dxa"/>
          <w:left w:w="28" w:type="dxa"/>
          <w:bottom w:w="28" w:type="dxa"/>
          <w:right w:w="28" w:type="dxa"/>
        </w:tblCellMar>
      </w:tblPr>
      <w:tblGrid>
        <w:gridCol w:w="1527"/>
        <w:gridCol w:w="1341"/>
        <w:gridCol w:w="1346"/>
        <w:gridCol w:w="109"/>
        <w:gridCol w:w="109"/>
        <w:gridCol w:w="109"/>
        <w:gridCol w:w="295"/>
        <w:gridCol w:w="246"/>
        <w:gridCol w:w="510"/>
        <w:gridCol w:w="194"/>
        <w:gridCol w:w="194"/>
        <w:gridCol w:w="194"/>
        <w:gridCol w:w="295"/>
        <w:gridCol w:w="246"/>
        <w:gridCol w:w="590"/>
      </w:tblGrid>
      <w:tr>
        <w:trPr/>
        <w:tc>
          <w:tcPr>
            <w:tcW w:w="152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21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remaining lease term (years)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r>
      <w:tr>
        <w:trPr/>
        <w:tc>
          <w:tcPr>
            <w:tcW w:w="421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5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4.60 </w:t>
            </w:r>
          </w:p>
        </w:tc>
        <w:tc>
          <w:tcPr>
            <w:tcW w:w="510"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8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590"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5.28 </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60350"/>
                <wp:effectExtent l="0" t="0" r="0" b="0"/>
                <wp:wrapNone/>
                <wp:docPr id="76" name="Frame6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includes supplemental cash and non-cash information related to operating leases:</w:t>
      </w:r>
    </w:p>
    <w:tbl>
      <w:tblPr>
        <w:tblW w:w="9210" w:type="dxa"/>
        <w:jc w:val="left"/>
        <w:tblInd w:w="0" w:type="dxa"/>
        <w:tblLayout w:type="fixed"/>
        <w:tblCellMar>
          <w:top w:w="28" w:type="dxa"/>
          <w:left w:w="28" w:type="dxa"/>
          <w:bottom w:w="28" w:type="dxa"/>
          <w:right w:w="28" w:type="dxa"/>
        </w:tblCellMar>
      </w:tblPr>
      <w:tblGrid>
        <w:gridCol w:w="2249"/>
        <w:gridCol w:w="1968"/>
        <w:gridCol w:w="1992"/>
        <w:gridCol w:w="109"/>
        <w:gridCol w:w="109"/>
        <w:gridCol w:w="109"/>
        <w:gridCol w:w="109"/>
        <w:gridCol w:w="109"/>
        <w:gridCol w:w="247"/>
        <w:gridCol w:w="635"/>
        <w:gridCol w:w="128"/>
        <w:gridCol w:w="128"/>
        <w:gridCol w:w="128"/>
        <w:gridCol w:w="128"/>
        <w:gridCol w:w="247"/>
        <w:gridCol w:w="635"/>
        <w:gridCol w:w="180"/>
      </w:tblGrid>
      <w:tr>
        <w:trPr/>
        <w:tc>
          <w:tcPr>
            <w:tcW w:w="2249"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r>
      <w:tr>
        <w:trPr/>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20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lease liabilities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cash flows from finance leases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2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80"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assets obtained in exchange for new operating lease liabilities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2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80"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Arial;sans-serif" w:hAnsi="Arial;sans-serif"/>
          <w:b/>
          <w:color w:val="0046AD"/>
          <w:sz w:val="20"/>
        </w:rPr>
        <w:t>6. NET INCOME PER COMMON SHARE</w:t>
      </w:r>
      <w:r>
        <w:rPr>
          <w:color w:val="0046AD"/>
        </w:rPr>
        <w:t xml:space="preserve">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Basic and Diluted Net Income Per Common Share Calculations</w:t>
      </w:r>
    </w:p>
    <w:tbl>
      <w:tblPr>
        <w:tblW w:w="9276" w:type="dxa"/>
        <w:jc w:val="left"/>
        <w:tblInd w:w="0" w:type="dxa"/>
        <w:tblLayout w:type="fixed"/>
        <w:tblCellMar>
          <w:top w:w="28" w:type="dxa"/>
          <w:left w:w="28" w:type="dxa"/>
          <w:bottom w:w="28" w:type="dxa"/>
          <w:right w:w="28" w:type="dxa"/>
        </w:tblCellMar>
      </w:tblPr>
      <w:tblGrid>
        <w:gridCol w:w="1815"/>
        <w:gridCol w:w="1601"/>
        <w:gridCol w:w="16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109"/>
        <w:gridCol w:w="109"/>
        <w:gridCol w:w="154"/>
      </w:tblGrid>
      <w:tr>
        <w:trPr/>
        <w:tc>
          <w:tcPr>
            <w:tcW w:w="1815"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 except per share amounts)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251.3 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230.4 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Weighted-average common and common equivalent </w:t>
              <w:br/>
              <w:t>    shares outstanding — Basic</w:t>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shares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Weighted-average common and common equivalent </w:t>
              <w:br/>
              <w:t>    shares outstanding — Diluted</w:t>
            </w:r>
          </w:p>
        </w:tc>
        <w:tc>
          <w:tcPr>
            <w:tcW w:w="857"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per common share</w:t>
            </w:r>
          </w:p>
        </w:tc>
        <w:tc>
          <w:tcPr>
            <w:tcW w:w="96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pPr>
      <w:r>
        <w:rPr>
          <w:rFonts w:ascii="Arial;sans-serif" w:hAnsi="Arial;sans-serif"/>
          <w:b/>
          <w:color w:val="0046AD"/>
          <w:sz w:val="20"/>
        </w:rPr>
        <w:t>Anti-Dilutive Outstanding Stock Awards Issued Under Share-Based Compensation Plans</w:t>
      </w:r>
      <w:r>
        <w:rPr>
          <w:color w:val="000000"/>
        </w:rPr>
        <w:t xml:space="preserve"> </w:t>
      </w:r>
    </w:p>
    <w:tbl>
      <w:tblPr>
        <w:tblW w:w="4037" w:type="dxa"/>
        <w:jc w:val="left"/>
        <w:tblInd w:w="0" w:type="dxa"/>
        <w:tblLayout w:type="fixed"/>
        <w:tblCellMar>
          <w:top w:w="28" w:type="dxa"/>
          <w:left w:w="28" w:type="dxa"/>
          <w:bottom w:w="28" w:type="dxa"/>
          <w:right w:w="28" w:type="dxa"/>
        </w:tblCellMar>
      </w:tblPr>
      <w:tblGrid>
        <w:gridCol w:w="450"/>
        <w:gridCol w:w="395"/>
        <w:gridCol w:w="401"/>
        <w:gridCol w:w="218"/>
        <w:gridCol w:w="218"/>
        <w:gridCol w:w="176"/>
        <w:gridCol w:w="159"/>
        <w:gridCol w:w="159"/>
        <w:gridCol w:w="159"/>
        <w:gridCol w:w="203"/>
        <w:gridCol w:w="203"/>
        <w:gridCol w:w="176"/>
        <w:gridCol w:w="159"/>
        <w:gridCol w:w="159"/>
        <w:gridCol w:w="159"/>
        <w:gridCol w:w="203"/>
        <w:gridCol w:w="203"/>
        <w:gridCol w:w="237"/>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124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Anti-dilutive</w:t>
            </w:r>
          </w:p>
        </w:tc>
        <w:tc>
          <w:tcPr>
            <w:tcW w:w="436"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7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60350"/>
                <wp:effectExtent l="0" t="0" r="0" b="0"/>
                <wp:wrapNone/>
                <wp:docPr id="77" name="Frame68"/>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7. FAIR VALUE OF FINANCIAL INSTRUMENTS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Fair Value Hierarchy of Our Financial Instruments</w:t>
      </w:r>
    </w:p>
    <w:p>
      <w:pPr>
        <w:pStyle w:val="TextBody"/>
        <w:bidi w:val="0"/>
        <w:spacing w:lineRule="auto" w:line="288" w:before="180" w:after="283"/>
        <w:jc w:val="left"/>
        <w:rPr>
          <w:rFonts w:ascii="Arial;sans-serif" w:hAnsi="Arial;sans-serif"/>
          <w:b/>
          <w:i/>
          <w:color w:val="0046AD"/>
          <w:sz w:val="20"/>
        </w:rPr>
      </w:pPr>
      <w:r>
        <w:rPr>
          <w:rFonts w:ascii="Arial;sans-serif" w:hAnsi="Arial;sans-serif"/>
          <w:b/>
          <w:i/>
          <w:color w:val="0046AD"/>
          <w:sz w:val="20"/>
        </w:rPr>
        <w:t>Financial Assets and Liabilities Measured at Fair Value on a Recurring Basis</w:t>
      </w:r>
    </w:p>
    <w:tbl>
      <w:tblPr>
        <w:tblW w:w="9168" w:type="dxa"/>
        <w:jc w:val="left"/>
        <w:tblInd w:w="0" w:type="dxa"/>
        <w:tblLayout w:type="fixed"/>
        <w:tblCellMar>
          <w:top w:w="28" w:type="dxa"/>
          <w:left w:w="28" w:type="dxa"/>
          <w:bottom w:w="28" w:type="dxa"/>
          <w:right w:w="28" w:type="dxa"/>
        </w:tblCellMar>
      </w:tblPr>
      <w:tblGrid>
        <w:gridCol w:w="1672"/>
        <w:gridCol w:w="1472"/>
        <w:gridCol w:w="1491"/>
        <w:gridCol w:w="664"/>
        <w:gridCol w:w="664"/>
        <w:gridCol w:w="666"/>
        <w:gridCol w:w="109"/>
        <w:gridCol w:w="109"/>
        <w:gridCol w:w="109"/>
        <w:gridCol w:w="227"/>
        <w:gridCol w:w="584"/>
        <w:gridCol w:w="109"/>
        <w:gridCol w:w="109"/>
        <w:gridCol w:w="109"/>
        <w:gridCol w:w="109"/>
        <w:gridCol w:w="227"/>
        <w:gridCol w:w="584"/>
        <w:gridCol w:w="154"/>
      </w:tblGrid>
      <w:tr>
        <w:trPr/>
        <w:tc>
          <w:tcPr>
            <w:tcW w:w="16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October 31,</w:t>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635"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Cash and cash equivalents</w:t>
            </w:r>
            <w:r>
              <w:rPr>
                <w:rFonts w:ascii="Arial;sans-serif" w:hAnsi="Arial;sans-serif"/>
                <w:b w:val="false"/>
                <w:color w:val="000000"/>
                <w:sz w:val="13"/>
              </w:rPr>
              <w:t>(1)</w:t>
            </w:r>
          </w:p>
        </w:tc>
        <w:tc>
          <w:tcPr>
            <w:tcW w:w="1994"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4"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4"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Insurance deposits</w:t>
            </w:r>
            <w:r>
              <w:rPr>
                <w:rFonts w:ascii="Arial;sans-serif" w:hAnsi="Arial;sans-serif"/>
                <w:b w:val="false"/>
                <w:color w:val="000000"/>
                <w:sz w:val="13"/>
              </w:rPr>
              <w:t>(2)</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Assets held in funded deferred compensation plan</w:t>
            </w:r>
            <w:r>
              <w:rPr>
                <w:rFonts w:ascii="Arial;sans-serif" w:hAnsi="Arial;sans-serif"/>
                <w:b w:val="false"/>
                <w:color w:val="000000"/>
                <w:sz w:val="13"/>
              </w:rPr>
              <w:t>(3)</w:t>
            </w:r>
          </w:p>
        </w:tc>
        <w:tc>
          <w:tcPr>
            <w:tcW w:w="19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Debt facilities </w:t>
            </w:r>
            <w:r>
              <w:rPr>
                <w:rFonts w:ascii="Arial;sans-serif" w:hAnsi="Arial;sans-serif"/>
                <w:b w:val="false"/>
                <w:color w:val="000000"/>
                <w:sz w:val="13"/>
              </w:rPr>
              <w:t>(4)</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Interest rate swap assets</w:t>
            </w:r>
            <w:r>
              <w:rPr>
                <w:rFonts w:ascii="Arial;sans-serif" w:hAnsi="Arial;sans-serif"/>
                <w:b w:val="false"/>
                <w:color w:val="000000"/>
                <w:sz w:val="13"/>
              </w:rPr>
              <w:t>(5)</w:t>
            </w:r>
          </w:p>
        </w:tc>
        <w:tc>
          <w:tcPr>
            <w:tcW w:w="19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Preferred equity investments</w:t>
            </w:r>
            <w:r>
              <w:rPr>
                <w:rFonts w:ascii="Arial;sans-serif" w:hAnsi="Arial;sans-serif"/>
                <w:b w:val="false"/>
                <w:color w:val="000000"/>
                <w:sz w:val="13"/>
              </w:rPr>
              <w:t>(6)</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Contingent consideration</w:t>
            </w:r>
            <w:r>
              <w:rPr>
                <w:rFonts w:ascii="Arial;sans-serif" w:hAnsi="Arial;sans-serif"/>
                <w:b w:val="false"/>
                <w:color w:val="000000"/>
                <w:sz w:val="13"/>
              </w:rPr>
              <w:t>(7)</w:t>
            </w:r>
          </w:p>
        </w:tc>
        <w:tc>
          <w:tcPr>
            <w:tcW w:w="19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Cash and cash equivalents are stated at nominal value, which equals fair value.</w:t>
      </w:r>
    </w:p>
    <w:p>
      <w:pPr>
        <w:pStyle w:val="TextBody"/>
        <w:bidi w:val="0"/>
        <w:spacing w:lineRule="auto" w:line="288" w:before="120" w:after="283"/>
        <w:ind w:left="0" w:right="0" w:hanging="270"/>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Represents restricted deposits that are used to collateralize our insurance obligations and are stated at nominal value, which equals fair value. These insurance deposits are included in “Other noncurrent assets” on the accompanying Consolidated Balance Sheets. See Note 10, “Insurance,” for further information.</w:t>
      </w:r>
    </w:p>
    <w:p>
      <w:pPr>
        <w:pStyle w:val="TextBody"/>
        <w:bidi w:val="0"/>
        <w:spacing w:lineRule="auto" w:line="288" w:before="120" w:after="283"/>
        <w:ind w:left="0" w:right="0" w:hanging="270"/>
        <w:jc w:val="both"/>
        <w:rPr/>
      </w:pPr>
      <w:r>
        <w:rPr>
          <w:rFonts w:ascii="Arial;sans-serif" w:hAnsi="Arial;sans-serif"/>
          <w:b w:val="false"/>
          <w:color w:val="000000"/>
          <w:sz w:val="12"/>
        </w:rPr>
        <w:t>(3)</w:t>
      </w:r>
      <w:r>
        <w:rPr>
          <w:color w:val="000000"/>
        </w:rPr>
        <w:t xml:space="preserve"> </w:t>
      </w:r>
      <w:r>
        <w:rPr>
          <w:rFonts w:ascii="Arial;sans-serif" w:hAnsi="Arial;sans-serif"/>
          <w:b w:val="false"/>
          <w:color w:val="000000"/>
          <w:sz w:val="18"/>
        </w:rPr>
        <w:t>Represents investments held in Rabbi trusts associated with two of our deferred compensation plans, which we include in “Other noncurrent assets” on the accompanying Consolidated Balance Sheets. The fair value of the assets held in the funded deferred compensation plan is based on quoted market prices. See Note 12, “Employee Benefit Plans,” for further information.</w:t>
      </w:r>
    </w:p>
    <w:p>
      <w:pPr>
        <w:pStyle w:val="TextBody"/>
        <w:bidi w:val="0"/>
        <w:spacing w:lineRule="auto" w:line="288" w:before="120" w:after="283"/>
        <w:ind w:left="0" w:right="0" w:hanging="270"/>
        <w:jc w:val="both"/>
        <w:rPr/>
      </w:pPr>
      <w:r>
        <w:rPr>
          <w:rFonts w:ascii="Arial;sans-serif" w:hAnsi="Arial;sans-serif"/>
          <w:b w:val="false"/>
          <w:color w:val="000000"/>
          <w:sz w:val="12"/>
        </w:rPr>
        <w:t>(4)</w:t>
      </w:r>
      <w:r>
        <w:rPr>
          <w:color w:val="000000"/>
        </w:rPr>
        <w:t xml:space="preserve"> </w:t>
      </w:r>
      <w:r>
        <w:rPr>
          <w:rFonts w:ascii="Arial;sans-serif" w:hAnsi="Arial;sans-serif"/>
          <w:b w:val="false"/>
          <w:color w:val="000000"/>
          <w:sz w:val="18"/>
        </w:rPr>
        <w:t>Represents gross outstanding borrowings under our syndicated line of credit and term loan. Due to variable interest rates, the carrying value of outstanding borrowings under our line of credit and term loan approximates the fair value. See Note 11, “Debt,” for further information.</w:t>
      </w:r>
    </w:p>
    <w:p>
      <w:pPr>
        <w:pStyle w:val="TextBody"/>
        <w:bidi w:val="0"/>
        <w:spacing w:lineRule="auto" w:line="288" w:before="120" w:after="283"/>
        <w:ind w:left="0" w:right="0" w:hanging="270"/>
        <w:jc w:val="both"/>
        <w:rPr/>
      </w:pPr>
      <w:r>
        <w:rPr>
          <w:rFonts w:ascii="Arial;sans-serif" w:hAnsi="Arial;sans-serif"/>
          <w:b w:val="false"/>
          <w:color w:val="000000"/>
          <w:sz w:val="12"/>
        </w:rPr>
        <w:t>(5)</w:t>
      </w:r>
      <w:r>
        <w:rPr>
          <w:color w:val="000000"/>
        </w:rPr>
        <w:t xml:space="preserve"> </w:t>
      </w:r>
      <w:r>
        <w:rPr>
          <w:rFonts w:ascii="Arial;sans-serif" w:hAnsi="Arial;sans-serif"/>
          <w:b w:val="false"/>
          <w:color w:val="000000"/>
          <w:sz w:val="18"/>
        </w:rPr>
        <w:t xml:space="preserve">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the Secured Overnight Financing Rate (“SOFR”) forward rates at the end of the period. At October 31, 2023 and 2022, our interest rate swap assets and liabilities are included in “Other noncurrent assets” and “Other noncurrent liabilities,” respectively, on the accompanying Consolidated Balance Sheets. See Note 11, “Debt,” for further information. </w:t>
      </w:r>
    </w:p>
    <w:p>
      <w:pPr>
        <w:pStyle w:val="TextBody"/>
        <w:bidi w:val="0"/>
        <w:spacing w:lineRule="auto" w:line="288" w:before="120" w:after="283"/>
        <w:ind w:left="0" w:right="0" w:hanging="270"/>
        <w:jc w:val="both"/>
        <w:rPr/>
      </w:pPr>
      <w:r>
        <w:rPr>
          <w:rFonts w:ascii="Arial;sans-serif" w:hAnsi="Arial;sans-serif"/>
          <w:b w:val="false"/>
          <w:color w:val="000000"/>
          <w:sz w:val="12"/>
        </w:rPr>
        <w:t>(6)</w:t>
      </w:r>
      <w:r>
        <w:rPr>
          <w:color w:val="000000"/>
        </w:rPr>
        <w:t xml:space="preserve"> </w:t>
      </w:r>
      <w:r>
        <w:rPr>
          <w:rFonts w:ascii="Arial;sans-serif" w:hAnsi="Arial;sans-serif"/>
          <w:b w:val="false"/>
          <w:color w:val="000000"/>
          <w:sz w:val="18"/>
        </w:rPr>
        <w:t>We purchased $12.4 million in a preferred equity investment and preferred stock warrants of a privately held company that specializes in the development of electric vehicle charging stations and related software during the year ended October 31, 2023, which we include within “Other investments” on the accompanying Consolidated Balance Sheet. Our total investments in preferred equity securities amounted to $15.4 million at October 31, 2023. Our investments do not have a readily determinable fair value; therefore, we account for the investments using the measurement alternative under Topic 321 and measure the investments at initial cost less impairment, if any.</w:t>
      </w:r>
    </w:p>
    <w:p>
      <w:pPr>
        <w:pStyle w:val="TextBody"/>
        <w:bidi w:val="0"/>
        <w:spacing w:lineRule="auto" w:line="288" w:before="120" w:after="283"/>
        <w:ind w:left="0" w:right="0" w:hanging="270"/>
        <w:jc w:val="both"/>
        <w:rPr/>
      </w:pPr>
      <w:r>
        <w:rPr>
          <w:rFonts w:ascii="Arial;sans-serif" w:hAnsi="Arial;sans-serif"/>
          <w:b w:val="false"/>
          <w:color w:val="000000"/>
          <w:sz w:val="12"/>
        </w:rPr>
        <w:t>(7)</w:t>
      </w:r>
      <w:r>
        <w:rPr>
          <w:color w:val="000000"/>
        </w:rPr>
        <w:t xml:space="preserve"> </w:t>
      </w:r>
      <w:r>
        <w:rPr>
          <w:rFonts w:ascii="Arial;sans-serif" w:hAnsi="Arial;sans-serif"/>
          <w:b w:val="false"/>
          <w:color w:val="000000"/>
          <w:sz w:val="18"/>
        </w:rPr>
        <w:t>At October 31, 2023, our contingent consideration payable related to the RavenVolt Acquisition is recorded at fair value as a liability on the acquisition date and is remeasured at each reporting date, based on significant inputs not observable in the market, which represents a Level 3 measurement within the fair value hierarchy. At September 1, 2022, we recorded the contingent consideration at fair value of $59.0 million. After the acquisition date and until the contingency is resolved, the fair value of contingent consideration payable is adjusted each reporting period based primarily on the expected probability of achievement of the contingency targets which are subject to our estimate. These changes in fair value are recognized within “Selling, general and administrative expenses” of the Consolidated Statements of Comprehensive Income. See Note 3, “Acquisitions,” for further information.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There were no transfers to or from Level 3 financial assets or liabilities during 2023 and 2022. At October 31, 2022, the Company had no financial assets or liabilities recorded at fair value using Level 3 inputs.</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Non-Financial Assets Measured at Fair Value on a Non-Recurring Basis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to assets and liabilities that are measured at fair value on a recurring basis, we are also required to measure certain items at fair value on a non-recurring basis. These assets can include: goodwill; intangible assets; property, plant and equipment; lease-related ROU assets; and long-lived assets that have been reduced to fair value when they are held for sale. If certain triggering events occur or if an annual impairment test is required,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60350"/>
                <wp:effectExtent l="0" t="0" r="0" b="0"/>
                <wp:wrapNone/>
                <wp:docPr id="78" name="Frame6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we would evaluate these non-financial assets for impairment. If an impairment were to occur, the asset would be recorded at the estimated fair value, using primarily unobservable Level 3 inputs.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first quarter of 2022, we performed a reorganization of our T&amp;M segment, and reallocated $95.0 million of goodwill from our B&amp;I segment to our M&amp;D segment using a relative fair value approach. M&amp;D’s goodwill balance was $502.2 million after the reorganization, which includes $407.2 million of previously recorded goodwill from our T&amp;M segment. In addition, we completed an assessment of any potential goodwill impairment for all reporting units immediately prior to and following the reallocation and determined that no impairment existed.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third quarter of 2021, we recognized a non-cash impairment charge totaling $9.1 million in our Corporate segment for previously capitalized internal-use software related to our Enterprise Resource Planning (“ERP”) system implementation. The Company determined that certain components that were previously developed would no longer be implemented. The impairment charge reduced the carrying value to zero for those components and is recorded in “Selling, general and administrative expenses” on our Consolidated Statements of Comprehensive Income for the year ended October 31, 2021.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8. PROPERTY, PLANT AND EQUIPMENT</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Property, Plant and Equipment</w:t>
      </w:r>
    </w:p>
    <w:tbl>
      <w:tblPr>
        <w:tblW w:w="5393" w:type="dxa"/>
        <w:jc w:val="left"/>
        <w:tblInd w:w="0" w:type="dxa"/>
        <w:tblLayout w:type="fixed"/>
        <w:tblCellMar>
          <w:top w:w="28" w:type="dxa"/>
          <w:left w:w="28" w:type="dxa"/>
          <w:bottom w:w="28" w:type="dxa"/>
          <w:right w:w="28" w:type="dxa"/>
        </w:tblCellMar>
      </w:tblPr>
      <w:tblGrid>
        <w:gridCol w:w="1117"/>
        <w:gridCol w:w="980"/>
        <w:gridCol w:w="992"/>
        <w:gridCol w:w="211"/>
        <w:gridCol w:w="646"/>
        <w:gridCol w:w="109"/>
        <w:gridCol w:w="109"/>
        <w:gridCol w:w="109"/>
        <w:gridCol w:w="109"/>
        <w:gridCol w:w="211"/>
        <w:gridCol w:w="646"/>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October 31,</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08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other equipment</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170.7 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equipment and software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Transportation equipment</w:t>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and fixtures</w:t>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Less: Accumulated depreciation</w:t>
            </w:r>
            <w:r>
              <w:rPr>
                <w:rFonts w:ascii="Arial;sans-serif" w:hAnsi="Arial;sans-serif"/>
                <w:b w:val="false"/>
                <w:color w:val="000000"/>
                <w:sz w:val="13"/>
              </w:rPr>
              <w:t>(1)</w:t>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296.9 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For 2023, 2022, and 2021, depreciation expense was $44.2 million, $40.3 million, and $45.0 million, respectively.</w:t>
      </w:r>
    </w:p>
    <w:p>
      <w:pPr>
        <w:pStyle w:val="TextBody"/>
        <w:bidi w:val="0"/>
        <w:spacing w:before="180" w:after="240"/>
        <w:jc w:val="left"/>
        <w:rPr/>
      </w:pPr>
      <w:r>
        <w:rPr/>
      </w:r>
    </w:p>
    <w:p>
      <w:pPr>
        <w:pStyle w:val="TextBody"/>
        <w:bidi w:val="0"/>
        <w:spacing w:before="180" w:after="240"/>
        <w:jc w:val="left"/>
        <w:rPr/>
      </w:pPr>
      <w:r>
        <w:rPr/>
      </w:r>
    </w:p>
    <w:p>
      <w:pPr>
        <w:pStyle w:val="TextBody"/>
        <w:bidi w:val="0"/>
        <w:spacing w:before="180" w:after="240"/>
        <w:jc w:val="left"/>
        <w:rPr/>
      </w:pPr>
      <w:r>
        <w:rPr/>
      </w:r>
    </w:p>
    <w:p>
      <w:pPr>
        <w:pStyle w:val="TextBody"/>
        <w:bidi w:val="0"/>
        <w:spacing w:before="180" w:after="240"/>
        <w:jc w:val="left"/>
        <w:rPr/>
      </w:pPr>
      <w:r>
        <w:rPr/>
      </w:r>
    </w:p>
    <w:p>
      <w:pPr>
        <w:pStyle w:val="TextBody"/>
        <w:bidi w:val="0"/>
        <w:spacing w:before="180" w:after="240"/>
        <w:jc w:val="left"/>
        <w:rPr/>
      </w:pPr>
      <w:r>
        <w:rPr/>
      </w:r>
    </w:p>
    <w:p>
      <w:pPr>
        <w:pStyle w:val="TextBody"/>
        <w:bidi w:val="0"/>
        <w:spacing w:before="18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60350"/>
                <wp:effectExtent l="0" t="0" r="0" b="0"/>
                <wp:wrapNone/>
                <wp:docPr id="79" name="Frame70"/>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9. GOODWILL AND OTHER INTANGIBLE ASSETS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Goodwill</w:t>
      </w:r>
    </w:p>
    <w:tbl>
      <w:tblPr>
        <w:tblW w:w="10205" w:type="dxa"/>
        <w:jc w:val="left"/>
        <w:tblInd w:w="0" w:type="dxa"/>
        <w:tblLayout w:type="fixed"/>
        <w:tblCellMar>
          <w:top w:w="28" w:type="dxa"/>
          <w:left w:w="28" w:type="dxa"/>
          <w:bottom w:w="28" w:type="dxa"/>
          <w:right w:w="28" w:type="dxa"/>
        </w:tblCellMar>
      </w:tblPr>
      <w:tblGrid>
        <w:gridCol w:w="704"/>
        <w:gridCol w:w="328"/>
        <w:gridCol w:w="280"/>
        <w:gridCol w:w="227"/>
        <w:gridCol w:w="827"/>
        <w:gridCol w:w="117"/>
        <w:gridCol w:w="109"/>
        <w:gridCol w:w="109"/>
        <w:gridCol w:w="109"/>
        <w:gridCol w:w="332"/>
        <w:gridCol w:w="970"/>
        <w:gridCol w:w="172"/>
        <w:gridCol w:w="109"/>
        <w:gridCol w:w="109"/>
        <w:gridCol w:w="109"/>
        <w:gridCol w:w="216"/>
        <w:gridCol w:w="632"/>
        <w:gridCol w:w="113"/>
        <w:gridCol w:w="109"/>
        <w:gridCol w:w="109"/>
        <w:gridCol w:w="109"/>
        <w:gridCol w:w="211"/>
        <w:gridCol w:w="511"/>
        <w:gridCol w:w="109"/>
        <w:gridCol w:w="109"/>
        <w:gridCol w:w="109"/>
        <w:gridCol w:w="109"/>
        <w:gridCol w:w="232"/>
        <w:gridCol w:w="678"/>
        <w:gridCol w:w="120"/>
        <w:gridCol w:w="109"/>
        <w:gridCol w:w="109"/>
        <w:gridCol w:w="109"/>
        <w:gridCol w:w="211"/>
        <w:gridCol w:w="766"/>
        <w:gridCol w:w="109"/>
        <w:gridCol w:w="109"/>
        <w:gridCol w:w="109"/>
        <w:gridCol w:w="109"/>
        <w:gridCol w:w="109"/>
        <w:gridCol w:w="109"/>
        <w:gridCol w:w="160"/>
      </w:tblGrid>
      <w:tr>
        <w:trPr/>
        <w:tc>
          <w:tcPr>
            <w:tcW w:w="70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Business &amp; Industry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Manufacturing &amp;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Education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Technical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October 31, 2021</w:t>
            </w:r>
          </w:p>
        </w:tc>
        <w:tc>
          <w:tcPr>
            <w:tcW w:w="227"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1,129.8 </w:t>
            </w:r>
          </w:p>
        </w:tc>
        <w:tc>
          <w:tcPr>
            <w:tcW w:w="117"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0"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407.2 </w:t>
            </w:r>
          </w:p>
        </w:tc>
        <w:tc>
          <w:tcPr>
            <w:tcW w:w="172"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459.3 </w:t>
            </w:r>
          </w:p>
        </w:tc>
        <w:tc>
          <w:tcPr>
            <w:tcW w:w="113"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162.7 </w:t>
            </w:r>
          </w:p>
        </w:tc>
        <w:tc>
          <w:tcPr>
            <w:tcW w:w="120"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2,228.9 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Acquisitions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shd w:fill="DCE2E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1054"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1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20"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Reallocation </w:t>
            </w:r>
            <w:r>
              <w:rPr>
                <w:rFonts w:ascii="Arial;sans-serif" w:hAnsi="Arial;sans-serif"/>
                <w:b w:val="false"/>
                <w:color w:val="000000"/>
                <w:sz w:val="12"/>
              </w:rPr>
              <w:t>(1)</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October 31, 2022</w:t>
            </w:r>
          </w:p>
        </w:tc>
        <w:tc>
          <w:tcPr>
            <w:tcW w:w="227"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1,087.8 </w:t>
            </w:r>
          </w:p>
        </w:tc>
        <w:tc>
          <w:tcPr>
            <w:tcW w:w="117"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0"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502.2 </w:t>
            </w:r>
          </w:p>
        </w:tc>
        <w:tc>
          <w:tcPr>
            <w:tcW w:w="172"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459.3 </w:t>
            </w:r>
          </w:p>
        </w:tc>
        <w:tc>
          <w:tcPr>
            <w:tcW w:w="113"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367.4 </w:t>
            </w:r>
          </w:p>
        </w:tc>
        <w:tc>
          <w:tcPr>
            <w:tcW w:w="120"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2,485.6 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Acquisitions </w:t>
            </w:r>
            <w:r>
              <w:rPr>
                <w:rFonts w:ascii="Arial;sans-serif" w:hAnsi="Arial;sans-serif"/>
                <w:b w:val="false"/>
                <w:color w:val="000000"/>
                <w:sz w:val="12"/>
              </w:rPr>
              <w:t>(2)</w:t>
            </w:r>
          </w:p>
        </w:tc>
        <w:tc>
          <w:tcPr>
            <w:tcW w:w="10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1054"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17"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20"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October 31, 2023</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502.2 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In connection with the reorganization of our T&amp;M segment in the first quarter of 2022, we reallocated $95.0 million of goodwill from our B&amp;I segment to our M&amp;D segment using a relative fair value approach.</w:t>
      </w:r>
    </w:p>
    <w:p>
      <w:pPr>
        <w:pStyle w:val="TextBody"/>
        <w:bidi w:val="0"/>
        <w:spacing w:lineRule="auto" w:line="288" w:before="240" w:after="283"/>
        <w:ind w:left="0" w:right="0" w:hanging="180"/>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 xml:space="preserve">During 2023, represents final acquisition accounting adjustments to goodwill from RavenVolt and Momentum acquisitions. See Note 3, “Acquisitions and Dispositions,” for additional information.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did not record goodwill impairment charges during fiscal years 2023 and 2022. </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Other Intangible Assets</w:t>
      </w:r>
    </w:p>
    <w:tbl>
      <w:tblPr>
        <w:tblW w:w="10205" w:type="dxa"/>
        <w:jc w:val="left"/>
        <w:tblInd w:w="0" w:type="dxa"/>
        <w:tblLayout w:type="fixed"/>
        <w:tblCellMar>
          <w:top w:w="28" w:type="dxa"/>
          <w:left w:w="28" w:type="dxa"/>
          <w:bottom w:w="28" w:type="dxa"/>
          <w:right w:w="28" w:type="dxa"/>
        </w:tblCellMar>
      </w:tblPr>
      <w:tblGrid>
        <w:gridCol w:w="542"/>
        <w:gridCol w:w="477"/>
        <w:gridCol w:w="482"/>
        <w:gridCol w:w="256"/>
        <w:gridCol w:w="749"/>
        <w:gridCol w:w="132"/>
        <w:gridCol w:w="109"/>
        <w:gridCol w:w="109"/>
        <w:gridCol w:w="109"/>
        <w:gridCol w:w="318"/>
        <w:gridCol w:w="952"/>
        <w:gridCol w:w="165"/>
        <w:gridCol w:w="109"/>
        <w:gridCol w:w="109"/>
        <w:gridCol w:w="109"/>
        <w:gridCol w:w="211"/>
        <w:gridCol w:w="616"/>
        <w:gridCol w:w="109"/>
        <w:gridCol w:w="109"/>
        <w:gridCol w:w="109"/>
        <w:gridCol w:w="109"/>
        <w:gridCol w:w="256"/>
        <w:gridCol w:w="749"/>
        <w:gridCol w:w="132"/>
        <w:gridCol w:w="109"/>
        <w:gridCol w:w="109"/>
        <w:gridCol w:w="109"/>
        <w:gridCol w:w="318"/>
        <w:gridCol w:w="952"/>
        <w:gridCol w:w="165"/>
        <w:gridCol w:w="109"/>
        <w:gridCol w:w="109"/>
        <w:gridCol w:w="109"/>
        <w:gridCol w:w="211"/>
        <w:gridCol w:w="616"/>
        <w:gridCol w:w="162"/>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October 31,</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11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50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contracts and relationships</w:t>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9"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714.1 </w:t>
            </w:r>
          </w:p>
        </w:tc>
        <w:tc>
          <w:tcPr>
            <w:tcW w:w="132"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(413.2)</w:t>
            </w:r>
          </w:p>
        </w:tc>
        <w:tc>
          <w:tcPr>
            <w:tcW w:w="165"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300.9 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9"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801.6 </w:t>
            </w:r>
          </w:p>
        </w:tc>
        <w:tc>
          <w:tcPr>
            <w:tcW w:w="132"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(442.1)</w:t>
            </w:r>
          </w:p>
        </w:tc>
        <w:tc>
          <w:tcPr>
            <w:tcW w:w="165"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359.6 </w:t>
            </w:r>
          </w:p>
        </w:tc>
        <w:tc>
          <w:tcPr>
            <w:tcW w:w="162"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Trademarks and trade names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Contract rights and other</w:t>
            </w:r>
          </w:p>
        </w:tc>
        <w:tc>
          <w:tcPr>
            <w:tcW w:w="100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3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w:t>
            </w:r>
          </w:p>
        </w:tc>
        <w:tc>
          <w:tcPr>
            <w:tcW w:w="165"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3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65"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6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ind w:left="0" w:right="0" w:hanging="180"/>
              <w:jc w:val="both"/>
              <w:rPr/>
            </w:pPr>
            <w:r>
              <w:rPr>
                <w:rFonts w:ascii="Arial;sans-serif" w:hAnsi="Arial;sans-serif"/>
                <w:b/>
                <w:color w:val="000000"/>
                <w:sz w:val="18"/>
              </w:rPr>
              <w:t>Total</w:t>
            </w:r>
            <w:r>
              <w:rPr>
                <w:rFonts w:ascii="Arial;sans-serif" w:hAnsi="Arial;sans-serif"/>
                <w:b w:val="false"/>
                <w:color w:val="000000"/>
                <w:sz w:val="12"/>
              </w:rPr>
              <w:t xml:space="preserve">(1)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(438.3)</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(459.8)</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Arial;sans-serif" w:hAnsi="Arial;sans-serif"/>
          <w:b w:val="false"/>
          <w:color w:val="000000"/>
          <w:sz w:val="12"/>
        </w:rPr>
        <w:t xml:space="preserve">(1) </w:t>
      </w:r>
      <w:r>
        <w:rPr>
          <w:rFonts w:ascii="Arial;sans-serif" w:hAnsi="Arial;sans-serif"/>
          <w:b w:val="false"/>
          <w:color w:val="000000"/>
          <w:sz w:val="18"/>
        </w:rPr>
        <w:t xml:space="preserve">These intangible assets are being amortized over the expected period of benefit, with a weighted average life of approximately 11 years. </w:t>
      </w:r>
    </w:p>
    <w:p>
      <w:pPr>
        <w:pStyle w:val="TextBody"/>
        <w:bidi w:val="0"/>
        <w:spacing w:before="120" w:after="283"/>
        <w:ind w:left="0" w:right="0" w:hanging="180"/>
        <w:jc w:val="both"/>
        <w:rPr/>
      </w:pPr>
      <w:r>
        <w:rPr/>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Estimated Annual Amortization Expense for Each of the Next Five Years</w:t>
      </w:r>
    </w:p>
    <w:tbl>
      <w:tblPr>
        <w:tblW w:w="8747" w:type="dxa"/>
        <w:jc w:val="left"/>
        <w:tblInd w:w="0" w:type="dxa"/>
        <w:tblLayout w:type="fixed"/>
        <w:tblCellMar>
          <w:top w:w="28" w:type="dxa"/>
          <w:left w:w="28" w:type="dxa"/>
          <w:bottom w:w="28" w:type="dxa"/>
          <w:right w:w="28" w:type="dxa"/>
        </w:tblCellMar>
      </w:tblPr>
      <w:tblGrid>
        <w:gridCol w:w="1115"/>
        <w:gridCol w:w="979"/>
        <w:gridCol w:w="995"/>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2028</w:t>
            </w:r>
          </w:p>
        </w:tc>
      </w:tr>
      <w:tr>
        <w:trPr/>
        <w:tc>
          <w:tcPr>
            <w:tcW w:w="3089"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Estimated amortization expense</w:t>
            </w:r>
            <w:r>
              <w:rPr>
                <w:rFonts w:ascii="Arial;sans-serif" w:hAnsi="Arial;sans-serif"/>
                <w:b w:val="false"/>
                <w:color w:val="000000"/>
                <w:sz w:val="13"/>
              </w:rPr>
              <w:t>(1)</w:t>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These amounts could vary as acquisitions of additional intangible assets occur in the future and as acquisition accounting is finalized for existing acquisitions.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The estimates of future cash flows used in determining the fair value of goodwill and other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60350"/>
                <wp:effectExtent l="0" t="0" r="0" b="0"/>
                <wp:wrapNone/>
                <wp:docPr id="80" name="Frame7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before="180" w:after="283"/>
        <w:jc w:val="left"/>
        <w:rPr/>
      </w:pPr>
      <w:r>
        <w:rPr/>
      </w:r>
    </w:p>
    <w:p>
      <w:pPr>
        <w:pStyle w:val="TextBody"/>
        <w:bidi w:val="0"/>
        <w:spacing w:before="18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10. INSURANCE</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use a combination of insured and self-insurance programs to cover workers’ compensation, general liability, automobile liability, property damage, and other insurable risks. For the majority of these insurance programs, we retain the initial $1.0 million to $1.5 million of exposure on a per-occurrence basis, either through deductibles or self-insured retentions. Beginning November 1, 2023, retentions will range between $1.0 million and $5.0 million of exposure on a per-occurrence basis.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$0.5 million of exposure on a per-participant, per-year basis with respect to claims.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maintain our reserves for workers’ compensation, general liability, automobile liability, and property damage insurance claims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reviews are used to estimate our insurance rates and insurance reserves for future periods and to adjust reserves, if appropriate, for prior years.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Insurance Reserve Adjustments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Actuarial Reviews and Updates Performed During 2023</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review our self-insurance liabilities on a quarterly basis and adjust our accruals accordingly. Actual claims activity or development may vary from our assumptions and estimates, which may result in material losses or gains. As we obtain additional information that affects the assumptions and estimates used in our reserve liability calculations, we adjust our self-insurance rates and reserves for future periods and, if appropriate, adjust our reserves for claims incurred in prior accounting periods.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first and third quarters of 2023, we performed comprehensive actuarial reviews of the majority of our casualty insurance programs to evaluate changes made to claims reserves and claims payment activity for the periods of May 1, 2022, through October 31, 2022, and November 1, 2022, through April 30, 2023, respectively (the “Actuarial Reviews”). The Actuarial Reviews were comprehensive in nature and were based on loss development patterns, trend assumptions, and underlying expected loss costs during the periods analyzed.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second and fourth quarters of 2023, we performed interim actuarial updates of the majority of our casualty insurance programs that considered changes in claims development and claims payment activity for the respective periods analyzed (the “Interim Updates”). These Interim Updates were abbreviated in nature based on actual versus expected development during the periods analyzed and relied on the key assumptions in the Actuarial Reviews (most notably loss development patterns, trend assumptions, and underlying expected loss costs).</w:t>
      </w:r>
    </w:p>
    <w:p>
      <w:pPr>
        <w:pStyle w:val="TextBody"/>
        <w:bidi w:val="0"/>
        <w:spacing w:lineRule="auto" w:line="288" w:before="180" w:after="283"/>
        <w:ind w:left="0" w:right="0" w:firstLine="720"/>
        <w:jc w:val="both"/>
        <w:rPr/>
      </w:pPr>
      <w:r>
        <w:rPr>
          <w:rFonts w:ascii="Arial;sans-serif" w:hAnsi="Arial;sans-serif"/>
          <w:b w:val="false"/>
          <w:color w:val="000000"/>
          <w:sz w:val="20"/>
        </w:rPr>
        <w:t xml:space="preserve">Based on the results of the Actuarial Reviews and Interim Updates, </w:t>
      </w:r>
      <w:r>
        <w:rPr>
          <w:rFonts w:ascii="Arial;sans-serif" w:hAnsi="Arial;sans-serif"/>
          <w:b w:val="false"/>
          <w:color w:val="000000"/>
          <w:sz w:val="20"/>
          <w:shd w:fill="FFFFFF" w:val="clear"/>
        </w:rPr>
        <w:t>w</w:t>
      </w:r>
      <w:r>
        <w:rPr>
          <w:rFonts w:ascii="Arial;sans-serif" w:hAnsi="Arial;sans-serif"/>
          <w:b w:val="false"/>
          <w:color w:val="000000"/>
          <w:sz w:val="20"/>
        </w:rPr>
        <w:t>e decreased</w:t>
      </w:r>
      <w:r>
        <w:rPr>
          <w:color w:val="000000"/>
          <w:shd w:fill="FFFFFF" w:val="clear"/>
        </w:rPr>
        <w:t xml:space="preserve"> </w:t>
      </w:r>
      <w:r>
        <w:rPr>
          <w:rFonts w:ascii="Arial;sans-serif" w:hAnsi="Arial;sans-serif"/>
          <w:b w:val="false"/>
          <w:color w:val="000000"/>
          <w:sz w:val="20"/>
          <w:shd w:fill="FFFFFF" w:val="clear"/>
        </w:rPr>
        <w:t>our total reserves related to prior years for known claims as well as our estimate of the loss amounts associated with IBNR Claims during 2023 by</w:t>
      </w:r>
      <w:r>
        <w:rPr>
          <w:color w:val="000000"/>
        </w:rPr>
        <w:t xml:space="preserve"> </w:t>
      </w:r>
      <w:r>
        <w:rPr>
          <w:rFonts w:ascii="Arial;sans-serif" w:hAnsi="Arial;sans-serif"/>
          <w:b w:val="false"/>
          <w:color w:val="000000"/>
          <w:sz w:val="20"/>
        </w:rPr>
        <w:t xml:space="preserve">$14.8 million. In 2022, we decreased our total reserves related to prior year claims by $36.8 million. </w:t>
      </w:r>
    </w:p>
    <w:p>
      <w:pPr>
        <w:pStyle w:val="TextBody"/>
        <w:bidi w:val="0"/>
        <w:spacing w:lineRule="auto" w:line="288" w:before="180" w:after="283"/>
        <w:ind w:left="0" w:right="0" w:firstLine="720"/>
        <w:jc w:val="both"/>
        <w:rPr>
          <w:rFonts w:ascii="Arial;sans-serif" w:hAnsi="Arial;sans-serif"/>
          <w:b/>
          <w:i/>
          <w:color w:val="0046AD"/>
          <w:sz w:val="20"/>
        </w:rPr>
      </w:pPr>
      <w:r>
        <w:rPr>
          <w:rFonts w:ascii="Arial;sans-serif" w:hAnsi="Arial;sans-serif"/>
          <w:b/>
          <w:i/>
          <w:color w:val="0046AD"/>
          <w:sz w:val="20"/>
        </w:rPr>
        <w:t xml:space="preserve">Insurance-Related Balances and Activity </w:t>
      </w:r>
    </w:p>
    <w:tbl>
      <w:tblPr>
        <w:tblW w:w="7253" w:type="dxa"/>
        <w:jc w:val="left"/>
        <w:tblInd w:w="0" w:type="dxa"/>
        <w:tblLayout w:type="fixed"/>
        <w:tblCellMar>
          <w:top w:w="28" w:type="dxa"/>
          <w:left w:w="28" w:type="dxa"/>
          <w:bottom w:w="28" w:type="dxa"/>
          <w:right w:w="28" w:type="dxa"/>
        </w:tblCellMar>
      </w:tblPr>
      <w:tblGrid>
        <w:gridCol w:w="1785"/>
        <w:gridCol w:w="1572"/>
        <w:gridCol w:w="1592"/>
        <w:gridCol w:w="211"/>
        <w:gridCol w:w="646"/>
        <w:gridCol w:w="109"/>
        <w:gridCol w:w="109"/>
        <w:gridCol w:w="109"/>
        <w:gridCol w:w="109"/>
        <w:gridCol w:w="211"/>
        <w:gridCol w:w="646"/>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October 31,</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94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claim reserves, excluding medical and dental</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555.0 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551.0 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Medical and dental claim reserves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 recoverables</w:t>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60350"/>
                <wp:effectExtent l="0" t="0" r="0" b="0"/>
                <wp:wrapNone/>
                <wp:docPr id="81" name="Frame72"/>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At October 31, 2023 and 2022, insurance recoverables are included in both “Other current assets” and “Other noncurrent assets” on the accompanying Consolidated Balance Sheets.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Casualty Program Insurance Reserves Rollforward</w:t>
      </w:r>
    </w:p>
    <w:tbl>
      <w:tblPr>
        <w:tblW w:w="9204" w:type="dxa"/>
        <w:jc w:val="left"/>
        <w:tblInd w:w="0" w:type="dxa"/>
        <w:tblLayout w:type="fixed"/>
        <w:tblCellMar>
          <w:top w:w="28" w:type="dxa"/>
          <w:left w:w="28" w:type="dxa"/>
          <w:bottom w:w="28" w:type="dxa"/>
          <w:right w:w="28" w:type="dxa"/>
        </w:tblCellMar>
      </w:tblPr>
      <w:tblGrid>
        <w:gridCol w:w="1907"/>
        <w:gridCol w:w="1674"/>
        <w:gridCol w:w="169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907"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528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balance at beginning of year</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479.9 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508.3 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434.8 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Change in case reserves plus IBNR Claims </w:t>
            </w:r>
            <w:r>
              <w:rPr>
                <w:color w:val="000000"/>
              </w:rPr>
              <w:t xml:space="preserve">— </w:t>
            </w:r>
            <w:r>
              <w:rPr>
                <w:rFonts w:ascii="Arial;sans-serif" w:hAnsi="Arial;sans-serif"/>
                <w:b w:val="false"/>
                <w:color w:val="000000"/>
                <w:sz w:val="20"/>
              </w:rPr>
              <w:t>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Change in case reserves plus IBNR Claims </w:t>
            </w:r>
            <w:r>
              <w:rPr>
                <w:color w:val="000000"/>
              </w:rPr>
              <w:t xml:space="preserve">— </w:t>
            </w:r>
            <w:r>
              <w:rPr>
                <w:rFonts w:ascii="Arial;sans-serif" w:hAnsi="Arial;sans-serif"/>
                <w:b w:val="false"/>
                <w:color w:val="000000"/>
                <w:sz w:val="20"/>
              </w:rPr>
              <w:t>prior years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Claims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Acquisition</w:t>
            </w:r>
            <w:r>
              <w:rPr>
                <w:rFonts w:ascii="Arial;sans-serif" w:hAnsi="Arial;sans-serif"/>
                <w:b w:val="false"/>
                <w:color w:val="000000"/>
                <w:sz w:val="13"/>
              </w:rPr>
              <w:t>(1)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Net balance, October 31</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Recoverables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balance, October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xml:space="preserve">During 2021, insurance reserves increased as a result of the Able Acquisition. </w:t>
      </w:r>
    </w:p>
    <w:p>
      <w:pPr>
        <w:pStyle w:val="TextBody"/>
        <w:bidi w:val="0"/>
        <w:spacing w:lineRule="auto" w:line="288" w:before="240" w:after="283"/>
        <w:ind w:left="0" w:right="0" w:hanging="180"/>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 xml:space="preserve">Includes reserves related to discontinued operations of approximately $0.1 million for 2023, $0.2 million for 2022, and $0.3 million for 2021. </w:t>
      </w:r>
    </w:p>
    <w:p>
      <w:pPr>
        <w:pStyle w:val="TextBody"/>
        <w:bidi w:val="0"/>
        <w:spacing w:lineRule="auto" w:line="288" w:before="240" w:after="283"/>
        <w:jc w:val="left"/>
        <w:rPr>
          <w:rFonts w:ascii="Arial;sans-serif" w:hAnsi="Arial;sans-serif"/>
          <w:b/>
          <w:i/>
          <w:color w:val="0046AD"/>
          <w:sz w:val="20"/>
        </w:rPr>
      </w:pPr>
      <w:r>
        <w:rPr>
          <w:rFonts w:ascii="Arial;sans-serif" w:hAnsi="Arial;sans-serif"/>
          <w:b/>
          <w:i/>
          <w:color w:val="0046AD"/>
          <w:sz w:val="20"/>
        </w:rPr>
        <w:t>Instruments Used to Collateralize Our Insurance Obligations</w:t>
      </w:r>
    </w:p>
    <w:tbl>
      <w:tblPr>
        <w:tblW w:w="6609" w:type="dxa"/>
        <w:jc w:val="left"/>
        <w:tblInd w:w="0" w:type="dxa"/>
        <w:tblLayout w:type="fixed"/>
        <w:tblCellMar>
          <w:top w:w="28" w:type="dxa"/>
          <w:left w:w="28" w:type="dxa"/>
          <w:bottom w:w="28" w:type="dxa"/>
          <w:right w:w="28" w:type="dxa"/>
        </w:tblCellMar>
      </w:tblPr>
      <w:tblGrid>
        <w:gridCol w:w="1557"/>
        <w:gridCol w:w="1367"/>
        <w:gridCol w:w="1381"/>
        <w:gridCol w:w="211"/>
        <w:gridCol w:w="646"/>
        <w:gridCol w:w="109"/>
        <w:gridCol w:w="109"/>
        <w:gridCol w:w="109"/>
        <w:gridCol w:w="109"/>
        <w:gridCol w:w="211"/>
        <w:gridCol w:w="646"/>
        <w:gridCol w:w="154"/>
      </w:tblGrid>
      <w:tr>
        <w:trPr/>
        <w:tc>
          <w:tcPr>
            <w:tcW w:w="155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October 31,</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30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Standby letters of credit</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153.7 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Surety bonds and surety-backed letters of credit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insurance deposits</w:t>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60350"/>
                <wp:effectExtent l="0" t="0" r="0" b="0"/>
                <wp:wrapNone/>
                <wp:docPr id="82" name="Frame7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11. DEBT</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Arial;sans-serif" w:hAnsi="Arial;sans-serif"/>
          <w:b/>
          <w:color w:val="0046AD"/>
          <w:sz w:val="20"/>
        </w:rPr>
      </w:pPr>
      <w:r>
        <w:rPr>
          <w:rFonts w:ascii="Arial;sans-serif" w:hAnsi="Arial;sans-serif"/>
          <w:b/>
          <w:color w:val="0046AD"/>
          <w:sz w:val="20"/>
        </w:rPr>
        <w:t xml:space="preserve">Components of Debt </w:t>
      </w:r>
    </w:p>
    <w:tbl>
      <w:tblPr>
        <w:tblW w:w="5993" w:type="dxa"/>
        <w:jc w:val="left"/>
        <w:tblInd w:w="0" w:type="dxa"/>
        <w:tblLayout w:type="fixed"/>
        <w:tblCellMar>
          <w:top w:w="28" w:type="dxa"/>
          <w:left w:w="28" w:type="dxa"/>
          <w:bottom w:w="28" w:type="dxa"/>
          <w:right w:w="28" w:type="dxa"/>
        </w:tblCellMar>
      </w:tblPr>
      <w:tblGrid>
        <w:gridCol w:w="1214"/>
        <w:gridCol w:w="1067"/>
        <w:gridCol w:w="1078"/>
        <w:gridCol w:w="211"/>
        <w:gridCol w:w="811"/>
        <w:gridCol w:w="109"/>
        <w:gridCol w:w="109"/>
        <w:gridCol w:w="109"/>
        <w:gridCol w:w="109"/>
        <w:gridCol w:w="211"/>
        <w:gridCol w:w="811"/>
        <w:gridCol w:w="154"/>
      </w:tblGrid>
      <w:tr>
        <w:trPr/>
        <w:tc>
          <w:tcPr>
            <w:tcW w:w="121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October 31,</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3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113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Unamortized deferred financing costs</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term loan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 facility</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debt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term loan</w:t>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568.8 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Unamortized deferred financing costs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portion of term loan</w:t>
            </w:r>
          </w:p>
        </w:tc>
        <w:tc>
          <w:tcPr>
            <w:tcW w:w="102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534.8 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566.3 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Revolving line of credit</w:t>
            </w:r>
            <w:r>
              <w:rPr>
                <w:rFonts w:ascii="Arial;sans-serif" w:hAnsi="Arial;sans-serif"/>
                <w:b w:val="false"/>
                <w:color w:val="000000"/>
                <w:sz w:val="13"/>
              </w:rPr>
              <w:t>(1)(2)</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1,279.8 </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1,086.3 </w:t>
            </w:r>
          </w:p>
        </w:tc>
        <w:tc>
          <w:tcPr>
            <w:tcW w:w="154"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xml:space="preserve">Standby letters of credit amounted to $58.2 million at October 31, 2023. </w:t>
      </w:r>
    </w:p>
    <w:p>
      <w:pPr>
        <w:pStyle w:val="TextBody"/>
        <w:bidi w:val="0"/>
        <w:spacing w:lineRule="auto" w:line="288" w:before="120" w:after="283"/>
        <w:ind w:left="0" w:right="0" w:hanging="180"/>
        <w:jc w:val="both"/>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At October 31, 2023, we had borrowing capacity of $483.0 million.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At October 31, 2023, and October 31, 2022, the weighted average interest rate on our outstanding borrowings, not including letters of credit and swaps, was 7.17%.and 4.97%, respectively.</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September 1, 2017, we refinanced and replaced our then-existing $800.0 million credit facility with a new senior, secured five-year syndicated credit facility, consisting of a $900.0 million revolving line of credit and an $800.0 million amortizing term loan, both of which were scheduled to mature on September 1, 2022. In accordance with the terms of the Credit Facility, the revolving line of credit was reduced to $800.0 million on September 1, 2018.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June 28, 2021, the Company amended and restated the Credit Facility with the Second Amendment, extending the maturity date to June 28, 2026, and increasing the capacity of the revolving credit facility from $800.0 million to $1.3 billion and the-then remaining term loan outstanding from $620.0 million to $650.0 million. The Amended Credit Facility provides for the issuance of up to $350.0 million for standby letters of credit and the issuance of up to $75.0 million in swingline advances. The obligations under the Amended Credit Facility are secured on a first-priority basis by a lien on substantially all of our assets and properties, subject to certain exceptions. Additionally, we may repay amounts borrowed under the Amended Credit Facility at any time without penalty.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November 1, 2022, we amended our Amended Credit Facility pursuant to the LIBOR Transition Amendment and the Fifth Amendment to replace the benchmark rate at which U.S.-dollar-denominated borrowings bear interest from LIBOR to the forward-looking Secured Overnight Financing Rate (“SOFR”) term rate administered by CME Group Benchmark Administration Limited. As a result of these amendments, we can borrow at Term SOFR plus a credit spread adjustment of 0.10% subject to a floor of zero.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Amended Credit Facility contains certain covenants, including a maximum total net leverage ratio of 5.00 to 1.00, a maximum secured net leverage ratio of 4.00 to 1.00, and a minimum interest coverage ratio of 1.50 to 1.00, as well as other financial and non-financial covenants. In the event of a material acquisition, as defined in the Amended Credit Facility, we may elect to increase the maximum total net leverage ratio to 5.50 to 1.00 for a total of four fiscal quarters and increase the maximum secured net leverage ratio to 4.50 to 1.00 for a total of four fiscal quarters. We did not make this election for the Able Acquisition. Our borrowing capacity is subject to, and limited by, compliance with the covenants described above. At October 31, 2023, we were in compliance with these covenants.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Amended Credit Facility also includes customary events of default, including: failure to pay principal, interest, or fees when due, failure to comply with covenants; the occurrence of certain material judgments; and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60350"/>
                <wp:effectExtent l="0" t="0" r="0" b="0"/>
                <wp:wrapNone/>
                <wp:docPr id="83" name="Frame74"/>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change in control of the Company. If certain events of default occur, including certain cross-defaults, insolvency, change in control, or violation of specific covenants, then the lenders can terminate or suspend our access to the Amended Credit Facility, declare all amounts outstanding (including all accrued interest and unpaid fees) to be immediately due and payable, and require that we cash collateralize the outstanding standby letters of credit.</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incurred deferred financing costs of $6.4 million in conjunction with the Second Amendment and carried over $6.2 million of unamortized deferred financing from the initial execution, First Amendment, and previous amendments of the Credit Facility. Total deferred financing costs of $12.6 million, consisting of $4.9 million related to the term loan and $7.7 million related to the revolver, are being amortized to interest expense over the term of the Amended Credit Facility.</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March 1, 2022, we entered into an uncommitted receivable repurchase facility (the “Receivables Facility”) of up to $150 million, which expired on March 30, 2023. We accounted for the sale of receivables under the Receivables Facility as short-term debt and carried the receivables on the Consolidated Balance Sheets, primarily as a result of the requirement to repurchase receivables sold. </w:t>
      </w:r>
    </w:p>
    <w:p>
      <w:pPr>
        <w:pStyle w:val="TextBody"/>
        <w:bidi w:val="0"/>
        <w:spacing w:lineRule="auto" w:line="288" w:before="240" w:after="283"/>
        <w:jc w:val="left"/>
        <w:rPr>
          <w:rFonts w:ascii="Arial;sans-serif" w:hAnsi="Arial;sans-serif"/>
          <w:b/>
          <w:color w:val="0046AD"/>
          <w:sz w:val="20"/>
        </w:rPr>
      </w:pPr>
      <w:r>
        <w:rPr>
          <w:rFonts w:ascii="Arial;sans-serif" w:hAnsi="Arial;sans-serif"/>
          <w:b/>
          <w:color w:val="0046AD"/>
          <w:sz w:val="20"/>
        </w:rPr>
        <w:t>Long-Term Loan Maturities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2023, we made principal payments under the term loan of $32.5 million. As of October 31, 2023, the following principal payments are required under the term loan.</w:t>
      </w:r>
    </w:p>
    <w:tbl>
      <w:tblPr>
        <w:tblW w:w="7424" w:type="dxa"/>
        <w:jc w:val="right"/>
        <w:tblInd w:w="0" w:type="dxa"/>
        <w:tblLayout w:type="fixed"/>
        <w:tblCellMar>
          <w:top w:w="28" w:type="dxa"/>
          <w:left w:w="28" w:type="dxa"/>
          <w:bottom w:w="28" w:type="dxa"/>
          <w:right w:w="28" w:type="dxa"/>
        </w:tblCellMar>
      </w:tblPr>
      <w:tblGrid>
        <w:gridCol w:w="519"/>
        <w:gridCol w:w="457"/>
        <w:gridCol w:w="463"/>
        <w:gridCol w:w="109"/>
        <w:gridCol w:w="109"/>
        <w:gridCol w:w="109"/>
        <w:gridCol w:w="211"/>
        <w:gridCol w:w="541"/>
        <w:gridCol w:w="109"/>
        <w:gridCol w:w="109"/>
        <w:gridCol w:w="109"/>
        <w:gridCol w:w="109"/>
        <w:gridCol w:w="211"/>
        <w:gridCol w:w="541"/>
        <w:gridCol w:w="109"/>
        <w:gridCol w:w="109"/>
        <w:gridCol w:w="109"/>
        <w:gridCol w:w="109"/>
        <w:gridCol w:w="211"/>
        <w:gridCol w:w="811"/>
        <w:gridCol w:w="109"/>
        <w:gridCol w:w="109"/>
        <w:gridCol w:w="109"/>
        <w:gridCol w:w="109"/>
        <w:gridCol w:w="211"/>
        <w:gridCol w:w="406"/>
        <w:gridCol w:w="109"/>
        <w:gridCol w:w="109"/>
        <w:gridCol w:w="109"/>
        <w:gridCol w:w="109"/>
        <w:gridCol w:w="211"/>
        <w:gridCol w:w="406"/>
        <w:gridCol w:w="154"/>
      </w:tblGrid>
      <w:tr>
        <w:trPr/>
        <w:tc>
          <w:tcPr>
            <w:tcW w:w="5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2028</w:t>
            </w:r>
          </w:p>
        </w:tc>
      </w:tr>
      <w:tr>
        <w:trPr/>
        <w:tc>
          <w:tcPr>
            <w:tcW w:w="14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maturities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1,248.8 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Arial;sans-serif" w:hAnsi="Arial;sans-serif"/>
          <w:b/>
          <w:color w:val="0046AD"/>
          <w:sz w:val="20"/>
        </w:rPr>
      </w:pPr>
      <w:r>
        <w:rPr>
          <w:rFonts w:ascii="Arial;sans-serif" w:hAnsi="Arial;sans-serif"/>
          <w:b/>
          <w:color w:val="0046AD"/>
          <w:sz w:val="20"/>
        </w:rPr>
        <w:t>Interest Rate Swaps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enter into interest rate swaps to manage the interest rate risk associated with our floating-rate, SOFR-based borrowings. Under these arrangements, we typically pay a fixed interest rate in exchange for SOFR-based variable interest throughout the life of the agreement. We initially report the mark-to-market gain or loss on a derivative as a component of AOCL and subsequently reclassify the gain or loss into earnings when the hedged transactions occur and affect earnings. Interest payables and receivables under the swap agreements are accrued and recorded as adjustments to interest expense. All of our interest rate swaps have been designated and accounted for as cash flow hedges from inception. See Note 7, “Fair Value of Financial Instruments,” regarding the valuation of our interest rate swaps. </w:t>
      </w:r>
    </w:p>
    <w:tbl>
      <w:tblPr>
        <w:tblW w:w="9049" w:type="dxa"/>
        <w:jc w:val="right"/>
        <w:tblInd w:w="0" w:type="dxa"/>
        <w:tblLayout w:type="fixed"/>
        <w:tblCellMar>
          <w:top w:w="28" w:type="dxa"/>
          <w:left w:w="28" w:type="dxa"/>
          <w:bottom w:w="28" w:type="dxa"/>
          <w:right w:w="28" w:type="dxa"/>
        </w:tblCellMar>
      </w:tblPr>
      <w:tblGrid>
        <w:gridCol w:w="884"/>
        <w:gridCol w:w="779"/>
        <w:gridCol w:w="782"/>
        <w:gridCol w:w="109"/>
        <w:gridCol w:w="109"/>
        <w:gridCol w:w="109"/>
        <w:gridCol w:w="609"/>
        <w:gridCol w:w="609"/>
        <w:gridCol w:w="611"/>
        <w:gridCol w:w="109"/>
        <w:gridCol w:w="109"/>
        <w:gridCol w:w="109"/>
        <w:gridCol w:w="564"/>
        <w:gridCol w:w="564"/>
        <w:gridCol w:w="566"/>
        <w:gridCol w:w="109"/>
        <w:gridCol w:w="109"/>
        <w:gridCol w:w="109"/>
        <w:gridCol w:w="256"/>
        <w:gridCol w:w="256"/>
        <w:gridCol w:w="1588"/>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ind w:left="0" w:right="0" w:firstLine="540"/>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Fixed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720"/>
              <w:jc w:val="center"/>
              <w:rPr>
                <w:rFonts w:ascii="Arial;sans-serif" w:hAnsi="Arial;sans-serif"/>
                <w:b/>
                <w:color w:val="000000"/>
                <w:sz w:val="20"/>
              </w:rPr>
            </w:pPr>
            <w:r>
              <w:rPr>
                <w:rFonts w:ascii="Arial;sans-serif" w:hAnsi="Arial;sans-serif"/>
                <w:b/>
                <w:color w:val="000000"/>
                <w:sz w:val="20"/>
              </w:rPr>
              <w:t>Maturity Date</w:t>
            </w:r>
          </w:p>
        </w:tc>
      </w:tr>
      <w:tr>
        <w:trPr/>
        <w:tc>
          <w:tcPr>
            <w:tcW w:w="2445"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$ 100.0 million</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9, 2022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ind w:left="0" w:right="0" w:firstLine="720"/>
              <w:jc w:val="center"/>
              <w:rPr>
                <w:rFonts w:ascii="Arial;sans-serif" w:hAnsi="Arial;sans-serif"/>
                <w:b w:val="false"/>
                <w:color w:val="000000"/>
                <w:sz w:val="20"/>
              </w:rPr>
            </w:pPr>
            <w:r>
              <w:rPr>
                <w:rFonts w:ascii="Arial;sans-serif" w:hAnsi="Arial;sans-serif"/>
                <w:b w:val="false"/>
                <w:color w:val="000000"/>
                <w:sz w:val="20"/>
              </w:rPr>
              <w:t>June 28, 2026</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$ 150.0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25,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720"/>
              <w:jc w:val="center"/>
              <w:rPr>
                <w:rFonts w:ascii="Arial;sans-serif" w:hAnsi="Arial;sans-serif"/>
                <w:b w:val="false"/>
                <w:color w:val="000000"/>
                <w:sz w:val="20"/>
              </w:rPr>
            </w:pPr>
            <w:r>
              <w:rPr>
                <w:rFonts w:ascii="Arial;sans-serif" w:hAnsi="Arial;sans-serif"/>
                <w:b w:val="false"/>
                <w:color w:val="000000"/>
                <w:sz w:val="20"/>
              </w:rPr>
              <w:t>June 28, 2026</w:t>
            </w:r>
          </w:p>
        </w:tc>
      </w:tr>
      <w:tr>
        <w:trPr/>
        <w:tc>
          <w:tcPr>
            <w:tcW w:w="244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$ 100.0 million</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2.88%</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4, 2022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2026</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0"/>
              <w:jc w:val="center"/>
              <w:rPr/>
            </w:pPr>
            <w:r>
              <w:rPr>
                <w:rFonts w:ascii="Arial;sans-serif" w:hAnsi="Arial;sans-serif"/>
                <w:b w:val="false"/>
                <w:color w:val="000000"/>
                <w:sz w:val="20"/>
              </w:rPr>
              <w:t>$ 218.8 million</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7,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2026</w:t>
            </w:r>
          </w:p>
        </w:tc>
      </w:tr>
      <w:tr>
        <w:trPr/>
        <w:tc>
          <w:tcPr>
            <w:tcW w:w="2445" w:type="dxa"/>
            <w:gridSpan w:val="3"/>
            <w:tcBorders/>
            <w:shd w:fill="DCE2EF" w:val="clear"/>
            <w:tcMar>
              <w:top w:w="0" w:type="dxa"/>
              <w:left w:w="0" w:type="dxa"/>
              <w:bottom w:w="0" w:type="dxa"/>
              <w:right w:w="0" w:type="dxa"/>
            </w:tcMar>
            <w:vAlign w:val="center"/>
          </w:tcPr>
          <w:p>
            <w:pPr>
              <w:pStyle w:val="TableContents"/>
              <w:bidi w:val="0"/>
              <w:spacing w:lineRule="auto" w:line="240" w:before="0" w:after="0"/>
              <w:ind w:left="0" w:right="0" w:firstLine="810"/>
              <w:jc w:val="center"/>
              <w:rPr/>
            </w:pPr>
            <w:r>
              <w:rPr>
                <w:rFonts w:ascii="Arial;sans-serif" w:hAnsi="Arial;sans-serif"/>
                <w:b w:val="false"/>
                <w:color w:val="000000"/>
                <w:sz w:val="20"/>
              </w:rPr>
              <w:t>$ 81.3 million</w:t>
            </w:r>
            <w:r>
              <w:rPr>
                <w:rFonts w:ascii="Arial;sans-serif" w:hAnsi="Arial;sans-serif"/>
                <w:b w:val="false"/>
                <w:color w:val="000000"/>
                <w:sz w:val="13"/>
              </w:rPr>
              <w:t>(1)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18, 2022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ind w:left="0" w:right="0" w:firstLine="720"/>
              <w:jc w:val="center"/>
              <w:rPr>
                <w:rFonts w:ascii="Arial;sans-serif" w:hAnsi="Arial;sans-serif"/>
                <w:b w:val="false"/>
                <w:color w:val="000000"/>
                <w:sz w:val="20"/>
              </w:rPr>
            </w:pPr>
            <w:r>
              <w:rPr>
                <w:rFonts w:ascii="Arial;sans-serif" w:hAnsi="Arial;sans-serif"/>
                <w:b w:val="false"/>
                <w:color w:val="000000"/>
                <w:sz w:val="20"/>
              </w:rPr>
              <w:t>June 28, 2026</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$ 170.0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November 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28, 2026</w:t>
            </w:r>
          </w:p>
        </w:tc>
      </w:tr>
    </w:tbl>
    <w:p>
      <w:pPr>
        <w:pStyle w:val="TextBody"/>
        <w:bidi w:val="0"/>
        <w:spacing w:lineRule="auto" w:line="288" w:before="240" w:after="283"/>
        <w:ind w:left="0" w:right="0" w:hanging="18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6"/>
        </w:rPr>
        <w:t>In July 2022, we entered into interest rate swap agreements with notional values totaling $300.0 million at inception. The notional amount reduces to $250.0 million in April 2024, $175.0 million in October 2024, and $100.0 million in October 2025 before maturing on June 28, 2026.</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At October 31, 2023 and 2022, amounts recorded in AOCL for interest rate swaps were a gain of $26.0 million, net of taxes of $10.5 million, and a gain of $26.8 million, net of taxes of $10.1 million, respectively. In 2022, these amounts included the gain associated with the interest rate swaps we terminated in 2018, which was amortized to interest expense as interest payments were made over the original term of our Credit Facility. During 2022, we amortized $3.5 million, net of taxes of $1.3 million, of that gain. At October 31, 2023, the total amount expected to be reclassified from AOCL to earnings during the next 12 months was $9.8 million, net of a taxes of $3.8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60350"/>
                <wp:effectExtent l="0" t="0" r="0" b="0"/>
                <wp:wrapNone/>
                <wp:docPr id="84" name="Frame7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12. EMPLOYEE BENEFIT PLANS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Defined Benefit Plans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provide benefits to certain employees under various defined benefit and postretirement benefit plans (collectively, the “Plans”). The Plans were previously amended to preclude new participants. All but one of the Plans are unfunded. </w:t>
      </w:r>
    </w:p>
    <w:p>
      <w:pPr>
        <w:pStyle w:val="TextBody"/>
        <w:bidi w:val="0"/>
        <w:spacing w:lineRule="auto" w:line="288" w:before="180" w:after="283"/>
        <w:jc w:val="left"/>
        <w:rPr>
          <w:rFonts w:ascii="Arial;sans-serif" w:hAnsi="Arial;sans-serif"/>
          <w:b/>
          <w:i/>
          <w:color w:val="0046AD"/>
          <w:sz w:val="20"/>
        </w:rPr>
      </w:pPr>
      <w:r>
        <w:rPr>
          <w:rFonts w:ascii="Arial;sans-serif" w:hAnsi="Arial;sans-serif"/>
          <w:b/>
          <w:i/>
          <w:color w:val="0046AD"/>
          <w:sz w:val="20"/>
        </w:rPr>
        <w:t>Information for the Plans</w:t>
      </w:r>
    </w:p>
    <w:tbl>
      <w:tblPr>
        <w:tblW w:w="4629" w:type="dxa"/>
        <w:jc w:val="left"/>
        <w:tblInd w:w="0" w:type="dxa"/>
        <w:tblLayout w:type="fixed"/>
        <w:tblCellMar>
          <w:top w:w="28" w:type="dxa"/>
          <w:left w:w="28" w:type="dxa"/>
          <w:bottom w:w="28" w:type="dxa"/>
          <w:right w:w="28" w:type="dxa"/>
        </w:tblCellMar>
      </w:tblPr>
      <w:tblGrid>
        <w:gridCol w:w="993"/>
        <w:gridCol w:w="870"/>
        <w:gridCol w:w="882"/>
        <w:gridCol w:w="211"/>
        <w:gridCol w:w="436"/>
        <w:gridCol w:w="109"/>
        <w:gridCol w:w="109"/>
        <w:gridCol w:w="109"/>
        <w:gridCol w:w="109"/>
        <w:gridCol w:w="211"/>
        <w:gridCol w:w="436"/>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October 31,</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74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obligations</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Projected benefit obligations</w:t>
            </w:r>
            <w:r>
              <w:rPr>
                <w:rFonts w:ascii="Arial;sans-serif" w:hAnsi="Arial;sans-serif"/>
                <w:b w:val="false"/>
                <w:color w:val="000000"/>
                <w:sz w:val="13"/>
              </w:rPr>
              <w:t>(1)</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assets</w:t>
            </w:r>
          </w:p>
        </w:tc>
        <w:tc>
          <w:tcPr>
            <w:tcW w:w="64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At October 31, 2023 and 2022, total projected benefit obligations related to unfunded and underfunded plans were $11.9 million and $12.2 million, respectively.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October 31, 2023, assets of the Plans were fully invested in fixed income. The expected return on assets was $0.2 million in 2023, $0.4 million in 2022, and $0.3 million in 2021. The aggregate net periodic benefit cost for all Plans was $0.6 million, $0.1 million, and $0.3 million for 2023, 2022, and 2021, respectively. Future benefit payments in the aggregate are expected to be $11.0 million. </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Deferred Compensation Plans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maintain deferred compensation plans that permit eligible employees and directors to defer a portion of their compensation. At October 31, 2023 and 2022, the total liability of all deferred compensation was $27.0 million and $27.5 million, respectively, and these amounts are included in “Other accrued liabilities” and “Other noncurrent liabilities” on the accompanying Consolidated Balance Sheets. Under one of our deferred compensation plans, a Rabbi trust was created to fund the obligations, and we are required to contribute a portion of the deferred compensation contributions for eligible participants. The assets held in the Rabbi trust are not available for general corporate purposes. At October 31, 2023 and 2022, the fair value of these assets was $4.0 million and $4.1 million, respectively, and these amounts are included in “Other noncurrent assets” on the accompanying Consolidated Balance Sheets. Aggregate expense recognized under these deferred compensation plans was $0.5 million, $0.3 million, and $0.2 million for 2023, 2022, and 2021, respectively.</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Defined Contribution Plans</w:t>
      </w:r>
    </w:p>
    <w:p>
      <w:pPr>
        <w:pStyle w:val="TextBody"/>
        <w:bidi w:val="0"/>
        <w:spacing w:lineRule="auto" w:line="288" w:before="180" w:after="283"/>
        <w:ind w:left="0" w:right="0" w:firstLine="720"/>
        <w:jc w:val="both"/>
        <w:rPr/>
      </w:pPr>
      <w:r>
        <w:rPr>
          <w:rFonts w:ascii="Arial;sans-serif" w:hAnsi="Arial;sans-serif"/>
          <w:b w:val="false"/>
          <w:color w:val="000000"/>
          <w:sz w:val="20"/>
        </w:rPr>
        <w:t>We sponsor two defined contribution plans covering certain employees that are subject to the applicable provisions of the Employee Retirement Income Security Act of 1974 and the Internal Revenue Code (“IRC”). Certain plans permit a company match of a portion of the participant’s contributions or a discretionary contribution after the participant has met the eligibility requirements set forth in the plan. During 2023, 2022, and 2021, we made matching contributions required by the plans</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$29.8 million</w:t>
      </w:r>
      <w:r>
        <w:rPr>
          <w:rFonts w:ascii="Arial;sans-serif" w:hAnsi="Arial;sans-serif"/>
          <w:b w:val="false"/>
          <w:color w:val="000000"/>
          <w:sz w:val="20"/>
          <w:shd w:fill="FFFFFF" w:val="clear"/>
        </w:rPr>
        <w:t>,</w:t>
      </w:r>
      <w:r>
        <w:rPr>
          <w:color w:val="000000"/>
        </w:rPr>
        <w:t xml:space="preserve"> </w:t>
      </w:r>
      <w:r>
        <w:rPr>
          <w:rFonts w:ascii="Arial;sans-serif" w:hAnsi="Arial;sans-serif"/>
          <w:b w:val="false"/>
          <w:color w:val="000000"/>
          <w:sz w:val="20"/>
        </w:rPr>
        <w:t xml:space="preserve">$27.7 million, and $21.6 million, respectively. </w:t>
      </w:r>
    </w:p>
    <w:p>
      <w:pPr>
        <w:pStyle w:val="TextBody"/>
        <w:bidi w:val="0"/>
        <w:spacing w:before="180" w:after="283"/>
        <w:jc w:val="both"/>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Multiemployer Pension and Postretirement Plans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participate in various multiemployer pension plans under union and industry-wide agreements that provide defined pension benefits to employees covered by collective bargaining agreements. Because of the nature of multiemployer plans, there are risks associated with participation in these plans that differ from single-employer plans. Assets contributed by an employer to a multiemployer plan are not segregated into a separate account and are not restricted to provide benefits only to employees of that contributing employer. In the event another participating employer in a multiemployer plan no longer contributes to the plan, the unfunded obligations of the plan may be borne by the remaining participating employers, including us. In the event of the termination of a multiemployer pension plan or a withdrawal from a multiemployer pension plan, we could incur material liabilities under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60350"/>
                <wp:effectExtent l="0" t="0" r="0" b="0"/>
                <wp:wrapNone/>
                <wp:docPr id="85" name="Frame76"/>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before="180" w:after="283"/>
        <w:jc w:val="left"/>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pPr>
      <w:r>
        <w:rPr>
          <w:rFonts w:ascii="Arial;sans-serif" w:hAnsi="Arial;sans-serif"/>
          <w:b/>
          <w:i/>
          <w:color w:val="0046AD"/>
          <w:sz w:val="20"/>
        </w:rPr>
        <w:t>Key Information for Individually Significant Multiemployer Defined Benefit Pension Plans</w:t>
      </w:r>
      <w:r>
        <w:rPr>
          <w:rFonts w:ascii="Arial;sans-serif" w:hAnsi="Arial;sans-serif"/>
          <w:b/>
          <w:i/>
          <w:color w:val="0046AD"/>
          <w:sz w:val="13"/>
        </w:rPr>
        <w:t>(1)</w:t>
      </w:r>
      <w:r>
        <w:rPr>
          <w:color w:val="000000"/>
        </w:rPr>
        <w:t xml:space="preserve"> </w:t>
      </w:r>
    </w:p>
    <w:tbl>
      <w:tblPr>
        <w:tblW w:w="10678" w:type="dxa"/>
        <w:jc w:val="left"/>
        <w:tblInd w:w="0" w:type="dxa"/>
        <w:tblLayout w:type="fixed"/>
        <w:tblCellMar>
          <w:top w:w="28" w:type="dxa"/>
          <w:left w:w="28" w:type="dxa"/>
          <w:bottom w:w="28" w:type="dxa"/>
          <w:right w:w="28" w:type="dxa"/>
        </w:tblCellMar>
      </w:tblPr>
      <w:tblGrid>
        <w:gridCol w:w="637"/>
        <w:gridCol w:w="191"/>
        <w:gridCol w:w="193"/>
        <w:gridCol w:w="109"/>
        <w:gridCol w:w="109"/>
        <w:gridCol w:w="109"/>
        <w:gridCol w:w="249"/>
        <w:gridCol w:w="246"/>
        <w:gridCol w:w="136"/>
        <w:gridCol w:w="109"/>
        <w:gridCol w:w="109"/>
        <w:gridCol w:w="109"/>
        <w:gridCol w:w="203"/>
        <w:gridCol w:w="184"/>
        <w:gridCol w:w="109"/>
        <w:gridCol w:w="109"/>
        <w:gridCol w:w="109"/>
        <w:gridCol w:w="109"/>
        <w:gridCol w:w="203"/>
        <w:gridCol w:w="184"/>
        <w:gridCol w:w="109"/>
        <w:gridCol w:w="109"/>
        <w:gridCol w:w="109"/>
        <w:gridCol w:w="109"/>
        <w:gridCol w:w="349"/>
        <w:gridCol w:w="349"/>
        <w:gridCol w:w="353"/>
        <w:gridCol w:w="109"/>
        <w:gridCol w:w="109"/>
        <w:gridCol w:w="109"/>
        <w:gridCol w:w="181"/>
        <w:gridCol w:w="421"/>
        <w:gridCol w:w="109"/>
        <w:gridCol w:w="109"/>
        <w:gridCol w:w="109"/>
        <w:gridCol w:w="109"/>
        <w:gridCol w:w="181"/>
        <w:gridCol w:w="421"/>
        <w:gridCol w:w="109"/>
        <w:gridCol w:w="109"/>
        <w:gridCol w:w="109"/>
        <w:gridCol w:w="109"/>
        <w:gridCol w:w="181"/>
        <w:gridCol w:w="421"/>
        <w:gridCol w:w="109"/>
        <w:gridCol w:w="109"/>
        <w:gridCol w:w="109"/>
        <w:gridCol w:w="109"/>
        <w:gridCol w:w="290"/>
        <w:gridCol w:w="290"/>
        <w:gridCol w:w="291"/>
        <w:gridCol w:w="109"/>
        <w:gridCol w:w="109"/>
        <w:gridCol w:w="109"/>
        <w:gridCol w:w="303"/>
        <w:gridCol w:w="303"/>
        <w:gridCol w:w="430"/>
      </w:tblGrid>
      <w:tr>
        <w:trPr/>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3"/>
                <w:u w:val="single"/>
              </w:rPr>
            </w:pPr>
            <w:r>
              <w:rPr>
                <w:rFonts w:ascii="Times New Roman;sans-serif" w:hAnsi="Times New Roman;sans-serif"/>
                <w:b w:val="false"/>
                <w:i/>
                <w:color w:val="000000"/>
                <w:sz w:val="13"/>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9"/>
            <w:tcBorders/>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5"/>
              </w:rPr>
            </w:pPr>
            <w:r>
              <w:rPr>
                <w:rFonts w:ascii="Arial;sans-serif" w:hAnsi="Arial;sans-serif"/>
                <w:b/>
                <w:color w:val="000000"/>
                <w:sz w:val="15"/>
              </w:rPr>
              <w:t xml:space="preserve">Pension Protection Act </w:t>
            </w:r>
          </w:p>
          <w:p>
            <w:pPr>
              <w:pStyle w:val="TableContents"/>
              <w:bidi w:val="0"/>
              <w:spacing w:lineRule="auto" w:line="240" w:before="0" w:after="60"/>
              <w:jc w:val="center"/>
              <w:rPr/>
            </w:pPr>
            <w:r>
              <w:rPr>
                <w:rFonts w:ascii="Arial;sans-serif" w:hAnsi="Arial;sans-serif"/>
                <w:b/>
                <w:color w:val="000000"/>
                <w:sz w:val="15"/>
              </w:rPr>
              <w:t>Zone Status</w:t>
            </w:r>
            <w:r>
              <w:rPr>
                <w:rFonts w:ascii="Arial;sans-serif" w:hAnsi="Arial;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5"/>
              </w:rPr>
            </w:pPr>
            <w:r>
              <w:rPr>
                <w:rFonts w:ascii="Arial;sans-serif" w:hAnsi="Arial;sans-serif"/>
                <w:b/>
                <w:color w:val="000000"/>
                <w:sz w:val="15"/>
              </w:rPr>
              <w:t xml:space="preserve">FIP/RP </w:t>
            </w:r>
          </w:p>
          <w:p>
            <w:pPr>
              <w:pStyle w:val="TableContents"/>
              <w:bidi w:val="0"/>
              <w:spacing w:lineRule="auto" w:line="240" w:before="0" w:after="60"/>
              <w:jc w:val="center"/>
              <w:rPr/>
            </w:pPr>
            <w:r>
              <w:rPr>
                <w:rFonts w:ascii="Arial;sans-serif" w:hAnsi="Arial;sans-serif"/>
                <w:b/>
                <w:color w:val="000000"/>
                <w:sz w:val="15"/>
              </w:rPr>
              <w:t>Status</w:t>
            </w:r>
            <w:r>
              <w:rPr>
                <w:rFonts w:ascii="Arial;sans-serif" w:hAnsi="Arial;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Contributions by ABM</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5"/>
              </w:rPr>
            </w:pPr>
            <w:r>
              <w:rPr>
                <w:rFonts w:ascii="Arial;sans-serif" w:hAnsi="Arial;sans-serif"/>
                <w:b/>
                <w:color w:val="000000"/>
                <w:sz w:val="15"/>
              </w:rPr>
              <w:t xml:space="preserve">Surcharge </w:t>
            </w:r>
          </w:p>
          <w:p>
            <w:pPr>
              <w:pStyle w:val="TableContents"/>
              <w:bidi w:val="0"/>
              <w:spacing w:lineRule="auto" w:line="240" w:before="0" w:after="60"/>
              <w:jc w:val="center"/>
              <w:rPr/>
            </w:pPr>
            <w:r>
              <w:rPr>
                <w:rFonts w:ascii="Arial;sans-serif" w:hAnsi="Arial;sans-serif"/>
                <w:b/>
                <w:color w:val="000000"/>
                <w:sz w:val="15"/>
              </w:rPr>
              <w:t>Imposed</w:t>
            </w:r>
            <w:r>
              <w:rPr>
                <w:rFonts w:ascii="Arial;sans-serif" w:hAnsi="Arial;sans-serif"/>
                <w:b/>
                <w:color w:val="000000"/>
                <w:sz w:val="10"/>
              </w:rPr>
              <w:t>(5)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Expiration Dates of Collective Bargaining Agreements</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Pension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EIN/PN</w:t>
            </w:r>
            <w:r>
              <w:rPr>
                <w:rFonts w:ascii="Arial;sans-serif" w:hAnsi="Arial;sans-serif"/>
                <w:b/>
                <w:color w:val="000000"/>
                <w:sz w:val="10"/>
              </w:rPr>
              <w:t xml:space="preserve">(2)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Pending/</w:t>
              <w:br/>
              <w:t>Implemented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2021</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Building Service 32BJ Pension Fund</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13-1879376 / 001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Yellow 6/30/2022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Yellow 6/30/2021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Implemented</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12/15/2023 - 12/31/2027</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S.E.I.U National Industry Pension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52-6148540 /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Red 12/31/2022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Red 12/31/2021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Implemented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 xml:space="preserve">Yes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6/30/2024 - 7/31/2025</w:t>
            </w:r>
          </w:p>
        </w:tc>
      </w:tr>
      <w:tr>
        <w:trPr/>
        <w:tc>
          <w:tcPr>
            <w:tcW w:w="102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Central Pension Fund of the IUOE &amp; Participating Employers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36-6052390 / 001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Green 1/31/2023</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Green 1/31/2022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N/A*</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12/23/2023 - 6/30/2026</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SEIU Local 1 &amp; Participating Employers Pension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36-6486542 /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Green 9/30/2022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Green 9/30/2021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11/30/2023 - 5/31/2026</w:t>
            </w:r>
          </w:p>
        </w:tc>
      </w:tr>
      <w:tr>
        <w:trPr/>
        <w:tc>
          <w:tcPr>
            <w:tcW w:w="102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IUOE Stationary Engineers Local 39 Pension Plan</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94-6118939 / 001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Green 12/31/2022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Green 12/31/2021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N/A*</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11/30/2026 - 12/31/2029</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Western Conference of Teamsters Pension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91-6145047 / 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Green 12/31/2022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Green 12/31/2021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11/30/2026 - 12/31/2029</w:t>
            </w:r>
          </w:p>
        </w:tc>
      </w:tr>
      <w:tr>
        <w:trPr/>
        <w:tc>
          <w:tcPr>
            <w:tcW w:w="102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All Other Plans: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Total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*Not applicable</w:t>
      </w:r>
    </w:p>
    <w:p>
      <w:pPr>
        <w:pStyle w:val="TextBody"/>
        <w:bidi w:val="0"/>
        <w:spacing w:lineRule="auto" w:line="288" w:before="240" w:after="283"/>
        <w:ind w:left="0" w:right="0" w:hanging="180"/>
        <w:jc w:val="both"/>
        <w:rPr/>
      </w:pPr>
      <w:r>
        <w:rPr>
          <w:rFonts w:ascii="Arial;sans-serif" w:hAnsi="Arial;sans-serif"/>
          <w:b w:val="false"/>
          <w:color w:val="000000"/>
          <w:sz w:val="12"/>
        </w:rPr>
        <w:t xml:space="preserve">(1) </w:t>
      </w:r>
      <w:r>
        <w:rPr>
          <w:rFonts w:ascii="Arial;sans-serif" w:hAnsi="Arial;sans-serif"/>
          <w:b w:val="false"/>
          <w:color w:val="000000"/>
          <w:sz w:val="18"/>
        </w:rPr>
        <w:t>To determine individually significant plans, we evaluated several factors, including our total contributions to the plan, our significance to the plan in terms of participating employees and contributions, and the funded status of the plan.</w:t>
      </w:r>
    </w:p>
    <w:p>
      <w:pPr>
        <w:pStyle w:val="TextBody"/>
        <w:bidi w:val="0"/>
        <w:spacing w:lineRule="auto" w:line="288" w:before="120" w:after="283"/>
        <w:ind w:left="0" w:right="0" w:hanging="180"/>
        <w:jc w:val="both"/>
        <w:rPr/>
      </w:pPr>
      <w:r>
        <w:rPr>
          <w:rFonts w:ascii="Arial;sans-serif" w:hAnsi="Arial;sans-serif"/>
          <w:b w:val="false"/>
          <w:color w:val="000000"/>
          <w:sz w:val="12"/>
        </w:rPr>
        <w:t xml:space="preserve">(2) </w:t>
      </w:r>
      <w:r>
        <w:rPr>
          <w:rFonts w:ascii="Arial;sans-serif" w:hAnsi="Arial;sans-serif"/>
          <w:b w:val="false"/>
          <w:color w:val="000000"/>
          <w:sz w:val="18"/>
        </w:rPr>
        <w:t>The “EIN/PN” column provides the Employer Identification Number and the three-digit plan number assigned to the plan by the IRS.</w:t>
      </w:r>
    </w:p>
    <w:p>
      <w:pPr>
        <w:pStyle w:val="TextBody"/>
        <w:bidi w:val="0"/>
        <w:spacing w:lineRule="auto" w:line="288" w:before="120" w:after="283"/>
        <w:ind w:left="0" w:right="0" w:hanging="180"/>
        <w:jc w:val="both"/>
        <w:rPr/>
      </w:pPr>
      <w:r>
        <w:rPr>
          <w:rFonts w:ascii="Arial;sans-serif" w:hAnsi="Arial;sans-serif"/>
          <w:b w:val="false"/>
          <w:color w:val="000000"/>
          <w:sz w:val="12"/>
        </w:rPr>
        <w:t xml:space="preserve">(3) </w:t>
      </w:r>
      <w:r>
        <w:rPr>
          <w:rFonts w:ascii="Arial;sans-serif" w:hAnsi="Arial;sans-serif"/>
          <w:b w:val="false"/>
          <w:color w:val="000000"/>
          <w:sz w:val="18"/>
        </w:rPr>
        <w:t>The Pension Protection Act Zone Status columns provide the two most recently available Pension Protection Act zone statuses from each plan. The zone status is based on information provided to us and other participating employers and is certified by each plan’s actuary. Among other factors, plans in the red zone are generally less than 65% funded, plans in the yellow zone are less than 80% funded, and plans in the green zone are at least 80% funded.</w:t>
      </w:r>
    </w:p>
    <w:p>
      <w:pPr>
        <w:pStyle w:val="TextBody"/>
        <w:bidi w:val="0"/>
        <w:spacing w:lineRule="auto" w:line="288" w:before="120" w:after="283"/>
        <w:ind w:left="0" w:right="0" w:hanging="180"/>
        <w:jc w:val="both"/>
        <w:rPr/>
      </w:pPr>
      <w:r>
        <w:rPr>
          <w:rFonts w:ascii="Arial;sans-serif" w:hAnsi="Arial;sans-serif"/>
          <w:b w:val="false"/>
          <w:color w:val="000000"/>
          <w:sz w:val="12"/>
        </w:rPr>
        <w:t xml:space="preserve">(4) </w:t>
      </w:r>
      <w:r>
        <w:rPr>
          <w:rFonts w:ascii="Arial;sans-serif" w:hAnsi="Arial;sans-serif"/>
          <w:b w:val="false"/>
          <w:color w:val="000000"/>
          <w:sz w:val="18"/>
        </w:rPr>
        <w:t>Indicates whether a Financial Improvement Plan (“FIP”) for yellow zone plans or a Rehabilitation Plan (“RP”) for red zone plans is pending or implemented.</w:t>
      </w:r>
    </w:p>
    <w:p>
      <w:pPr>
        <w:pStyle w:val="TextBody"/>
        <w:bidi w:val="0"/>
        <w:spacing w:lineRule="auto" w:line="288" w:before="120" w:after="283"/>
        <w:ind w:left="0" w:right="0" w:hanging="180"/>
        <w:jc w:val="both"/>
        <w:rPr/>
      </w:pPr>
      <w:r>
        <w:rPr>
          <w:rFonts w:ascii="Arial;sans-serif" w:hAnsi="Arial;sans-serif"/>
          <w:b w:val="false"/>
          <w:color w:val="000000"/>
          <w:sz w:val="12"/>
        </w:rPr>
        <w:t xml:space="preserve">(5) </w:t>
      </w:r>
      <w:r>
        <w:rPr>
          <w:rFonts w:ascii="Arial;sans-serif" w:hAnsi="Arial;sans-serif"/>
          <w:b w:val="false"/>
          <w:color w:val="000000"/>
          <w:sz w:val="18"/>
        </w:rPr>
        <w:t xml:space="preserve">Indicates whether our contribution in 2023 included an amount as imposed by a plan in the red zone in addition to the contribution rate specified in the applicable collective bargaining agreement. </w:t>
      </w:r>
    </w:p>
    <w:p>
      <w:pPr>
        <w:pStyle w:val="TextBody"/>
        <w:bidi w:val="0"/>
        <w:spacing w:before="120" w:after="283"/>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60350"/>
                <wp:effectExtent l="0" t="0" r="0" b="0"/>
                <wp:wrapNone/>
                <wp:docPr id="86" name="Frame7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val="false"/>
          <w:i/>
          <w:color w:val="0046AD"/>
          <w:sz w:val="20"/>
        </w:rPr>
      </w:pPr>
      <w:r>
        <w:rPr>
          <w:rFonts w:ascii="Arial;sans-serif" w:hAnsi="Arial;sans-serif"/>
          <w:b w:val="false"/>
          <w:i/>
          <w:color w:val="0046AD"/>
          <w:sz w:val="20"/>
        </w:rPr>
        <w:t>Multiemployer Pension Plans for which ABM Is a Significant Contributor</w:t>
      </w:r>
    </w:p>
    <w:tbl>
      <w:tblPr>
        <w:tblW w:w="10205" w:type="dxa"/>
        <w:jc w:val="left"/>
        <w:tblInd w:w="0" w:type="dxa"/>
        <w:tblLayout w:type="fixed"/>
        <w:tblCellMar>
          <w:top w:w="28" w:type="dxa"/>
          <w:left w:w="28" w:type="dxa"/>
          <w:bottom w:w="28" w:type="dxa"/>
          <w:right w:w="28" w:type="dxa"/>
        </w:tblCellMar>
      </w:tblPr>
      <w:tblGrid>
        <w:gridCol w:w="1839"/>
        <w:gridCol w:w="1423"/>
        <w:gridCol w:w="1400"/>
        <w:gridCol w:w="109"/>
        <w:gridCol w:w="109"/>
        <w:gridCol w:w="109"/>
        <w:gridCol w:w="1525"/>
        <w:gridCol w:w="1525"/>
        <w:gridCol w:w="2166"/>
      </w:tblGrid>
      <w:tr>
        <w:trPr/>
        <w:tc>
          <w:tcPr>
            <w:tcW w:w="183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r>
      <w:tr>
        <w:trPr/>
        <w:tc>
          <w:tcPr>
            <w:tcW w:w="46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Pension Fund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Contributions to the plan exceeded more than 5% of total contributions per most currently available Forms 5500</w:t>
              <w:br/>
              <w:t>(as of the plan’s year end)</w:t>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Apartment Employees Trust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12/31/2022, 12/31/2021, and 12/31/2020</w:t>
            </w:r>
          </w:p>
        </w:tc>
      </w:tr>
      <w:tr>
        <w:trPr/>
        <w:tc>
          <w:tcPr>
            <w:tcW w:w="46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Arizona Sheet Metal Pension Trust Fund*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6/30/2022, 6/30/2021, and 6/30/2020</w:t>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Building Service 32BJ Pension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6/30/2022, 6/30/2021, and 6/30/2020</w:t>
            </w:r>
          </w:p>
        </w:tc>
      </w:tr>
      <w:tr>
        <w:trPr/>
        <w:tc>
          <w:tcPr>
            <w:tcW w:w="46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Building Service Pension Plan*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4/30/2022, 4/30/2021, and 4/30/2020</w:t>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Central Pension Fund of the IUOE &amp; Participating Employers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1/31/2023</w:t>
            </w:r>
          </w:p>
        </w:tc>
      </w:tr>
      <w:tr>
        <w:trPr/>
        <w:tc>
          <w:tcPr>
            <w:tcW w:w="46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Contract Cleaners Service Employees' Pension Plan*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12/31/2022, 12/31/2021, and 12/31/2020</w:t>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IUOE Stationary Engineers Local 39 Pension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12/31/2022, 12/31/2021, and 12/30/2020</w:t>
            </w:r>
          </w:p>
        </w:tc>
      </w:tr>
      <w:tr>
        <w:trPr/>
        <w:tc>
          <w:tcPr>
            <w:tcW w:w="46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Local 210's Pension Plan*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12/31/2022, 12/31/2021, and 12/31/2020</w:t>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Local 670 Pension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12/31/2022</w:t>
            </w:r>
          </w:p>
        </w:tc>
      </w:tr>
      <w:tr>
        <w:trPr/>
        <w:tc>
          <w:tcPr>
            <w:tcW w:w="46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Massachusetts Service Employees Pension Plan*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12/31/2022, 12/31/2021, and 12/31/2020</w:t>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S.E.I.U National Industry Pension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12/31/2022, 12/31/2021, and 12/31/2020</w:t>
            </w:r>
          </w:p>
        </w:tc>
      </w:tr>
      <w:tr>
        <w:trPr/>
        <w:tc>
          <w:tcPr>
            <w:tcW w:w="46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SEIU Local 1 &amp; Participating Employers Pension Trust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9/30/2022, 9/30/2021, and 9/30/2020</w:t>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Service Employees International Union Local 1 Cleveland Pension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12/31/2022, 12/31/2021, and 12/31/2020</w:t>
            </w:r>
          </w:p>
        </w:tc>
      </w:tr>
      <w:tr>
        <w:trPr/>
        <w:tc>
          <w:tcPr>
            <w:tcW w:w="46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Service Employees International Union Local 32BJ, District 36 Building Operators Pension Trust Fund*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12/31/2022, 12/31/2021, and 12/31/2020</w:t>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Teamsters Local 617 Pension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2/28/2022, 2/28/2021, and 2/29/2020</w:t>
            </w:r>
          </w:p>
        </w:tc>
      </w:tr>
      <w:tr>
        <w:trPr/>
        <w:tc>
          <w:tcPr>
            <w:tcW w:w="46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U.S.W.U. Local 74 Welfare Fund*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12/31/2022, 12/31/2021, and 12/31/2020</w:t>
            </w:r>
          </w:p>
        </w:tc>
      </w:tr>
    </w:tbl>
    <w:p>
      <w:pPr>
        <w:pStyle w:val="TextBody"/>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 These plans are not separately listed in our multiemployer table as they represent an insignificant portion of our total multiemployer pension plan contributions.</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Multiemployer Defined Contribution Plans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to contributions noted above, we also make contributions to multiemployer defined contribution plans. During 2023, 2022, and 2021, our contributions to the defined contribution plans were $59.2 million, $54.7 million, and $21.2 million, respectively.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Other Multiemployer Benefit Plans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also contribute to several multiemployer postretirement health and welfare plans based on obligations arising under collective bargaining agreements covering union-represented employees. These plans may provide medical, pharmacy, dental, vision, mental health, and other benefits to employees as determined by the trustees of each plan. The majority of our contributions benefit active employees and, as such, may not constitute contributions to a postretirement benefit plan. However, since we are unable to separate contribution amounts to postretirement benefit plans from contribution amounts paid to benefit active employees, we categorize all such amounts as contributions to postretirement benefit plans. During 2023, 2022, and 2021, our contributions to such plans were $441.8 million, $426.6 million, and $270.8 million, respectively. There have been no significant changes that affect the comparability of total contributions for any of the periods presented,except for the additions associated with the Able acquisition in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60350"/>
                <wp:effectExtent l="0" t="0" r="0" b="0"/>
                <wp:wrapNone/>
                <wp:docPr id="87" name="Frame78"/>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 xml:space="preserve">13. COMMITMENTS AND CONTINGENCIES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46AD"/>
          <w:sz w:val="20"/>
        </w:rPr>
      </w:pPr>
      <w:r>
        <w:rPr>
          <w:rFonts w:ascii="Arial;sans-serif" w:hAnsi="Arial;sans-serif"/>
          <w:b/>
          <w:color w:val="0046AD"/>
          <w:sz w:val="20"/>
        </w:rPr>
        <w:t>Letters of Credit and Surety Bonds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use letters of credit and surety bonds to secure certain commitments related to insurance programs and for other purposes. As of October 31, 2023, these letters of credit totaled $58.2 million, and surety bonds and surety-backed letters of credit totaled $776.2 million, respectively. </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Guarantees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 some instances, we offer clients guaranteed energy savings under certain energy savings contracts. At October 31, 2023 and 2022, total guarantees were $218.0 million and $230.5 million, respectively, and these guarantees extend through 2043 and 2042, respectively. We accrue for the estimated cost of guarantees when it is probable that a liability has been incurred and the amount can be reasonably estimated. Historically, we have not incurred any material losses in connection with these guarantees.</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Indemnifications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party to a variety of agreements under which we may be obligated to indemnify the other party for certain matters. These agreements are primarily standard indemnification arrangements entered into in our ordinary course of business. Pursuant to these arrangements, we may agree to indemnify, hold harmless, and reimburse the indemnified parties for losses suffered or incurred by the indemnified party, generally our clients, in connection with any claims arising out of the services that we provide. We also incur costs to defend lawsuits or settle claims related to these indemnification arrangements, and in most cases these costs are paid from our insurance program. Although we attempt to place limits on such indemnification arrangements related to the size of the contract, the maximum obligation may not be explicitly stated and, as a result, we are unable to determine the maximum potential amount of future payments we could be required to make under these arrangements.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certificate of incorporation and bylaws may require us to indemnify our directors and officers for certain liabilities that were incurred as a result of their status or service to ABM as a director or officer. The amount of these obligations cannot be reasonably estimated. </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Unclaimed Property Audits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routinely remit escheat payments to states in compliance with applicable escheat laws, and we are subject to unclaimed property audits by states in the ordinary course of business. The property subject to review in the audit process may include unclaimed wages, vendor payments, or customer refunds. State escheat laws generally require entities to report and remit abandoned or unclaimed property to the state, and failure to do so can result in assessments that could include interest and penalties in addition to the payment of the escheat liability. </w:t>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Legal Matters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At October 31, 2023, the total amount accrued for probable litigation losses where a reasonable estimate of the loss could be made was $13.9 million. 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$5.7 million. Factors underlying this estimated range of loss may change from time to time, and actual results may vary significantly from this estimate.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60350"/>
                <wp:effectExtent l="0" t="0" r="0" b="0"/>
                <wp:wrapNone/>
                <wp:docPr id="88" name="Frame7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 xml:space="preserve">14. PREFERRED AND COMMON STOCK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 xml:space="preserve">Preferred Stock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authorized to issue 500,000 shares of preferred stock. None of these preferred shares are issued.</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Common Stock</w:t>
      </w:r>
    </w:p>
    <w:p>
      <w:pPr>
        <w:pStyle w:val="TextBody"/>
        <w:bidi w:val="0"/>
        <w:spacing w:lineRule="auto" w:line="288" w:before="180" w:after="283"/>
        <w:ind w:left="0" w:right="0" w:firstLine="720"/>
        <w:jc w:val="both"/>
        <w:rPr/>
      </w:pPr>
      <w:r>
        <w:rPr>
          <w:rFonts w:ascii="Arial;sans-serif" w:hAnsi="Arial;sans-serif"/>
          <w:b w:val="false"/>
          <w:color w:val="000000"/>
          <w:sz w:val="20"/>
        </w:rPr>
        <w:t>Effective December 18, 2019, our Board of Directors replaced our then-existing share repurchase program with a new share repurchase program under which we may repurchase up to $150.0 million of our common stock. Effective December 9, 2022, and December 13, 2023, our Board of Directors expanded the Share Repurchase Program by $150.0 millionand $150.0 million, respectively. Share repurchases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share availability, and other factors. Repurchased shares are retired and returned to an authorized but unissued status.</w:t>
      </w:r>
      <w:r>
        <w:rPr>
          <w:color w:val="000000"/>
          <w:shd w:fill="FFFFFF" w:val="clear"/>
        </w:rPr>
        <w:t xml:space="preserve"> </w:t>
      </w:r>
      <w:r>
        <w:rPr>
          <w:rFonts w:ascii="Arial;sans-serif" w:hAnsi="Arial;sans-serif"/>
          <w:b w:val="false"/>
          <w:color w:val="000000"/>
          <w:sz w:val="20"/>
          <w:shd w:fill="FFFFFF" w:val="clear"/>
        </w:rPr>
        <w:t xml:space="preserve">The repurchase program may be suspended or discontinued at any time without prior notice.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Repurchase Activity</w:t>
      </w:r>
    </w:p>
    <w:p>
      <w:pPr>
        <w:pStyle w:val="TextBody"/>
        <w:bidi w:val="0"/>
        <w:spacing w:lineRule="auto" w:line="288" w:before="180" w:after="240"/>
        <w:ind w:left="0" w:right="0" w:firstLine="720"/>
        <w:jc w:val="both"/>
        <w:rPr>
          <w:rFonts w:ascii="Arial;sans-serif" w:hAnsi="Arial;sans-serif"/>
          <w:b w:val="false"/>
          <w:color w:val="000000"/>
          <w:sz w:val="20"/>
        </w:rPr>
      </w:pPr>
      <w:r>
        <w:rPr>
          <w:rFonts w:ascii="Arial;sans-serif" w:hAnsi="Arial;sans-serif"/>
          <w:b w:val="false"/>
          <w:color w:val="000000"/>
          <w:sz w:val="20"/>
        </w:rPr>
        <w:t>We repurchased shares under the share repurchase program during the year ended October 31, 2023, as summarized below. At October 31, 2023, authorization for $60.3 million of repurchases remained under the Share Repurchase Program.</w:t>
      </w:r>
    </w:p>
    <w:tbl>
      <w:tblPr>
        <w:tblW w:w="6027" w:type="dxa"/>
        <w:jc w:val="right"/>
        <w:tblInd w:w="0" w:type="dxa"/>
        <w:tblLayout w:type="fixed"/>
        <w:tblCellMar>
          <w:top w:w="28" w:type="dxa"/>
          <w:left w:w="28" w:type="dxa"/>
          <w:bottom w:w="28" w:type="dxa"/>
          <w:right w:w="28" w:type="dxa"/>
        </w:tblCellMar>
      </w:tblPr>
      <w:tblGrid>
        <w:gridCol w:w="1289"/>
        <w:gridCol w:w="1138"/>
        <w:gridCol w:w="1142"/>
        <w:gridCol w:w="225"/>
        <w:gridCol w:w="690"/>
        <w:gridCol w:w="116"/>
        <w:gridCol w:w="116"/>
        <w:gridCol w:w="116"/>
        <w:gridCol w:w="116"/>
        <w:gridCol w:w="225"/>
        <w:gridCol w:w="690"/>
        <w:gridCol w:w="164"/>
      </w:tblGrid>
      <w:tr>
        <w:trPr/>
        <w:tc>
          <w:tcPr>
            <w:tcW w:w="128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 except per share amounts)</w:t>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56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shares purchased</w:t>
            </w:r>
          </w:p>
        </w:tc>
        <w:tc>
          <w:tcPr>
            <w:tcW w:w="915"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1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6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Average price paid per share</w:t>
            </w:r>
            <w:r>
              <w:rPr>
                <w:rFonts w:ascii="Arial;sans-serif" w:hAnsi="Arial;sans-serif"/>
                <w:b w:val="false"/>
                <w:color w:val="000000"/>
                <w:sz w:val="13"/>
              </w:rPr>
              <w:t>(1)</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Total cash paid for share repurchases</w:t>
            </w:r>
            <w:r>
              <w:rPr>
                <w:rFonts w:ascii="Arial;sans-serif" w:hAnsi="Arial;sans-serif"/>
                <w:b w:val="false"/>
                <w:color w:val="000000"/>
                <w:sz w:val="13"/>
              </w:rPr>
              <w:t>(1)</w:t>
            </w:r>
          </w:p>
        </w:tc>
        <w:tc>
          <w:tcPr>
            <w:tcW w:w="225"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137.1 </w:t>
            </w:r>
          </w:p>
        </w:tc>
        <w:tc>
          <w:tcPr>
            <w:tcW w:w="11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97.5 </w:t>
            </w:r>
          </w:p>
        </w:tc>
        <w:tc>
          <w:tcPr>
            <w:tcW w:w="16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8"/>
        </w:rPr>
        <w:t xml:space="preserve">Average price paid per share and total cash paid for share repurchases does not include any excise tax for stock repurchases as part of the Inflation Reduction Act of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15. SHARE-BASED COMPENSATION PLANS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use various share-based compensation plans to provide incentives for our key employees and non-employee members of our Board of Directors. Currently, these incentives primarily consist of RSUs and performance shares.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May 2, 2006, our stockholders approved the 2006 Equity Incentive Plan, which was last amended and restated on March 7, 2018 (as amended and restated, the “2006 Equity Plan”). The 2006 Equity Plan is an omnibus plan that provides for a variety of equity and equity-based award vehicles, including stock options, stock appreciation rights, RSUs, performance shares, and other share-based awards. Shares subject to awards that terminate without vesting or exercise are available for future awards under the 2006 Equity Plan. Certain of the awards under the 2006 Equity Plan may qualify as “performance-based” compensation under the IRC.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On March 24, 2021, our stockholders approved the 2021 Equity and Incentive Compensation Plan (the “2021 Equity Plan”). The 2021 Equity Plan is an omnibus plan that provides for a variety of equity and equity-based award vehicles, including stock options, stock appreciation rights, RSUs, performance shares, and other share-based awards. Shares subject to awards that terminate without vesting or exercise are available for future awards under the 2021 Equity Plan. Certain of the awards under the 2021 Equity Plan may qualify as “performance-based” compensation under the IRC.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60350"/>
                <wp:effectExtent l="0" t="0" r="0" b="0"/>
                <wp:wrapNone/>
                <wp:docPr id="89" name="Frame80"/>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No further shares are authorized for issuance under the 2006 Equity Plan. There are 3,975,000 total shares of common stock authorized for issuance under the 2021 Equity Plan, and at October 31, 2023, there were 2,363,005 shares of common stock available for grant for future equity-based compensation awards. In addition, there are certain plans under which we can no longer issue awards, such as the 2006 Equity Plan, although awards outstanding under such plans may still vest and be exercised.</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also maintain an employee stock purchase plan, which our stockholders approved on March 9, 2004 (the “2004 Employee Stock Purchase Plan”). As amended, there are 4,000,000 total shares of common stock authorized for issuance under the 2004 Employee Stock Purchase Plan. Effective May 1, 2006, the 2004 Employee Stock Purchase Plan is no longer considered compensatory and the values of the awards are no longer treated as share-based compensation expense. Additionally, as of that date, the purchase price became 95% of the fair value of our common stock price on the last trading day of the month. Employees may designate up to 10% of their compensation for the purchase of stock, subject to a $25,000 annual limit. Employees are required to hold their shares for a minimum of six months from the date of purchase. At October 31, 2023, there were 357,656 remaining unissued shares under the 2004 Employee Stock Purchase Plan.</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Compensation Expense by Type of Award and Related Income Tax Benefit</w:t>
      </w:r>
    </w:p>
    <w:tbl>
      <w:tblPr>
        <w:tblW w:w="8396" w:type="dxa"/>
        <w:jc w:val="left"/>
        <w:tblInd w:w="0" w:type="dxa"/>
        <w:tblLayout w:type="fixed"/>
        <w:tblCellMar>
          <w:top w:w="28" w:type="dxa"/>
          <w:left w:w="28" w:type="dxa"/>
          <w:bottom w:w="28" w:type="dxa"/>
          <w:right w:w="28" w:type="dxa"/>
        </w:tblCellMar>
      </w:tblPr>
      <w:tblGrid>
        <w:gridCol w:w="1850"/>
        <w:gridCol w:w="1624"/>
        <w:gridCol w:w="1640"/>
        <w:gridCol w:w="211"/>
        <w:gridCol w:w="541"/>
        <w:gridCol w:w="109"/>
        <w:gridCol w:w="109"/>
        <w:gridCol w:w="109"/>
        <w:gridCol w:w="109"/>
        <w:gridCol w:w="211"/>
        <w:gridCol w:w="541"/>
        <w:gridCol w:w="109"/>
        <w:gridCol w:w="109"/>
        <w:gridCol w:w="109"/>
        <w:gridCol w:w="109"/>
        <w:gridCol w:w="211"/>
        <w:gridCol w:w="541"/>
        <w:gridCol w:w="154"/>
      </w:tblGrid>
      <w:tr>
        <w:trPr/>
        <w:tc>
          <w:tcPr>
            <w:tcW w:w="185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511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shares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 before income taxes</w:t>
            </w:r>
          </w:p>
        </w:tc>
        <w:tc>
          <w:tcPr>
            <w:tcW w:w="75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 net of taxes</w:t>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54"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46AD"/>
          <w:sz w:val="20"/>
        </w:rPr>
      </w:pPr>
      <w:r>
        <w:rPr>
          <w:rFonts w:ascii="Arial;sans-serif" w:hAnsi="Arial;sans-serif"/>
          <w:b/>
          <w:color w:val="0046AD"/>
          <w:sz w:val="20"/>
        </w:rPr>
        <w:t>RSUs and Dividend Equivalent Rights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We award RSUs to eligible employees and non-employee members of our Board of Directors (each, a “Grantee”) that entitle the Grantee to receive shares of our common stock as the units vest. RSUs granted to eligible employees after 2020 generally vest ratably over three years. RSUs granted to eligible employees prior to 2020 generally vest with respect to 50% of the underlying award on the second and fourth anniversary of the award. Upon the retirement of certain executive employees at age 60 with a minimum of 10 years of service to the Company, pursuant to the terms of their respective employment agreements, RSUs granted to such executive employees that were granted at least one year prior to termination by reason of retirement will continue to be eligible for vesting, exercise, and settlement, as applicable, on the originally scheduled vesting date. RSUs granted to non-employee directors vest on the first anniversary date of the grant date. In general, the receipt of RSUs is subject to the grantee’s continuing employment or service as a non-employee director.</w:t>
      </w:r>
    </w:p>
    <w:p>
      <w:pPr>
        <w:pStyle w:val="TextBody"/>
        <w:bidi w:val="0"/>
        <w:spacing w:lineRule="auto" w:line="288" w:before="180" w:after="18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RSUs are credited with dividend equivalent rights that are converted to RSUs at the fair market value of our common stock on the dates the dividend payments are made and are subject to the same terms and conditions as the underlying award. </w:t>
      </w:r>
    </w:p>
    <w:p>
      <w:pPr>
        <w:pStyle w:val="TextBody"/>
        <w:bidi w:val="0"/>
        <w:spacing w:lineRule="auto" w:line="288" w:before="180" w:after="283"/>
        <w:jc w:val="left"/>
        <w:rPr>
          <w:rFonts w:ascii="Arial;sans-serif" w:hAnsi="Arial;sans-serif"/>
          <w:b/>
          <w:i/>
          <w:color w:val="0046AD"/>
          <w:sz w:val="20"/>
        </w:rPr>
      </w:pPr>
      <w:r>
        <w:rPr>
          <w:rFonts w:ascii="Arial;sans-serif" w:hAnsi="Arial;sans-serif"/>
          <w:b/>
          <w:i/>
          <w:color w:val="0046AD"/>
          <w:sz w:val="20"/>
        </w:rPr>
        <w:t>RSU Activity</w:t>
      </w:r>
    </w:p>
    <w:tbl>
      <w:tblPr>
        <w:tblW w:w="8544" w:type="dxa"/>
        <w:jc w:val="left"/>
        <w:tblInd w:w="0" w:type="dxa"/>
        <w:tblLayout w:type="fixed"/>
        <w:tblCellMar>
          <w:top w:w="28" w:type="dxa"/>
          <w:left w:w="28" w:type="dxa"/>
          <w:bottom w:w="28" w:type="dxa"/>
          <w:right w:w="28" w:type="dxa"/>
        </w:tblCellMar>
      </w:tblPr>
      <w:tblGrid>
        <w:gridCol w:w="1787"/>
        <w:gridCol w:w="1571"/>
        <w:gridCol w:w="1576"/>
        <w:gridCol w:w="409"/>
        <w:gridCol w:w="409"/>
        <w:gridCol w:w="411"/>
        <w:gridCol w:w="109"/>
        <w:gridCol w:w="109"/>
        <w:gridCol w:w="109"/>
        <w:gridCol w:w="428"/>
        <w:gridCol w:w="1312"/>
        <w:gridCol w:w="314"/>
      </w:tblGrid>
      <w:tr>
        <w:trPr/>
        <w:tc>
          <w:tcPr>
            <w:tcW w:w="1787"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 of</w:t>
              <w:br/>
              <w:t>Shares</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w:t>
              <w:br/>
              <w:t>Grant Date</w:t>
              <w:br/>
              <w:t>Fair Value per Share</w:t>
            </w:r>
          </w:p>
        </w:tc>
      </w:tr>
      <w:tr>
        <w:trPr/>
        <w:tc>
          <w:tcPr>
            <w:tcW w:w="4934"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at October 31, 2022</w:t>
            </w:r>
          </w:p>
        </w:tc>
        <w:tc>
          <w:tcPr>
            <w:tcW w:w="818"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11"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2"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38.58 </w:t>
            </w:r>
          </w:p>
        </w:tc>
        <w:tc>
          <w:tcPr>
            <w:tcW w:w="31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44.37 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Vested (including 0.2 shares withheld for income taxes)</w:t>
            </w:r>
          </w:p>
        </w:tc>
        <w:tc>
          <w:tcPr>
            <w:tcW w:w="81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41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38.80 </w:t>
            </w:r>
          </w:p>
        </w:tc>
        <w:tc>
          <w:tcPr>
            <w:tcW w:w="31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Forfeited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42.71 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October 31, 2023</w:t>
            </w:r>
          </w:p>
        </w:tc>
        <w:tc>
          <w:tcPr>
            <w:tcW w:w="818" w:type="dxa"/>
            <w:gridSpan w:val="2"/>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12"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41.09 </w:t>
            </w:r>
          </w:p>
        </w:tc>
        <w:tc>
          <w:tcPr>
            <w:tcW w:w="314"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October 31, 2023, total unrecognized compensation cost, net of estimated forfeitures, related to RSUs was $19.5 million, which is expected to be recognized ratably over a weighted-average vesting period of 2.0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60350"/>
                <wp:effectExtent l="0" t="0" r="0" b="0"/>
                <wp:wrapNone/>
                <wp:docPr id="90" name="Frame8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2023, 2022, and 2021, the weighted-average grant date fair value per share of awards granted was $44.37, $41.63, and $40.22, respectively. In 2023, 2022, and 2021, the total grant date fair value of RSUs vested and converted to shares of ABM common stock was $17.1 million, $16.4 million, and $16.9 million, respectively.</w:t>
      </w:r>
    </w:p>
    <w:p>
      <w:pPr>
        <w:pStyle w:val="TextBody"/>
        <w:bidi w:val="0"/>
        <w:spacing w:lineRule="auto" w:line="288" w:before="240" w:after="283"/>
        <w:jc w:val="left"/>
        <w:rPr>
          <w:rFonts w:ascii="Arial;sans-serif" w:hAnsi="Arial;sans-serif"/>
          <w:b/>
          <w:color w:val="0046AD"/>
          <w:sz w:val="20"/>
        </w:rPr>
      </w:pPr>
      <w:r>
        <w:rPr>
          <w:rFonts w:ascii="Arial;sans-serif" w:hAnsi="Arial;sans-serif"/>
          <w:b/>
          <w:color w:val="0046AD"/>
          <w:sz w:val="20"/>
        </w:rPr>
        <w:t>Performance Shares, Including TSR Performance Shares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Performance shares consist of a contingent right to receive shares of our common stock based on performance targets adopted by our Compensation Committee. Performance shares are credited with dividend equivalent rights that will be converted to performance shares at the fair market value of our common stock beginning after the performance targets have been satisfied and are subject to the same terms and conditions as the underlying award.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certain performance share awards, the number of performance shares that will vest is based on pre-established internal financial performance targets and typically a three-year service and performance period. The number of TSR-modified awards that will vest over the respective three-year performance period is based on our total shareholder return relative to the S&amp;P 1500 Composite Commercial Services &amp; Supplies Index. Vesting of 0% to 150% of the awards originally granted may occur depending on the respective performance metrics.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Performance Share Activity</w:t>
      </w:r>
    </w:p>
    <w:tbl>
      <w:tblPr>
        <w:tblW w:w="8876" w:type="dxa"/>
        <w:jc w:val="left"/>
        <w:tblInd w:w="0" w:type="dxa"/>
        <w:tblLayout w:type="fixed"/>
        <w:tblCellMar>
          <w:top w:w="28" w:type="dxa"/>
          <w:left w:w="28" w:type="dxa"/>
          <w:bottom w:w="28" w:type="dxa"/>
          <w:right w:w="28" w:type="dxa"/>
        </w:tblCellMar>
      </w:tblPr>
      <w:tblGrid>
        <w:gridCol w:w="1787"/>
        <w:gridCol w:w="1571"/>
        <w:gridCol w:w="1576"/>
        <w:gridCol w:w="594"/>
        <w:gridCol w:w="594"/>
        <w:gridCol w:w="596"/>
        <w:gridCol w:w="109"/>
        <w:gridCol w:w="109"/>
        <w:gridCol w:w="109"/>
        <w:gridCol w:w="382"/>
        <w:gridCol w:w="1169"/>
        <w:gridCol w:w="280"/>
      </w:tblGrid>
      <w:tr>
        <w:trPr/>
        <w:tc>
          <w:tcPr>
            <w:tcW w:w="1787"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 of Shares</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Weighted-Average</w:t>
              <w:br/>
              <w:t>Grant Date</w:t>
              <w:br/>
              <w:t>Fair Value</w:t>
              <w:br/>
              <w:t>per Share</w:t>
            </w:r>
          </w:p>
        </w:tc>
      </w:tr>
      <w:tr>
        <w:trPr/>
        <w:tc>
          <w:tcPr>
            <w:tcW w:w="4934"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at October 31, 2022</w:t>
            </w:r>
          </w:p>
        </w:tc>
        <w:tc>
          <w:tcPr>
            <w:tcW w:w="1188"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9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9"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41.30 </w:t>
            </w:r>
          </w:p>
        </w:tc>
        <w:tc>
          <w:tcPr>
            <w:tcW w:w="280"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Vested (including 0.1 shares withheld for income taxes)</w:t>
            </w:r>
          </w:p>
        </w:tc>
        <w:tc>
          <w:tcPr>
            <w:tcW w:w="118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59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38.08 </w:t>
            </w:r>
          </w:p>
        </w:tc>
        <w:tc>
          <w:tcPr>
            <w:tcW w:w="280"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adjustments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1188"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42.30 </w:t>
            </w:r>
          </w:p>
        </w:tc>
        <w:tc>
          <w:tcPr>
            <w:tcW w:w="280"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October 31, 2023</w:t>
            </w:r>
          </w:p>
        </w:tc>
        <w:tc>
          <w:tcPr>
            <w:tcW w:w="11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44.43 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October 31, 2023, total unrecognized compensation cost related to performance share awards was $18.3 million, which is expected to be recognized ratably over a weighted-average vesting period of 1.9 years. Except for TSR performance shares, these costs are based on estimated achievement of performance targets and estimated costs are periodically reevaluated. For our TSR performance shares, these costs are based on the fair value of awards at the grant date and are recognized on a straight-line basis over the service period of three years.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2023, 2022, and 2021, the weighted-average grant date fair value per share of awards granted was $46.47, $43.06, and $39.97, respectively. In 2023, 2022, and 2021, the total grant date fair value of performance shares vested and converted to shares of ABM common stock was $14.6 million, $13.6 million, and $9.0 million, respectively.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2023, 2022, and 2021, we used the Monte Carlo simulation valuation technique to estimate the fair value of TSR performance share grants, which used the assumptions in the table below.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Monte Carlo Assumptions</w:t>
      </w:r>
    </w:p>
    <w:tbl>
      <w:tblPr>
        <w:tblW w:w="7038" w:type="dxa"/>
        <w:jc w:val="left"/>
        <w:tblInd w:w="0" w:type="dxa"/>
        <w:tblLayout w:type="fixed"/>
        <w:tblCellMar>
          <w:top w:w="28" w:type="dxa"/>
          <w:left w:w="28" w:type="dxa"/>
          <w:bottom w:w="28" w:type="dxa"/>
          <w:right w:w="28" w:type="dxa"/>
        </w:tblCellMar>
      </w:tblPr>
      <w:tblGrid>
        <w:gridCol w:w="1052"/>
        <w:gridCol w:w="926"/>
        <w:gridCol w:w="932"/>
        <w:gridCol w:w="211"/>
        <w:gridCol w:w="646"/>
        <w:gridCol w:w="286"/>
        <w:gridCol w:w="109"/>
        <w:gridCol w:w="109"/>
        <w:gridCol w:w="109"/>
        <w:gridCol w:w="211"/>
        <w:gridCol w:w="646"/>
        <w:gridCol w:w="286"/>
        <w:gridCol w:w="109"/>
        <w:gridCol w:w="109"/>
        <w:gridCol w:w="109"/>
        <w:gridCol w:w="211"/>
        <w:gridCol w:w="646"/>
        <w:gridCol w:w="331"/>
      </w:tblGrid>
      <w:tr>
        <w:trPr/>
        <w:tc>
          <w:tcPr>
            <w:tcW w:w="105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2910"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Expected life</w:t>
            </w:r>
            <w:r>
              <w:rPr>
                <w:rFonts w:ascii="Arial;sans-serif" w:hAnsi="Arial;sans-serif"/>
                <w:b w:val="false"/>
                <w:color w:val="000000"/>
                <w:sz w:val="13"/>
              </w:rPr>
              <w:t>(1)</w:t>
            </w:r>
          </w:p>
        </w:tc>
        <w:tc>
          <w:tcPr>
            <w:tcW w:w="1143"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 years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 years</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 years</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Expected stock price volatility</w:t>
            </w:r>
            <w:r>
              <w:rPr>
                <w:rFonts w:ascii="Arial;sans-serif" w:hAnsi="Arial;sans-serif"/>
                <w:b w:val="false"/>
                <w:color w:val="000000"/>
                <w:sz w:val="13"/>
              </w:rPr>
              <w:t>(2)</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Risk-free interest rate</w:t>
            </w:r>
            <w:r>
              <w:rPr>
                <w:rFonts w:ascii="Arial;sans-serif" w:hAnsi="Arial;sans-serif"/>
                <w:b w:val="false"/>
                <w:color w:val="000000"/>
                <w:sz w:val="13"/>
              </w:rPr>
              <w:t>(3)</w:t>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8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33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Stock price</w:t>
            </w:r>
            <w:r>
              <w:rPr>
                <w:rFonts w:ascii="Arial;sans-serif" w:hAnsi="Arial;sans-serif"/>
                <w:b w:val="false"/>
                <w:color w:val="000000"/>
                <w:sz w:val="13"/>
              </w:rPr>
              <w:t>(4)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xml:space="preserve">The expected life represents the remaining performance period of the awards. </w:t>
      </w:r>
    </w:p>
    <w:p>
      <w:pPr>
        <w:pStyle w:val="TextBody"/>
        <w:bidi w:val="0"/>
        <w:spacing w:lineRule="auto" w:line="288" w:before="120" w:after="283"/>
        <w:ind w:left="0" w:right="0" w:hanging="180"/>
        <w:jc w:val="both"/>
        <w:rPr/>
      </w:pPr>
      <w:r>
        <w:rPr>
          <w:rFonts w:ascii="Arial;sans-serif" w:hAnsi="Arial;sans-serif"/>
          <w:b w:val="false"/>
          <w:color w:val="000000"/>
          <w:sz w:val="12"/>
        </w:rPr>
        <w:t xml:space="preserve">(2) </w:t>
      </w:r>
      <w:r>
        <w:rPr>
          <w:rFonts w:ascii="Arial;sans-serif" w:hAnsi="Arial;sans-serif"/>
          <w:b w:val="false"/>
          <w:color w:val="000000"/>
          <w:sz w:val="18"/>
        </w:rPr>
        <w:t>The expected volatility for each grant is determined based on the historical volatility of our common stock over a period equal to the remaining term of the performance period from the date of grant for all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60350"/>
                <wp:effectExtent l="0" t="0" r="0" b="0"/>
                <wp:wrapNone/>
                <wp:docPr id="91" name="Frame82"/>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20" w:after="283"/>
        <w:ind w:left="0" w:right="0" w:hanging="180"/>
        <w:jc w:val="both"/>
        <w:rPr/>
      </w:pPr>
      <w:r>
        <w:rPr>
          <w:rFonts w:ascii="Arial;sans-serif" w:hAnsi="Arial;sans-serif"/>
          <w:b w:val="false"/>
          <w:color w:val="000000"/>
          <w:sz w:val="12"/>
        </w:rPr>
        <w:t xml:space="preserve">(3) </w:t>
      </w:r>
      <w:r>
        <w:rPr>
          <w:rFonts w:ascii="Arial;sans-serif" w:hAnsi="Arial;sans-serif"/>
          <w:b w:val="false"/>
          <w:color w:val="000000"/>
          <w:sz w:val="18"/>
        </w:rPr>
        <w:t xml:space="preserve">The risk-free interest rate is based on the continuous compounded yield on U.S. Treasury Constant Maturity Rates with varying remaining terms; the yield is determined over a time period commensurate with the performance period from the grant date. </w:t>
      </w:r>
    </w:p>
    <w:p>
      <w:pPr>
        <w:pStyle w:val="TextBody"/>
        <w:bidi w:val="0"/>
        <w:spacing w:lineRule="auto" w:line="288" w:before="120" w:after="283"/>
        <w:ind w:left="0" w:right="0" w:hanging="180"/>
        <w:jc w:val="both"/>
        <w:rPr/>
      </w:pPr>
      <w:r>
        <w:rPr>
          <w:rFonts w:ascii="Arial;sans-serif" w:hAnsi="Arial;sans-serif"/>
          <w:b w:val="false"/>
          <w:color w:val="000000"/>
          <w:sz w:val="12"/>
        </w:rPr>
        <w:t>(4)</w:t>
      </w:r>
      <w:r>
        <w:rPr>
          <w:color w:val="000000"/>
        </w:rPr>
        <w:t xml:space="preserve"> </w:t>
      </w:r>
      <w:r>
        <w:rPr>
          <w:rFonts w:ascii="Arial;sans-serif" w:hAnsi="Arial;sans-serif"/>
          <w:b w:val="false"/>
          <w:color w:val="000000"/>
          <w:sz w:val="18"/>
        </w:rPr>
        <w:t>The stock price is the closing price of our common stock on the valuation date.</w:t>
      </w:r>
    </w:p>
    <w:p>
      <w:pPr>
        <w:pStyle w:val="TextBody"/>
        <w:bidi w:val="0"/>
        <w:spacing w:lineRule="auto" w:line="288" w:before="240" w:after="283"/>
        <w:jc w:val="left"/>
        <w:rPr>
          <w:rFonts w:ascii="Arial;sans-serif" w:hAnsi="Arial;sans-serif"/>
          <w:b/>
          <w:color w:val="0046AD"/>
          <w:sz w:val="20"/>
        </w:rPr>
      </w:pPr>
      <w:r>
        <w:rPr>
          <w:rFonts w:ascii="Arial;sans-serif" w:hAnsi="Arial;sans-serif"/>
          <w:b/>
          <w:color w:val="0046AD"/>
          <w:sz w:val="20"/>
        </w:rPr>
        <w:t>Employee Stock Purchase Plan</w:t>
      </w:r>
    </w:p>
    <w:tbl>
      <w:tblPr>
        <w:tblW w:w="9326" w:type="dxa"/>
        <w:jc w:val="left"/>
        <w:tblInd w:w="0" w:type="dxa"/>
        <w:tblLayout w:type="fixed"/>
        <w:tblCellMar>
          <w:top w:w="28" w:type="dxa"/>
          <w:left w:w="28" w:type="dxa"/>
          <w:bottom w:w="28" w:type="dxa"/>
          <w:right w:w="28" w:type="dxa"/>
        </w:tblCellMar>
      </w:tblPr>
      <w:tblGrid>
        <w:gridCol w:w="2069"/>
        <w:gridCol w:w="1826"/>
        <w:gridCol w:w="1834"/>
        <w:gridCol w:w="211"/>
        <w:gridCol w:w="646"/>
        <w:gridCol w:w="109"/>
        <w:gridCol w:w="109"/>
        <w:gridCol w:w="109"/>
        <w:gridCol w:w="109"/>
        <w:gridCol w:w="211"/>
        <w:gridCol w:w="646"/>
        <w:gridCol w:w="109"/>
        <w:gridCol w:w="109"/>
        <w:gridCol w:w="109"/>
        <w:gridCol w:w="109"/>
        <w:gridCol w:w="211"/>
        <w:gridCol w:w="646"/>
        <w:gridCol w:w="154"/>
      </w:tblGrid>
      <w:tr>
        <w:trPr/>
        <w:tc>
          <w:tcPr>
            <w:tcW w:w="206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 except per share amounts)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57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fair value of granted purchase rights per share</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common stock issued per share</w:t>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42.40 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41.18 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Aggregate purchases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60350"/>
                <wp:effectExtent l="0" t="0" r="0" b="0"/>
                <wp:wrapNone/>
                <wp:docPr id="92" name="Frame8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16. INCOME TAXES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Geographic Sources of Income Before Income Taxes</w:t>
      </w:r>
    </w:p>
    <w:tbl>
      <w:tblPr>
        <w:tblW w:w="6342" w:type="dxa"/>
        <w:jc w:val="left"/>
        <w:tblInd w:w="0" w:type="dxa"/>
        <w:tblLayout w:type="fixed"/>
        <w:tblCellMar>
          <w:top w:w="28" w:type="dxa"/>
          <w:left w:w="28" w:type="dxa"/>
          <w:bottom w:w="28" w:type="dxa"/>
          <w:right w:w="28" w:type="dxa"/>
        </w:tblCellMar>
      </w:tblPr>
      <w:tblGrid>
        <w:gridCol w:w="993"/>
        <w:gridCol w:w="871"/>
        <w:gridCol w:w="881"/>
        <w:gridCol w:w="211"/>
        <w:gridCol w:w="646"/>
        <w:gridCol w:w="109"/>
        <w:gridCol w:w="109"/>
        <w:gridCol w:w="109"/>
        <w:gridCol w:w="109"/>
        <w:gridCol w:w="211"/>
        <w:gridCol w:w="646"/>
        <w:gridCol w:w="109"/>
        <w:gridCol w:w="109"/>
        <w:gridCol w:w="109"/>
        <w:gridCol w:w="109"/>
        <w:gridCol w:w="211"/>
        <w:gridCol w:w="646"/>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274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294.3 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278.5 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Income before income taxes</w:t>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331.1 </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310.0 </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179.8 </w:t>
            </w:r>
          </w:p>
        </w:tc>
        <w:tc>
          <w:tcPr>
            <w:tcW w:w="154"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Arial;sans-serif" w:hAnsi="Arial;sans-serif"/>
          <w:b/>
          <w:color w:val="0046AD"/>
          <w:sz w:val="20"/>
        </w:rPr>
      </w:pPr>
      <w:r>
        <w:rPr>
          <w:rFonts w:ascii="Arial;sans-serif" w:hAnsi="Arial;sans-serif"/>
          <w:b/>
          <w:color w:val="0046AD"/>
          <w:sz w:val="20"/>
        </w:rPr>
        <w:t>Components of Income Tax Provision</w:t>
      </w:r>
    </w:p>
    <w:tbl>
      <w:tblPr>
        <w:tblW w:w="5546" w:type="dxa"/>
        <w:jc w:val="left"/>
        <w:tblInd w:w="0" w:type="dxa"/>
        <w:tblLayout w:type="fixed"/>
        <w:tblCellMar>
          <w:top w:w="28" w:type="dxa"/>
          <w:left w:w="28" w:type="dxa"/>
          <w:bottom w:w="28" w:type="dxa"/>
          <w:right w:w="28" w:type="dxa"/>
        </w:tblCellMar>
      </w:tblPr>
      <w:tblGrid>
        <w:gridCol w:w="779"/>
        <w:gridCol w:w="685"/>
        <w:gridCol w:w="620"/>
        <w:gridCol w:w="211"/>
        <w:gridCol w:w="601"/>
        <w:gridCol w:w="109"/>
        <w:gridCol w:w="109"/>
        <w:gridCol w:w="109"/>
        <w:gridCol w:w="109"/>
        <w:gridCol w:w="211"/>
        <w:gridCol w:w="601"/>
        <w:gridCol w:w="109"/>
        <w:gridCol w:w="109"/>
        <w:gridCol w:w="109"/>
        <w:gridCol w:w="109"/>
        <w:gridCol w:w="211"/>
        <w:gridCol w:w="601"/>
        <w:gridCol w:w="154"/>
      </w:tblGrid>
      <w:tr>
        <w:trPr/>
        <w:tc>
          <w:tcPr>
            <w:tcW w:w="7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208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Current:</w:t>
            </w:r>
          </w:p>
        </w:tc>
        <w:tc>
          <w:tcPr>
            <w:tcW w:w="92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Deferred:</w:t>
            </w:r>
          </w:p>
        </w:tc>
        <w:tc>
          <w:tcPr>
            <w:tcW w:w="92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tax provision</w:t>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w:t>
            </w:r>
          </w:p>
        </w:tc>
        <w:tc>
          <w:tcPr>
            <w:tcW w:w="154"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300"/>
        <w:jc w:val="left"/>
        <w:rPr>
          <w:rFonts w:ascii="Arial;sans-serif" w:hAnsi="Arial;sans-serif"/>
          <w:b/>
          <w:color w:val="0046AD"/>
          <w:sz w:val="20"/>
        </w:rPr>
      </w:pPr>
      <w:r>
        <w:rPr>
          <w:rFonts w:ascii="Arial;sans-serif" w:hAnsi="Arial;sans-serif"/>
          <w:b/>
          <w:color w:val="0046AD"/>
          <w:sz w:val="20"/>
        </w:rPr>
        <w:t>Reconciliation of the U.S. Statutory Tax Rate to Annual Effective Tax Rate</w:t>
      </w:r>
    </w:p>
    <w:tbl>
      <w:tblPr>
        <w:tblW w:w="8992" w:type="dxa"/>
        <w:jc w:val="left"/>
        <w:tblInd w:w="0" w:type="dxa"/>
        <w:tblLayout w:type="fixed"/>
        <w:tblCellMar>
          <w:top w:w="28" w:type="dxa"/>
          <w:left w:w="28" w:type="dxa"/>
          <w:bottom w:w="28" w:type="dxa"/>
          <w:right w:w="28" w:type="dxa"/>
        </w:tblCellMar>
      </w:tblPr>
      <w:tblGrid>
        <w:gridCol w:w="2042"/>
        <w:gridCol w:w="1792"/>
        <w:gridCol w:w="1805"/>
        <w:gridCol w:w="272"/>
        <w:gridCol w:w="269"/>
        <w:gridCol w:w="318"/>
        <w:gridCol w:w="121"/>
        <w:gridCol w:w="121"/>
        <w:gridCol w:w="121"/>
        <w:gridCol w:w="272"/>
        <w:gridCol w:w="269"/>
        <w:gridCol w:w="318"/>
        <w:gridCol w:w="121"/>
        <w:gridCol w:w="121"/>
        <w:gridCol w:w="121"/>
        <w:gridCol w:w="272"/>
        <w:gridCol w:w="269"/>
        <w:gridCol w:w="368"/>
      </w:tblGrid>
      <w:tr>
        <w:trPr/>
        <w:tc>
          <w:tcPr>
            <w:tcW w:w="2042"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56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U.S. statutory rate</w:t>
            </w:r>
          </w:p>
        </w:tc>
        <w:tc>
          <w:tcPr>
            <w:tcW w:w="541"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18"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18"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68"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and local income taxes, net of federal tax benefit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 and state tax credits</w:t>
            </w:r>
          </w:p>
        </w:tc>
        <w:tc>
          <w:tcPr>
            <w:tcW w:w="5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1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1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36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Impact of foreign operations </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uncertain tax positions</w:t>
            </w:r>
          </w:p>
        </w:tc>
        <w:tc>
          <w:tcPr>
            <w:tcW w:w="5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1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31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6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Incremental tax benefit from share-based compensation awards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Energy efficiency incentives</w:t>
            </w:r>
          </w:p>
        </w:tc>
        <w:tc>
          <w:tcPr>
            <w:tcW w:w="5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1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31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36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Nondeductible executive compensation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Nontaxable RavenVolt contingent consideration</w:t>
            </w:r>
          </w:p>
        </w:tc>
        <w:tc>
          <w:tcPr>
            <w:tcW w:w="5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31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nondeductible expenses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5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1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31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68"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Effective tax rate </w:t>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2023 and 2022, we had effective tax rates of 24.1% and 25.7%, respectively, resulting in a provision for tax of $79.7 million and $79.6 million, respectively. Our effective tax rate for 2023 was impacted by a $12.8 million benefit related to the non-taxable change in the fair value of the contingent consideration related to the RavenVolt Acquisition, a $2.2 million benefit for share-based compensation; and a $1.5 million benefit for return to provision adjustment primarily related to state and local deferred income taxes; partially offset by a $4.8 million expense related to non-deductible executive compensation. Our effective tax rate for 2022 was impacted by the following items: an $8.1 million benefit for uncertain tax positions with expiring statutes; a $1.4 million benefit for share-based compensation; and a $1.3 million return to provision adjustments.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various payroll tax provisions included in the CARES Act, through December 31, 2020, we deferred approximately $132 million of payroll tax. The deferred payroll tax has been remitted in full: $66 million was paid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60350"/>
                <wp:effectExtent l="0" t="0" r="0" b="0"/>
                <wp:wrapNone/>
                <wp:docPr id="93" name="Frame84"/>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December 2021 and the remaining $66 million was paid in December 2022. The CARES Act did not have a material impact on our income tax provision.</w:t>
      </w:r>
    </w:p>
    <w:p>
      <w:pPr>
        <w:pStyle w:val="TextBody"/>
        <w:bidi w:val="0"/>
        <w:spacing w:before="180" w:after="283"/>
        <w:ind w:left="0" w:right="0" w:firstLine="720"/>
        <w:jc w:val="both"/>
        <w:rPr/>
      </w:pPr>
      <w:r>
        <w:rPr/>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Components of Deferred Tax Assets and Liabilities</w:t>
      </w:r>
    </w:p>
    <w:tbl>
      <w:tblPr>
        <w:tblW w:w="6053" w:type="dxa"/>
        <w:jc w:val="left"/>
        <w:tblInd w:w="0" w:type="dxa"/>
        <w:tblLayout w:type="fixed"/>
        <w:tblCellMar>
          <w:top w:w="28" w:type="dxa"/>
          <w:left w:w="28" w:type="dxa"/>
          <w:bottom w:w="28" w:type="dxa"/>
          <w:right w:w="28" w:type="dxa"/>
        </w:tblCellMar>
      </w:tblPr>
      <w:tblGrid>
        <w:gridCol w:w="1387"/>
        <w:gridCol w:w="1219"/>
        <w:gridCol w:w="1233"/>
        <w:gridCol w:w="211"/>
        <w:gridCol w:w="601"/>
        <w:gridCol w:w="109"/>
        <w:gridCol w:w="109"/>
        <w:gridCol w:w="109"/>
        <w:gridCol w:w="109"/>
        <w:gridCol w:w="211"/>
        <w:gridCol w:w="601"/>
        <w:gridCol w:w="154"/>
      </w:tblGrid>
      <w:tr>
        <w:trPr/>
        <w:tc>
          <w:tcPr>
            <w:tcW w:w="138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October 31,</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8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Deferred tax assets attributable to:</w:t>
            </w:r>
          </w:p>
        </w:tc>
        <w:tc>
          <w:tcPr>
            <w:tcW w:w="92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Self-insurance claims (net of recoverables)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and other compensation</w:t>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allowances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liabilities</w:t>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accruals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taxes</w:t>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net operating loss carryforwards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credits</w:t>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Unrecognized tax benefits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payroll taxes</w:t>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deferred tax assets</w:t>
            </w:r>
          </w:p>
        </w:tc>
        <w:tc>
          <w:tcPr>
            <w:tcW w:w="81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180.5 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Valuation allowance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deferred tax assets</w:t>
            </w:r>
          </w:p>
        </w:tc>
        <w:tc>
          <w:tcPr>
            <w:tcW w:w="81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179.3 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208.4 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Deferred tax liabilities attributable to:</w:t>
            </w:r>
          </w:p>
        </w:tc>
        <w:tc>
          <w:tcPr>
            <w:tcW w:w="92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and other acquired intangibles</w:t>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(222.9)</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accounting method change</w:t>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deferred tax liabilities</w:t>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deferred tax liabilities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Arial;sans-serif" w:hAnsi="Arial;sans-serif"/>
          <w:b/>
          <w:color w:val="0046AD"/>
          <w:sz w:val="20"/>
        </w:rPr>
      </w:pPr>
      <w:r>
        <w:rPr>
          <w:rFonts w:ascii="Arial;sans-serif" w:hAnsi="Arial;sans-serif"/>
          <w:b/>
          <w:color w:val="0046AD"/>
          <w:sz w:val="20"/>
        </w:rPr>
        <w:t>Net Operating Loss Carryforwards and Credits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State net operating loss carryforwards totaling $48.7 million at October 31, 2023, are being carried forward in several state jurisdictions where we are permitted to use net operating losses from prior periods to reduce future taxable income. These losses will expire between 2024 and 2043. Federal net operating loss carryforwards were fully utilized during 2022. Federal and state tax credit carryforwards totaling $2.7 million are available to reduce future cash taxes and will expire between 2024 and 2043.</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valuation allowance represents the amount of tax benefits related to state net operating loss carryforwards that are not likely to be realized. We believe the remaining deferred tax assets are more likely than not to be realizable based on estimates of future taxable income.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Changes to the Valuation Allowance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60350"/>
                <wp:effectExtent l="0" t="0" r="0" b="0"/>
                <wp:wrapNone/>
                <wp:docPr id="94" name="Frame85"/>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before="180" w:after="283"/>
        <w:jc w:val="left"/>
        <w:rPr/>
      </w:pPr>
      <w:r>
        <w:rPr/>
      </w:r>
    </w:p>
    <w:tbl>
      <w:tblPr>
        <w:tblW w:w="6882" w:type="dxa"/>
        <w:jc w:val="left"/>
        <w:tblInd w:w="0" w:type="dxa"/>
        <w:tblLayout w:type="fixed"/>
        <w:tblCellMar>
          <w:top w:w="28" w:type="dxa"/>
          <w:left w:w="28" w:type="dxa"/>
          <w:bottom w:w="28" w:type="dxa"/>
          <w:right w:w="28" w:type="dxa"/>
        </w:tblCellMar>
      </w:tblPr>
      <w:tblGrid>
        <w:gridCol w:w="1414"/>
        <w:gridCol w:w="1241"/>
        <w:gridCol w:w="1260"/>
        <w:gridCol w:w="211"/>
        <w:gridCol w:w="436"/>
        <w:gridCol w:w="109"/>
        <w:gridCol w:w="109"/>
        <w:gridCol w:w="109"/>
        <w:gridCol w:w="109"/>
        <w:gridCol w:w="211"/>
        <w:gridCol w:w="436"/>
        <w:gridCol w:w="109"/>
        <w:gridCol w:w="109"/>
        <w:gridCol w:w="109"/>
        <w:gridCol w:w="109"/>
        <w:gridCol w:w="211"/>
        <w:gridCol w:w="436"/>
        <w:gridCol w:w="154"/>
      </w:tblGrid>
      <w:tr>
        <w:trPr/>
        <w:tc>
          <w:tcPr>
            <w:tcW w:w="14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391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Valuation allowance at beginning of year</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Valuation allowance at end of year </w:t>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46AD"/>
          <w:sz w:val="20"/>
        </w:rPr>
      </w:pPr>
      <w:r>
        <w:rPr>
          <w:rFonts w:ascii="Arial;sans-serif" w:hAnsi="Arial;sans-serif"/>
          <w:b/>
          <w:color w:val="0046AD"/>
          <w:sz w:val="20"/>
        </w:rPr>
        <w:t>Unrecognized Tax Benefits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October 31, 2023, 2022, and 2021, there were $20.7 million, $22.0 million, and $30.4 million, respectively, of unrecognized tax benefits that if recognized in the future would impact our effective tax rate. We estimate that a decrease in unrecognized tax benefits of up to approximately $0.7 million is reasonably possible over the next 12 months due to lapses of applicable statutes of limitations. At October 31, 2023 and 2022, accrued interest and penalties were $1.4 million and $0.7 million, respectively. For interest and penalties, we recognized a $0.7 million expense, a $0.9 million benefit, and a $0.1 million expense in 2023, 2022, and 2021, respectively. </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Reconciliation of Total Unrecognized Tax Benefits</w:t>
      </w:r>
    </w:p>
    <w:tbl>
      <w:tblPr>
        <w:tblW w:w="7962" w:type="dxa"/>
        <w:jc w:val="left"/>
        <w:tblInd w:w="0" w:type="dxa"/>
        <w:tblLayout w:type="fixed"/>
        <w:tblCellMar>
          <w:top w:w="28" w:type="dxa"/>
          <w:left w:w="28" w:type="dxa"/>
          <w:bottom w:w="28" w:type="dxa"/>
          <w:right w:w="28" w:type="dxa"/>
        </w:tblCellMar>
      </w:tblPr>
      <w:tblGrid>
        <w:gridCol w:w="1690"/>
        <w:gridCol w:w="1484"/>
        <w:gridCol w:w="1506"/>
        <w:gridCol w:w="211"/>
        <w:gridCol w:w="541"/>
        <w:gridCol w:w="109"/>
        <w:gridCol w:w="109"/>
        <w:gridCol w:w="109"/>
        <w:gridCol w:w="109"/>
        <w:gridCol w:w="211"/>
        <w:gridCol w:w="541"/>
        <w:gridCol w:w="109"/>
        <w:gridCol w:w="109"/>
        <w:gridCol w:w="109"/>
        <w:gridCol w:w="109"/>
        <w:gridCol w:w="211"/>
        <w:gridCol w:w="541"/>
        <w:gridCol w:w="154"/>
      </w:tblGrid>
      <w:tr>
        <w:trPr/>
        <w:tc>
          <w:tcPr>
            <w:tcW w:w="169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468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beginning of year</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54"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for tax positions related to the current year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for tax positions related to prior years</w:t>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Reductions for tax positions related to prior years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Reductions for lapse of statute of limitations</w:t>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end of year</w:t>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09"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54" w:type="dxa"/>
            <w:tcBorders>
              <w:top w:val="single" w:sz="8" w:space="0" w:color="000000"/>
              <w:bottom w:val="double" w:sz="8" w:space="0" w:color="000000"/>
            </w:tcBorders>
            <w:shd w:fill="DCE2E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color w:val="0046AD"/>
          <w:sz w:val="20"/>
        </w:rPr>
      </w:pPr>
      <w:r>
        <w:rPr>
          <w:rFonts w:ascii="Arial;sans-serif" w:hAnsi="Arial;sans-serif"/>
          <w:b/>
          <w:color w:val="0046AD"/>
          <w:sz w:val="20"/>
        </w:rPr>
        <w:t xml:space="preserve">Jurisdictions </w:t>
      </w:r>
    </w:p>
    <w:p>
      <w:pPr>
        <w:pStyle w:val="TextBody"/>
        <w:bidi w:val="0"/>
        <w:spacing w:lineRule="auto" w:line="288" w:before="180" w:after="240"/>
        <w:ind w:left="0" w:right="0" w:firstLine="720"/>
        <w:jc w:val="both"/>
        <w:rPr>
          <w:rFonts w:ascii="Arial;sans-serif" w:hAnsi="Arial;sans-serif"/>
          <w:b w:val="false"/>
          <w:color w:val="000000"/>
          <w:sz w:val="20"/>
        </w:rPr>
      </w:pPr>
      <w:r>
        <w:rPr>
          <w:rFonts w:ascii="Arial;sans-serif" w:hAnsi="Arial;sans-serif"/>
          <w:b w:val="false"/>
          <w:color w:val="000000"/>
          <w:sz w:val="20"/>
        </w:rPr>
        <w:t>We conduct business in all 50 states, significantly in California, Texas, and New York, as well as in various foreign jurisdictions. Our most significant income tax jurisdiction is the United States. Due to expired statutes and closed audits, our federal income tax returns for years prior to fiscal 2020 are no longer subject to examination by the U.S. Internal Revenue Service. Generally, for the majority of state and foreign jurisdictions where we do business, periods prior to fiscal 2020 are no longer subject to examination. We are currently being examined by the tax authorities of California, New York City, Montana, Massachusetts, and Oregon.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60350"/>
                <wp:effectExtent l="0" t="0" r="0" b="0"/>
                <wp:wrapNone/>
                <wp:docPr id="95" name="Frame86"/>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17. SEGMENT AND GEOGRAPHIC INFORMATION</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Segment Information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current reportable segments consist of B&amp;I, M&amp;D, Education, Aviation, and Technical Solutions, as further described below. </w:t>
      </w:r>
    </w:p>
    <w:tbl>
      <w:tblPr>
        <w:tblW w:w="10205" w:type="dxa"/>
        <w:jc w:val="right"/>
        <w:tblInd w:w="0" w:type="dxa"/>
        <w:tblLayout w:type="fixed"/>
        <w:tblCellMar>
          <w:top w:w="28" w:type="dxa"/>
          <w:left w:w="28" w:type="dxa"/>
          <w:bottom w:w="28" w:type="dxa"/>
          <w:right w:w="28" w:type="dxa"/>
        </w:tblCellMar>
      </w:tblPr>
      <w:tblGrid>
        <w:gridCol w:w="561"/>
        <w:gridCol w:w="347"/>
        <w:gridCol w:w="347"/>
        <w:gridCol w:w="2927"/>
        <w:gridCol w:w="2483"/>
        <w:gridCol w:w="3540"/>
      </w:tblGrid>
      <w:tr>
        <w:trPr/>
        <w:tc>
          <w:tcPr>
            <w:tcW w:w="56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354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left w:val="single" w:sz="8" w:space="0" w:color="000000"/>
              <w:right w:val="single" w:sz="8" w:space="0" w:color="000000"/>
            </w:tcBorders>
            <w:shd w:fill="DCE2EF" w:val="clear"/>
            <w:tcMar>
              <w:top w:w="30" w:type="dxa"/>
              <w:bottom w:w="0" w:type="dxa"/>
            </w:tcMar>
            <w:vAlign w:val="center"/>
          </w:tcPr>
          <w:p>
            <w:pPr>
              <w:pStyle w:val="TableContents"/>
              <w:bidi w:val="0"/>
              <w:spacing w:lineRule="auto" w:line="240" w:before="0" w:after="283"/>
              <w:jc w:val="center"/>
              <w:rPr>
                <w:color w:val="0046AD"/>
              </w:rPr>
            </w:pPr>
            <w:r>
              <w:rPr>
                <w:color w:val="0046AD"/>
              </w:rPr>
              <w:t> </w:t>
            </w:r>
            <w:r>
              <w:rPr>
                <w:rFonts w:ascii="Arial;sans-serif" w:hAnsi="Arial;sans-serif"/>
                <w:b/>
                <w:color w:val="0046AD"/>
                <w:sz w:val="20"/>
              </w:rPr>
              <w:t>REPORTABLE SEGMENTS AND DESCRIPTIONS</w:t>
            </w:r>
          </w:p>
        </w:tc>
      </w:tr>
      <w:tr>
        <w:trPr/>
        <w:tc>
          <w:tcPr>
            <w:tcW w:w="1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B&amp;I</w:t>
            </w:r>
          </w:p>
        </w:tc>
        <w:tc>
          <w:tcPr>
            <w:tcW w:w="8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120" w:after="283"/>
              <w:jc w:val="both"/>
              <w:rPr>
                <w:rFonts w:ascii="Arial;sans-serif" w:hAnsi="Arial;sans-serif"/>
                <w:b w:val="false"/>
                <w:color w:val="000000"/>
                <w:sz w:val="20"/>
              </w:rPr>
            </w:pPr>
            <w:r>
              <w:rPr>
                <w:rFonts w:ascii="Arial;sans-serif" w:hAnsi="Arial;sans-serif"/>
                <w:b w:val="false"/>
                <w:color w:val="000000"/>
                <w:sz w:val="20"/>
              </w:rPr>
              <w:t>B&amp;I, our largest reportable segment, encompasses janitorial, facilities engineering, and parking services for commercial real estate properties (including corporate offices for high tech clients), sports and entertainment venues, and traditional hospitals and non-acute healthcare facilities. B&amp;I also provides vehicle maintenance and other services to rental car providers.</w:t>
            </w:r>
          </w:p>
        </w:tc>
      </w:tr>
      <w:tr>
        <w:trPr/>
        <w:tc>
          <w:tcPr>
            <w:tcW w:w="1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M&amp;D</w:t>
            </w:r>
          </w:p>
        </w:tc>
        <w:tc>
          <w:tcPr>
            <w:tcW w:w="8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120" w:after="120"/>
              <w:jc w:val="both"/>
              <w:rPr>
                <w:rFonts w:ascii="Arial;sans-serif" w:hAnsi="Arial;sans-serif"/>
                <w:b w:val="false"/>
                <w:color w:val="000000"/>
                <w:sz w:val="20"/>
              </w:rPr>
            </w:pPr>
            <w:r>
              <w:rPr>
                <w:rFonts w:ascii="Arial;sans-serif" w:hAnsi="Arial;sans-serif"/>
                <w:b w:val="false"/>
                <w:color w:val="000000"/>
                <w:sz w:val="20"/>
              </w:rPr>
              <w:t xml:space="preserve">M&amp;D provides integrated facility services, engineering, janitorial, and other specialized services in different types of manufacturing, distribution, and data center facilities. Manufacturing facilities include traditional motor vehicles, electric vehicles, batteries, pharmaceuticals, steel, semiconductors, chemicals, and many others. Distribution facilities include e-commerce, cold storage, logistics, general warehousing, and others. </w:t>
            </w:r>
          </w:p>
        </w:tc>
      </w:tr>
      <w:tr>
        <w:trPr/>
        <w:tc>
          <w:tcPr>
            <w:tcW w:w="1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Education</w:t>
            </w:r>
          </w:p>
        </w:tc>
        <w:tc>
          <w:tcPr>
            <w:tcW w:w="8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120" w:after="120"/>
              <w:jc w:val="both"/>
              <w:rPr>
                <w:rFonts w:ascii="Arial;sans-serif" w:hAnsi="Arial;sans-serif"/>
                <w:b w:val="false"/>
                <w:color w:val="000000"/>
                <w:sz w:val="20"/>
              </w:rPr>
            </w:pPr>
            <w:r>
              <w:rPr>
                <w:rFonts w:ascii="Arial;sans-serif" w:hAnsi="Arial;sans-serif"/>
                <w:b w:val="false"/>
                <w:color w:val="000000"/>
                <w:sz w:val="20"/>
              </w:rPr>
              <w:t>Education delivers janitorial, custodial, landscaping and grounds, facilities engineering, and parking services for public school districts, private schools, colleges, and universities.</w:t>
            </w:r>
          </w:p>
        </w:tc>
      </w:tr>
      <w:tr>
        <w:trPr/>
        <w:tc>
          <w:tcPr>
            <w:tcW w:w="12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Aviation</w:t>
            </w:r>
          </w:p>
        </w:tc>
        <w:tc>
          <w:tcPr>
            <w:tcW w:w="8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120" w:after="120"/>
              <w:jc w:val="both"/>
              <w:rPr>
                <w:rFonts w:ascii="Arial;sans-serif" w:hAnsi="Arial;sans-serif"/>
                <w:b w:val="false"/>
                <w:color w:val="000000"/>
                <w:sz w:val="20"/>
              </w:rPr>
            </w:pPr>
            <w:r>
              <w:rPr>
                <w:rFonts w:ascii="Arial;sans-serif" w:hAnsi="Arial;sans-serif"/>
                <w:b w:val="false"/>
                <w:color w:val="000000"/>
                <w:sz w:val="20"/>
              </w:rPr>
              <w:t>Aviation supports airlines and airports with services ranging from parking and janitorial to passenger assistance, catering logistics, air cabin maintenance, and transportation.</w:t>
            </w:r>
          </w:p>
        </w:tc>
      </w:tr>
      <w:tr>
        <w:trPr/>
        <w:tc>
          <w:tcPr>
            <w:tcW w:w="12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Technical Solutions</w:t>
            </w:r>
          </w:p>
        </w:tc>
        <w:tc>
          <w:tcPr>
            <w:tcW w:w="895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120" w:after="120"/>
              <w:jc w:val="both"/>
              <w:rPr>
                <w:rFonts w:ascii="Arial;sans-serif" w:hAnsi="Arial;sans-serif"/>
                <w:b w:val="false"/>
                <w:color w:val="000000"/>
                <w:sz w:val="20"/>
              </w:rPr>
            </w:pPr>
            <w:r>
              <w:rPr>
                <w:rFonts w:ascii="Arial;sans-serif" w:hAnsi="Arial;sans-serif"/>
                <w:b w:val="false"/>
                <w:color w:val="000000"/>
                <w:sz w:val="20"/>
              </w:rPr>
              <w:t>Technical Solutions specializes in facility infrastructure, mechanical and electrical services, including EV power design, installation and maintenance, as well as microgrid systems installations. These services can also be leveraged for cross-selling across all of our industry groups, both domestically and internationally.</w:t>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actuarial adjustments to self-insurance reserves, and direct acquisition costs. Management does not review asset information by segment, therefore we do not present assets in this note. </w:t>
      </w:r>
    </w:p>
    <w:p>
      <w:pPr>
        <w:pStyle w:val="TextBody"/>
        <w:bidi w:val="0"/>
        <w:spacing w:before="24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60350"/>
                <wp:effectExtent l="0" t="0" r="0" b="0"/>
                <wp:wrapNone/>
                <wp:docPr id="96" name="Frame87"/>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i/>
          <w:color w:val="0046AD"/>
          <w:sz w:val="20"/>
        </w:rPr>
      </w:pPr>
      <w:r>
        <w:rPr>
          <w:rFonts w:ascii="Arial;sans-serif" w:hAnsi="Arial;sans-serif"/>
          <w:b/>
          <w:i/>
          <w:color w:val="0046AD"/>
          <w:sz w:val="20"/>
        </w:rPr>
        <w:t>Financial Information by Reportable Segment    </w:t>
      </w:r>
    </w:p>
    <w:tbl>
      <w:tblPr>
        <w:tblW w:w="10205" w:type="dxa"/>
        <w:jc w:val="left"/>
        <w:tblInd w:w="0" w:type="dxa"/>
        <w:tblLayout w:type="fixed"/>
        <w:tblCellMar>
          <w:top w:w="28" w:type="dxa"/>
          <w:left w:w="28" w:type="dxa"/>
          <w:bottom w:w="28" w:type="dxa"/>
          <w:right w:w="28" w:type="dxa"/>
        </w:tblCellMar>
      </w:tblPr>
      <w:tblGrid>
        <w:gridCol w:w="2227"/>
        <w:gridCol w:w="1932"/>
        <w:gridCol w:w="1952"/>
        <w:gridCol w:w="211"/>
        <w:gridCol w:w="811"/>
        <w:gridCol w:w="109"/>
        <w:gridCol w:w="109"/>
        <w:gridCol w:w="109"/>
        <w:gridCol w:w="109"/>
        <w:gridCol w:w="211"/>
        <w:gridCol w:w="811"/>
        <w:gridCol w:w="109"/>
        <w:gridCol w:w="109"/>
        <w:gridCol w:w="109"/>
        <w:gridCol w:w="109"/>
        <w:gridCol w:w="211"/>
        <w:gridCol w:w="811"/>
        <w:gridCol w:w="156"/>
      </w:tblGrid>
      <w:tr>
        <w:trPr/>
        <w:tc>
          <w:tcPr>
            <w:tcW w:w="2227"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r>
      <w:tr>
        <w:trPr/>
        <w:tc>
          <w:tcPr>
            <w:tcW w:w="6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61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113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 &amp; Industry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&amp; Distribution</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1,526.7 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1,363.1 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Education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Aviation</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925.7 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804.0 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651.1 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Technical Solutions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611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8,096.4 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7,806.6 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6,228.6 </w:t>
            </w:r>
          </w:p>
        </w:tc>
        <w:tc>
          <w:tcPr>
            <w:tcW w:w="1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profit</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 &amp; Industry</w:t>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315.6 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334.9 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285.9 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&amp; Distribution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Education</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Aviation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Technical Solutions</w:t>
            </w:r>
            <w:r>
              <w:rPr>
                <w:rFonts w:ascii="Arial;sans-serif" w:hAnsi="Arial;sans-serif"/>
                <w:b w:val="false"/>
                <w:color w:val="000000"/>
                <w:sz w:val="13"/>
              </w:rPr>
              <w:t>(1)</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Government Services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Corporate</w:t>
            </w:r>
            <w:r>
              <w:rPr>
                <w:rFonts w:ascii="Arial;sans-serif" w:hAnsi="Arial;sans-serif"/>
                <w:b w:val="false"/>
                <w:color w:val="000000"/>
                <w:sz w:val="13"/>
              </w:rPr>
              <w:t>(2) (3)</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(226.6)</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(284.5)</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(374.6)</w:t>
            </w:r>
          </w:p>
        </w:tc>
        <w:tc>
          <w:tcPr>
            <w:tcW w:w="156" w:type="dxa"/>
            <w:tcBorders/>
            <w:shd w:fill="DCE2E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 for income from unconsolidated affiliates, included in Aviation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11"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Adjustment for tax deductions for energy efficient government </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buildings, included in Technical Solutions</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unconsolidated affiliates</w:t>
            </w:r>
          </w:p>
        </w:tc>
        <w:tc>
          <w:tcPr>
            <w:tcW w:w="102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331.1 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310.0 </w:t>
            </w:r>
          </w:p>
        </w:tc>
        <w:tc>
          <w:tcPr>
            <w:tcW w:w="109"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179.8 </w:t>
            </w:r>
          </w:p>
        </w:tc>
        <w:tc>
          <w:tcPr>
            <w:tcW w:w="156" w:type="dxa"/>
            <w:tcBorders>
              <w:top w:val="single" w:sz="8" w:space="0" w:color="000000"/>
            </w:tcBorders>
            <w:shd w:fill="DCE2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Depreciation and amortization</w:t>
            </w:r>
          </w:p>
        </w:tc>
        <w:tc>
          <w:tcPr>
            <w:tcW w:w="113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 &amp; Industry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&amp; Distribution</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Education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Aviation</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Technical Solutions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611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56"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Reflects a $7.6 million gain on the sale of assets during the year ended October 31, 2022.</w:t>
      </w:r>
    </w:p>
    <w:p>
      <w:pPr>
        <w:pStyle w:val="TextBody"/>
        <w:bidi w:val="0"/>
        <w:spacing w:lineRule="auto" w:line="288" w:before="300" w:after="283"/>
        <w:jc w:val="both"/>
        <w:rPr/>
      </w:pPr>
      <w:r>
        <w:rPr>
          <w:rFonts w:ascii="Arial;sans-serif" w:hAnsi="Arial;sans-serif"/>
          <w:b w:val="false"/>
          <w:color w:val="000000"/>
          <w:sz w:val="12"/>
        </w:rPr>
        <w:t xml:space="preserve">(2) </w:t>
      </w:r>
      <w:r>
        <w:rPr>
          <w:rFonts w:ascii="Arial;sans-serif" w:hAnsi="Arial;sans-serif"/>
          <w:b w:val="false"/>
          <w:color w:val="000000"/>
          <w:sz w:val="18"/>
        </w:rPr>
        <w:t>Reflects adjustments to the fair value of the contingent consideration payable related to the RavenVolt Acquisition of $45.6 million and an employee retention credit totaling $24.0 million during the year ended October 31, 2023.</w:t>
      </w:r>
    </w:p>
    <w:p>
      <w:pPr>
        <w:pStyle w:val="TextBody"/>
        <w:bidi w:val="0"/>
        <w:spacing w:lineRule="auto" w:line="288" w:before="120" w:after="283"/>
        <w:jc w:val="both"/>
        <w:rPr/>
      </w:pPr>
      <w:r>
        <w:rPr>
          <w:rFonts w:ascii="Arial;sans-serif" w:hAnsi="Arial;sans-serif"/>
          <w:b w:val="false"/>
          <w:color w:val="000000"/>
          <w:sz w:val="12"/>
        </w:rPr>
        <w:t>(3)</w:t>
      </w:r>
      <w:r>
        <w:rPr>
          <w:color w:val="000000"/>
        </w:rPr>
        <w:t xml:space="preserve"> </w:t>
      </w:r>
      <w:r>
        <w:rPr>
          <w:rFonts w:ascii="Arial;sans-serif" w:hAnsi="Arial;sans-serif"/>
          <w:b w:val="false"/>
          <w:color w:val="000000"/>
          <w:sz w:val="18"/>
        </w:rPr>
        <w:t xml:space="preserve">Reflects accrued litigation settlement reserve totaling $142.9 million for the </w:t>
      </w:r>
      <w:r>
        <w:rPr>
          <w:rFonts w:ascii="Arial;sans-serif" w:hAnsi="Arial;sans-serif"/>
          <w:b w:val="false"/>
          <w:i/>
          <w:color w:val="000000"/>
          <w:sz w:val="18"/>
        </w:rPr>
        <w:t>Bucio</w:t>
      </w:r>
      <w:r>
        <w:rPr>
          <w:color w:val="000000"/>
        </w:rPr>
        <w:t xml:space="preserve"> </w:t>
      </w:r>
      <w:r>
        <w:rPr>
          <w:rFonts w:ascii="Arial;sans-serif" w:hAnsi="Arial;sans-serif"/>
          <w:b w:val="false"/>
          <w:color w:val="000000"/>
          <w:sz w:val="18"/>
        </w:rPr>
        <w:t>case during the year ended October 31, 2021.</w:t>
      </w:r>
    </w:p>
    <w:p>
      <w:pPr>
        <w:pStyle w:val="TextBody"/>
        <w:bidi w:val="0"/>
        <w:spacing w:lineRule="auto" w:line="288" w:before="240" w:after="283"/>
        <w:jc w:val="left"/>
        <w:rPr/>
      </w:pPr>
      <w:r>
        <w:rPr>
          <w:rFonts w:ascii="Arial;sans-serif" w:hAnsi="Arial;sans-serif"/>
          <w:b/>
          <w:color w:val="0046AD"/>
          <w:sz w:val="20"/>
        </w:rPr>
        <w:t>Geographic Information Based on the Country in Which the Sale Originated</w:t>
      </w:r>
      <w:r>
        <w:rPr>
          <w:rFonts w:ascii="Arial;sans-serif" w:hAnsi="Arial;sans-serif"/>
          <w:b w:val="false"/>
          <w:color w:val="0046AD"/>
          <w:sz w:val="12"/>
        </w:rPr>
        <w:t>(1)</w:t>
      </w:r>
    </w:p>
    <w:tbl>
      <w:tblPr>
        <w:tblW w:w="5787" w:type="dxa"/>
        <w:jc w:val="left"/>
        <w:tblInd w:w="0" w:type="dxa"/>
        <w:tblLayout w:type="fixed"/>
        <w:tblCellMar>
          <w:top w:w="28" w:type="dxa"/>
          <w:left w:w="28" w:type="dxa"/>
          <w:bottom w:w="28" w:type="dxa"/>
          <w:right w:w="28" w:type="dxa"/>
        </w:tblCellMar>
      </w:tblPr>
      <w:tblGrid>
        <w:gridCol w:w="613"/>
        <w:gridCol w:w="538"/>
        <w:gridCol w:w="544"/>
        <w:gridCol w:w="211"/>
        <w:gridCol w:w="811"/>
        <w:gridCol w:w="109"/>
        <w:gridCol w:w="109"/>
        <w:gridCol w:w="109"/>
        <w:gridCol w:w="109"/>
        <w:gridCol w:w="211"/>
        <w:gridCol w:w="811"/>
        <w:gridCol w:w="109"/>
        <w:gridCol w:w="109"/>
        <w:gridCol w:w="109"/>
        <w:gridCol w:w="109"/>
        <w:gridCol w:w="211"/>
        <w:gridCol w:w="81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Years Ended October 31,</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2021</w:t>
            </w:r>
          </w:p>
        </w:tc>
      </w:tr>
      <w:tr>
        <w:trPr/>
        <w:tc>
          <w:tcPr>
            <w:tcW w:w="169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113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CE2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 other countries</w:t>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530.8 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471.3 </w:t>
            </w:r>
          </w:p>
        </w:tc>
        <w:tc>
          <w:tcPr>
            <w:tcW w:w="10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380.8 </w:t>
            </w:r>
          </w:p>
        </w:tc>
        <w:tc>
          <w:tcPr>
            <w:tcW w:w="154"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pPr>
      <w:r>
        <w:rPr>
          <w:rFonts w:ascii="Arial;sans-serif" w:hAnsi="Arial;sans-serif"/>
          <w:b w:val="false"/>
          <w:color w:val="000000"/>
          <w:sz w:val="12"/>
        </w:rPr>
        <w:t xml:space="preserve">(1) </w:t>
      </w:r>
      <w:r>
        <w:rPr>
          <w:rFonts w:ascii="Arial;sans-serif" w:hAnsi="Arial;sans-serif"/>
          <w:b w:val="false"/>
          <w:color w:val="000000"/>
          <w:sz w:val="18"/>
        </w:rPr>
        <w:t>Substantially all of our long-lived assets are related to U.S.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60350"/>
                <wp:effectExtent l="0" t="0" r="0" b="0"/>
                <wp:wrapNone/>
                <wp:docPr id="97" name="Frame88"/>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18. SUBSEQUENT EVENTS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E983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Share Repurchase Program</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Effective December 18, 2019, our Board of Directors replaced our then-existing share repurchase program with a new share repurchase program under which we may repurchase up to $150.0 million of our common stock. Effective December 9, 2022, and December 13, 2023, our Board of Directors expanded the Share Repurchase Program by $150.0 million and $150.0 million, respectively. Repurchases of our common stock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and share availability. Repurchased shares are retired and returned to an authorized but unissued status. The Share Repurchase Program may be suspended or discontinued at any time without prior notice. At December 13, 2023, authorization for $210.3 million of repurchases remained under the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60350"/>
                <wp:effectExtent l="0" t="0" r="0" b="0"/>
                <wp:wrapNone/>
                <wp:docPr id="98" name="Frame89"/>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9. CHANGES IN AND DISAGREEMENTS WITH ACCOUNTANTS ON ACCOUNTING AND FINANCIAL DISCLOSURE.</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9A. CONTROLS AND PROCEDURES.</w:t>
      </w:r>
    </w:p>
    <w:p>
      <w:pPr>
        <w:pStyle w:val="TextBody"/>
        <w:bidi w:val="0"/>
        <w:spacing w:lineRule="auto" w:line="288" w:before="180" w:after="283"/>
        <w:jc w:val="both"/>
        <w:rPr/>
      </w:pPr>
      <w:r>
        <w:rPr>
          <w:rFonts w:ascii="Arial;sans-serif" w:hAnsi="Arial;sans-serif"/>
          <w:b/>
          <w:color w:val="0046AD"/>
          <w:sz w:val="20"/>
        </w:rPr>
        <w:t>a.</w:t>
      </w:r>
      <w:r>
        <w:rPr>
          <w:color w:val="0046AD"/>
        </w:rPr>
        <w:t xml:space="preserve"> </w:t>
      </w:r>
      <w:r>
        <w:rPr>
          <w:rFonts w:ascii="Arial;sans-serif" w:hAnsi="Arial;sans-serif"/>
          <w:b/>
          <w:color w:val="0046AD"/>
          <w:sz w:val="20"/>
        </w:rPr>
        <w:t>Disclosure Controls and Procedures.</w:t>
      </w:r>
      <w:r>
        <w:rPr>
          <w:color w:val="0046AD"/>
        </w:rPr>
        <w:t xml:space="preserve">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 </w:t>
      </w:r>
    </w:p>
    <w:p>
      <w:pPr>
        <w:pStyle w:val="TextBody"/>
        <w:bidi w:val="0"/>
        <w:spacing w:lineRule="auto" w:line="288" w:before="180" w:after="283"/>
        <w:jc w:val="both"/>
        <w:rPr/>
      </w:pPr>
      <w:r>
        <w:rPr>
          <w:rFonts w:ascii="Arial;sans-serif" w:hAnsi="Arial;sans-serif"/>
          <w:b/>
          <w:color w:val="0046AD"/>
          <w:sz w:val="20"/>
        </w:rPr>
        <w:t>b. Management’s Report on Internal Control Over Financial Reporting.</w:t>
      </w:r>
      <w:r>
        <w:rPr>
          <w:color w:val="0046AD"/>
        </w:rPr>
        <w:t xml:space="preserve">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financial reporting, as such term is defined in Rules 13a-15(f) and 15d-15(f) of the Exchange Act. Under the supervision and with the participation of our management, including our Principal Executive Officer and Principal Financial Officer, we conducted an evaluation of the effectiveness of our internal control over financial reporting based upon the framework in Internal Control – Integrated Framework (2013), issued by the Committee of Sponsoring Organizations of the Treadway Commission. Based on that evaluation, our management concluded that our internal control over financial reporting was effective as of October 31, 2023.</w:t>
      </w:r>
    </w:p>
    <w:p>
      <w:pPr>
        <w:pStyle w:val="TextBody"/>
        <w:bidi w:val="0"/>
        <w:spacing w:lineRule="auto" w:line="288" w:before="180" w:after="283"/>
        <w:jc w:val="both"/>
        <w:rPr>
          <w:rFonts w:ascii="Arial;sans-serif" w:hAnsi="Arial;sans-serif"/>
          <w:b/>
          <w:i/>
          <w:color w:val="0046AD"/>
          <w:sz w:val="20"/>
        </w:rPr>
      </w:pPr>
      <w:r>
        <w:rPr>
          <w:rFonts w:ascii="Arial;sans-serif" w:hAnsi="Arial;sans-serif"/>
          <w:b/>
          <w:i/>
          <w:color w:val="0046AD"/>
          <w:sz w:val="20"/>
        </w:rPr>
        <w:t>Audit Report on Internal Controls Over Financial Reporting of the Registered Public Accounting Firm</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KPMG LLP, an independent registered public accounting firm, has audited the consolidated financial statements included in this Annual Report on Form 10-K and, as part of their audit, has issued their report, included herein, on the effectiveness of our internal control over financial reporting.</w:t>
      </w:r>
    </w:p>
    <w:p>
      <w:pPr>
        <w:pStyle w:val="TextBody"/>
        <w:bidi w:val="0"/>
        <w:spacing w:lineRule="auto" w:line="288" w:before="180" w:after="283"/>
        <w:jc w:val="both"/>
        <w:rPr/>
      </w:pPr>
      <w:r>
        <w:rPr>
          <w:rFonts w:ascii="Arial;sans-serif" w:hAnsi="Arial;sans-serif"/>
          <w:b/>
          <w:color w:val="0046AD"/>
          <w:sz w:val="20"/>
        </w:rPr>
        <w:t>c. Changes in Internal Control Over Financial Reporting.</w:t>
      </w:r>
      <w:r>
        <w:rPr>
          <w:color w:val="0046AD"/>
        </w:rPr>
        <w:t xml:space="preserve">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 support the growth of our financial shared service capabilities and standardize our financial systems, we continue to update several key platforms, including our HR information systems, enterprise resource planning system, and labor management system. The implementation of several key platforms involves changes in the systems that include internal controls. During the year ended October, 31 2023, we had a change in our internal control over financial reporting as a result of our implementation of a new ERP for the Education industry group that has materially affected, or is reasonably likely to materially affect, our internal control over financial reporting. The new ERP system for the Education industry group replaced our legacy system in which a significant portion of our business transactions originate, are processed, and recorded. The rest of our industry groups will transition to our new ERP system over the next several years. Our new ERP system is intended to provide us with enhanced transactional processing and management tools compared with our legacy system and is intended to enhance internal controls over financial reporting. We believe our new ERP system will facilitate better transactional reporting and oversight, enhance our internal control over financial reporting, and function as an important component of our disclosure controls and procedures. Although some of the transitions have proceeded to date without material adverse effects, the possibility exists that they could adversely affect our internal controls over financial reporting and procedures. </w:t>
      </w:r>
    </w:p>
    <w:p>
      <w:pPr>
        <w:pStyle w:val="TextBody"/>
        <w:bidi w:val="0"/>
        <w:spacing w:lineRule="auto" w:line="288" w:before="180" w:after="180"/>
        <w:ind w:left="0" w:right="0" w:firstLine="720"/>
        <w:jc w:val="both"/>
        <w:rPr>
          <w:rFonts w:ascii="Arial;sans-serif" w:hAnsi="Arial;sans-serif"/>
          <w:b w:val="false"/>
          <w:color w:val="000000"/>
          <w:sz w:val="20"/>
        </w:rPr>
      </w:pPr>
      <w:r>
        <w:rPr>
          <w:rFonts w:ascii="Arial;sans-serif" w:hAnsi="Arial;sans-serif"/>
          <w:b w:val="false"/>
          <w:color w:val="000000"/>
          <w:sz w:val="20"/>
        </w:rPr>
        <w:t>Other than the change of our ERP system for the Education industry group, there have been no other changes in our internal control over financial reporting during the fiscal year 2023 identified in connection with the evaluation required by Rules 13a-15(d) and 15d-15(d) of the Exchange Act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60350"/>
                <wp:effectExtent l="0" t="0" r="0" b="0"/>
                <wp:wrapNone/>
                <wp:docPr id="99" name="Frame90"/>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9B. OTHER INFORMATION.</w:t>
      </w:r>
    </w:p>
    <w:p>
      <w:pPr>
        <w:pStyle w:val="TextBody"/>
        <w:bidi w:val="0"/>
        <w:spacing w:before="180" w:after="283"/>
        <w:jc w:val="left"/>
        <w:rPr/>
      </w:pPr>
      <w:r>
        <w:rPr/>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60350"/>
                <wp:effectExtent l="0" t="0" r="0" b="0"/>
                <wp:wrapNone/>
                <wp:docPr id="100" name="Frame91"/>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center"/>
        <w:rPr>
          <w:rFonts w:ascii="Arial;sans-serif" w:hAnsi="Arial;sans-serif"/>
          <w:b/>
          <w:color w:val="0046AD"/>
          <w:sz w:val="20"/>
        </w:rPr>
      </w:pPr>
      <w:r>
        <w:rPr>
          <w:rFonts w:ascii="Arial;sans-serif" w:hAnsi="Arial;sans-serif"/>
          <w:b/>
          <w:color w:val="0046AD"/>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10. DIRECTORS, EXECUTIVE OFFICERS, AND CORPORATE GOVERNANCE.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Information about our executive officers is found in Part I, Item 1, of this Annual Report on Form 10-K under “Executive Officers of Registrant.” Additional information required by this Item will be set forth under the captions “Proposal No. 1—Election of Directors,” “Corporate Governance and Board Matters,” and “Audit-Related Matters” in our Definitive Proxy Statement for our 2024 Annual Meeting of Stockholders (the “2024 Proxy Statement”). Such information is incorporated herein by reference. Our 2024 Proxy Statement will be filed with the Securities and Exchange Commission within 120 days after the conclusion of our fiscal year ended October 31, 2023.</w:t>
      </w:r>
    </w:p>
    <w:p>
      <w:pPr>
        <w:pStyle w:val="TextBody"/>
        <w:bidi w:val="0"/>
        <w:spacing w:lineRule="auto" w:line="288" w:before="180" w:after="283"/>
        <w:ind w:left="0" w:right="0" w:firstLine="720"/>
        <w:jc w:val="both"/>
        <w:rPr/>
      </w:pPr>
      <w:r>
        <w:rPr>
          <w:rFonts w:ascii="Arial;sans-serif" w:hAnsi="Arial;sans-serif"/>
          <w:b w:val="false"/>
          <w:color w:val="000000"/>
          <w:sz w:val="20"/>
        </w:rPr>
        <w:t>O</w:t>
      </w:r>
      <w:r>
        <w:rPr>
          <w:rFonts w:ascii="Arial;sans-serif" w:hAnsi="Arial;sans-serif"/>
          <w:b w:val="false"/>
          <w:color w:val="000000"/>
          <w:sz w:val="20"/>
          <w:shd w:fill="FFFFFF" w:val="clear"/>
        </w:rPr>
        <w:t>n</w:t>
      </w:r>
      <w:r>
        <w:rPr>
          <w:color w:val="000000"/>
        </w:rPr>
        <w:t xml:space="preserve"> </w:t>
      </w:r>
      <w:r>
        <w:rPr>
          <w:rFonts w:ascii="Arial;sans-serif" w:hAnsi="Arial;sans-serif"/>
          <w:b w:val="false"/>
          <w:color w:val="000000"/>
          <w:sz w:val="20"/>
        </w:rPr>
        <w:t>March 29, 2023, we filed our Annual CEO Certification as required by Section 303A.12 of the NYSE Listed Company Manual.</w:t>
      </w:r>
    </w:p>
    <w:p>
      <w:pPr>
        <w:pStyle w:val="TextBody"/>
        <w:bidi w:val="0"/>
        <w:spacing w:lineRule="auto" w:line="288" w:before="180" w:after="283"/>
        <w:jc w:val="both"/>
        <w:rPr>
          <w:rFonts w:ascii="Arial;sans-serif" w:hAnsi="Arial;sans-serif"/>
          <w:b/>
          <w:color w:val="0046AD"/>
          <w:sz w:val="20"/>
        </w:rPr>
      </w:pPr>
      <w:r>
        <w:rPr>
          <w:rFonts w:ascii="Arial;sans-serif" w:hAnsi="Arial;sans-serif"/>
          <w:b/>
          <w:color w:val="0046AD"/>
          <w:sz w:val="20"/>
        </w:rPr>
        <w:t>Code of Business Conduct</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adopted and posted on our website (www.abm.com) the ABM Code of Business Conduct. Our Code of Business Conduct qualifies as a “code of ethics” within the meaning of Item 406 of Regulation S-K. Our Code of Business Conduct applies to all of our directors, officers, and employees, including our Principal Executive Officer, Principal Financial Officer, and Principal Accounting Officer. If any amendments are made to the Code of Business Conduct or if any waiver, including any implicit waiver, from a provision of the Code of Business Conduct is granted to our Principal Executive Officer, Principal Financial Officer, or Principal Accounting Officer, we will disclose the nature of such amendment or waiver on our website at the address specified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11. EXECUTIVE COMPENSATION.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Information with respect to executive compensation required by this Item will be set forth under the captions “Director Compensation for Fiscal Year 2023,” “Executive Compensation,” and “Corporate Governance and Board Matters—Compensation Committee Interlocks and Insider Participation” in our 2024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12. SECURITY OWNERSHIP OF CERTAIN BENEFICIAL OWNERS AND MANAGEMENT AND RELATED STOCKHOLDER MATTERS.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Information with respect to security ownership of certain beneficial owners and management and equity compensation plan information and related stockholder matters required by this Item will be set forth under the captions “General Information—Security Ownership of Certain Beneficial Owners,” “General Information—Security Ownership of Directors and Executive Officers,” and “General Information—Equity Compensation Plan Information” in our 2024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13. CERTAIN RELATIONSHIPS AND RELATED TRANSACTIONS, AND DIRECTOR INDEPENDENCE.</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Information with respect to certain relationships and related transactions and with respect to director independence required by this Item will be set forth under the captions “General Information—Certain Relationships and Transactions with Related Persons” and “Corporate Governance and Board Matters” in our 2024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14. PRINCIPAL ACCOUNTING FEES AND SERVICES.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Information with respect to our Audit Committee’s pre-approval policy for audit services performed by KPMG LLP (PCAOB ID 185) and our principal accounting fees and services required by this Item will be set forth under the caption “Audit-Related Matters” in our 2024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60350"/>
                <wp:effectExtent l="0" t="0" r="0" b="0"/>
                <wp:wrapNone/>
                <wp:docPr id="101" name="Frame92"/>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center"/>
        <w:rPr/>
      </w:pPr>
      <w:r>
        <w:rPr>
          <w:rFonts w:ascii="Arial;sans-serif" w:hAnsi="Arial;sans-serif"/>
          <w:b/>
          <w:color w:val="0046AD"/>
          <w:sz w:val="20"/>
        </w:rPr>
        <w:t>PART IV</w:t>
      </w:r>
      <w:r>
        <w:rPr>
          <w:color w:val="0046AD"/>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6AD"/>
          <w:sz w:val="20"/>
        </w:rPr>
      </w:pPr>
      <w:r>
        <w:rPr>
          <w:rFonts w:ascii="Arial;sans-serif" w:hAnsi="Arial;sans-serif"/>
          <w:b/>
          <w:color w:val="0046AD"/>
          <w:sz w:val="20"/>
        </w:rPr>
        <w:t>ITEM 15. EXHIBITS, FINANCIAL STATEMENT SCHEDULES.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(a)The following documents are filed as part of this report:</w:t>
      </w:r>
    </w:p>
    <w:tbl>
      <w:tblPr>
        <w:tblW w:w="9837" w:type="dxa"/>
        <w:jc w:val="left"/>
        <w:tblInd w:w="0" w:type="dxa"/>
        <w:tblLayout w:type="fixed"/>
        <w:tblCellMar>
          <w:top w:w="28" w:type="dxa"/>
          <w:left w:w="28" w:type="dxa"/>
          <w:bottom w:w="28" w:type="dxa"/>
          <w:right w:w="28" w:type="dxa"/>
        </w:tblCellMar>
      </w:tblPr>
      <w:tblGrid>
        <w:gridCol w:w="3426"/>
        <w:gridCol w:w="3013"/>
        <w:gridCol w:w="3026"/>
        <w:gridCol w:w="109"/>
        <w:gridCol w:w="109"/>
        <w:gridCol w:w="154"/>
      </w:tblGrid>
      <w:tr>
        <w:trPr/>
        <w:tc>
          <w:tcPr>
            <w:tcW w:w="3426"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5"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1</w:t>
            </w:r>
            <w:r>
              <w:rPr>
                <w:rFonts w:ascii="Arial;sans-serif" w:hAnsi="Arial;sans-serif"/>
                <w:b w:val="false"/>
                <w:i/>
                <w:color w:val="000000"/>
                <w:sz w:val="19"/>
              </w:rPr>
              <w:t xml:space="preserve">. </w:t>
            </w:r>
            <w:r>
              <w:rPr>
                <w:rFonts w:ascii="Arial;sans-serif" w:hAnsi="Arial;sans-serif"/>
                <w:b/>
                <w:i/>
                <w:color w:val="000000"/>
                <w:sz w:val="19"/>
              </w:rPr>
              <w:t>Financial Statements</w:t>
            </w:r>
            <w:r>
              <w:rPr>
                <w:rFonts w:ascii="Arial;sans-serif" w:hAnsi="Arial;sans-serif"/>
                <w:b w:val="false"/>
                <w:i/>
                <w:color w:val="000000"/>
                <w:sz w:val="19"/>
              </w:rPr>
              <w:t xml:space="preserve">: </w:t>
            </w:r>
            <w:r>
              <w:rPr>
                <w:rFonts w:ascii="Arial;sans-serif" w:hAnsi="Arial;sans-serif"/>
                <w:b/>
                <w:i/>
                <w:color w:val="000000"/>
                <w:sz w:val="19"/>
              </w:rPr>
              <w:t>Index to Consolidated Financial Statements</w:t>
            </w:r>
          </w:p>
        </w:tc>
        <w:tc>
          <w:tcPr>
            <w:tcW w:w="37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79">
              <w:r>
                <w:rPr>
                  <w:rStyle w:val="InternetLink"/>
                  <w:rFonts w:ascii="Arial;sans-serif" w:hAnsi="Arial;sans-serif"/>
                  <w:b w:val="false"/>
                  <w:strike w:val="false"/>
                  <w:dstrike w:val="false"/>
                  <w:color w:val="0000FF"/>
                  <w:sz w:val="19"/>
                  <w:u w:val="none"/>
                  <w:effect w:val="none"/>
                </w:rPr>
                <w:t>Report of Independent Registered Public Accounting Firm</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79">
              <w:r>
                <w:rPr>
                  <w:rStyle w:val="InternetLink"/>
                  <w:rFonts w:ascii="Arial;sans-serif" w:hAnsi="Arial;sans-serif"/>
                  <w:b w:val="false"/>
                  <w:color w:val="0000FF"/>
                  <w:sz w:val="19"/>
                  <w:u w:val="single"/>
                </w:rPr>
                <w:t>39</w:t>
              </w:r>
            </w:hyperlink>
          </w:p>
        </w:tc>
      </w:tr>
      <w:tr>
        <w:trPr/>
        <w:tc>
          <w:tcPr>
            <w:tcW w:w="9465"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82">
              <w:r>
                <w:rPr>
                  <w:rStyle w:val="InternetLink"/>
                  <w:rFonts w:ascii="Arial;sans-serif" w:hAnsi="Arial;sans-serif"/>
                  <w:b w:val="false"/>
                  <w:strike w:val="false"/>
                  <w:dstrike w:val="false"/>
                  <w:color w:val="000080"/>
                  <w:sz w:val="19"/>
                  <w:u w:val="single"/>
                  <w:effect w:val="none"/>
                </w:rPr>
                <w:t>Consolidated Balance Sheets at October 31, 20</w:t>
              </w:r>
            </w:hyperlink>
            <w:hyperlink w:anchor="ic200b63e1e39483a9921aa57a67e426d_82">
              <w:r>
                <w:rPr>
                  <w:rStyle w:val="InternetLink"/>
                  <w:rFonts w:ascii="Arial;sans-serif" w:hAnsi="Arial;sans-serif"/>
                  <w:b w:val="false"/>
                  <w:strike w:val="false"/>
                  <w:dstrike w:val="false"/>
                  <w:color w:val="000080"/>
                  <w:sz w:val="19"/>
                  <w:u w:val="single"/>
                  <w:effect w:val="none"/>
                </w:rPr>
                <w:t>2</w:t>
              </w:r>
            </w:hyperlink>
            <w:hyperlink w:anchor="ic200b63e1e39483a9921aa57a67e426d_82">
              <w:r>
                <w:rPr>
                  <w:rStyle w:val="InternetLink"/>
                  <w:rFonts w:ascii="Arial;sans-serif" w:hAnsi="Arial;sans-serif"/>
                  <w:b w:val="false"/>
                  <w:strike w:val="false"/>
                  <w:dstrike w:val="false"/>
                  <w:color w:val="000080"/>
                  <w:sz w:val="19"/>
                  <w:u w:val="single"/>
                  <w:effect w:val="none"/>
                </w:rPr>
                <w:t>3</w:t>
              </w:r>
            </w:hyperlink>
            <w:hyperlink w:anchor="ic200b63e1e39483a9921aa57a67e426d_82">
              <w:r>
                <w:rPr>
                  <w:rStyle w:val="InternetLink"/>
                  <w:rFonts w:ascii="Arial;sans-serif" w:hAnsi="Arial;sans-serif"/>
                  <w:b w:val="false"/>
                  <w:strike w:val="false"/>
                  <w:dstrike w:val="false"/>
                  <w:color w:val="000080"/>
                  <w:sz w:val="19"/>
                  <w:u w:val="single"/>
                  <w:effect w:val="none"/>
                </w:rPr>
                <w:t xml:space="preserve"> and </w:t>
              </w:r>
            </w:hyperlink>
            <w:hyperlink w:anchor="ic200b63e1e39483a9921aa57a67e426d_82">
              <w:r>
                <w:rPr>
                  <w:rStyle w:val="InternetLink"/>
                  <w:rFonts w:ascii="Arial;sans-serif" w:hAnsi="Arial;sans-serif"/>
                  <w:b w:val="false"/>
                  <w:strike w:val="false"/>
                  <w:dstrike w:val="false"/>
                  <w:color w:val="3051F2"/>
                  <w:sz w:val="19"/>
                  <w:u w:val="none"/>
                  <w:effect w:val="none"/>
                </w:rPr>
                <w:t>20</w:t>
              </w:r>
            </w:hyperlink>
            <w:r>
              <w:rPr>
                <w:rFonts w:ascii="Arial;sans-serif" w:hAnsi="Arial;sans-serif"/>
                <w:b w:val="false"/>
                <w:color w:val="3051F2"/>
                <w:sz w:val="19"/>
              </w:rPr>
              <w:t>22</w:t>
            </w:r>
          </w:p>
        </w:tc>
        <w:tc>
          <w:tcPr>
            <w:tcW w:w="372"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82">
              <w:r>
                <w:rPr>
                  <w:rStyle w:val="InternetLink"/>
                  <w:rFonts w:ascii="Arial;sans-serif" w:hAnsi="Arial;sans-serif"/>
                  <w:b w:val="false"/>
                  <w:color w:val="0000FF"/>
                  <w:sz w:val="19"/>
                  <w:u w:val="single"/>
                </w:rPr>
                <w:t>43</w:t>
              </w:r>
            </w:hyperlink>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85">
              <w:r>
                <w:rPr>
                  <w:rStyle w:val="InternetLink"/>
                  <w:rFonts w:ascii="Arial;sans-serif" w:hAnsi="Arial;sans-serif"/>
                  <w:b w:val="false"/>
                  <w:color w:val="000080"/>
                  <w:sz w:val="19"/>
                  <w:u w:val="single"/>
                </w:rPr>
                <w:t>Consolidated Statements of Comprehensive Income</w:t>
              </w:r>
            </w:hyperlink>
            <w:hyperlink w:anchor="ic200b63e1e39483a9921aa57a67e426d_85">
              <w:r>
                <w:rPr>
                  <w:rStyle w:val="InternetLink"/>
                  <w:rFonts w:ascii="Arial;sans-serif" w:hAnsi="Arial;sans-serif"/>
                  <w:b w:val="false"/>
                  <w:color w:val="000080"/>
                  <w:sz w:val="19"/>
                  <w:u w:val="single"/>
                </w:rPr>
                <w:t xml:space="preserve"> for the Years Ended October 31, 202</w:t>
              </w:r>
            </w:hyperlink>
            <w:hyperlink w:anchor="ic200b63e1e39483a9921aa57a67e426d_85">
              <w:r>
                <w:rPr>
                  <w:rStyle w:val="InternetLink"/>
                  <w:rFonts w:ascii="Arial;sans-serif" w:hAnsi="Arial;sans-serif"/>
                  <w:b w:val="false"/>
                  <w:color w:val="000080"/>
                  <w:sz w:val="19"/>
                  <w:u w:val="single"/>
                </w:rPr>
                <w:t>3</w:t>
              </w:r>
            </w:hyperlink>
            <w:hyperlink w:anchor="ic200b63e1e39483a9921aa57a67e426d_85">
              <w:r>
                <w:rPr>
                  <w:rStyle w:val="InternetLink"/>
                  <w:rFonts w:ascii="Arial;sans-serif" w:hAnsi="Arial;sans-serif"/>
                  <w:b w:val="false"/>
                  <w:color w:val="000080"/>
                  <w:sz w:val="19"/>
                  <w:u w:val="single"/>
                </w:rPr>
                <w:t>, 202</w:t>
              </w:r>
            </w:hyperlink>
            <w:hyperlink w:anchor="ic200b63e1e39483a9921aa57a67e426d_85">
              <w:r>
                <w:rPr>
                  <w:rStyle w:val="InternetLink"/>
                  <w:rFonts w:ascii="Arial;sans-serif" w:hAnsi="Arial;sans-serif"/>
                  <w:b w:val="false"/>
                  <w:color w:val="000080"/>
                  <w:sz w:val="19"/>
                  <w:u w:val="single"/>
                </w:rPr>
                <w:t>2</w:t>
              </w:r>
            </w:hyperlink>
            <w:hyperlink w:anchor="ic200b63e1e39483a9921aa57a67e426d_85">
              <w:r>
                <w:rPr>
                  <w:rStyle w:val="InternetLink"/>
                  <w:rFonts w:ascii="Arial;sans-serif" w:hAnsi="Arial;sans-serif"/>
                  <w:b w:val="false"/>
                  <w:color w:val="000080"/>
                  <w:sz w:val="19"/>
                  <w:u w:val="single"/>
                </w:rPr>
                <w:t>, and 202</w:t>
              </w:r>
            </w:hyperlink>
            <w:hyperlink w:anchor="ic200b63e1e39483a9921aa57a67e426d_85">
              <w:r>
                <w:rPr>
                  <w:rStyle w:val="InternetLink"/>
                  <w:rFonts w:ascii="Arial;sans-serif" w:hAnsi="Arial;sans-serif"/>
                  <w:b w:val="false"/>
                  <w:color w:val="000080"/>
                  <w:sz w:val="19"/>
                  <w:u w:val="single"/>
                </w:rPr>
                <w:t>1</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85">
              <w:r>
                <w:rPr>
                  <w:rStyle w:val="InternetLink"/>
                  <w:rFonts w:ascii="Arial;sans-serif" w:hAnsi="Arial;sans-serif"/>
                  <w:b w:val="false"/>
                  <w:color w:val="0000FF"/>
                  <w:sz w:val="19"/>
                  <w:u w:val="single"/>
                </w:rPr>
                <w:t>44</w:t>
              </w:r>
            </w:hyperlink>
          </w:p>
        </w:tc>
      </w:tr>
      <w:tr>
        <w:trPr/>
        <w:tc>
          <w:tcPr>
            <w:tcW w:w="9465"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88">
              <w:r>
                <w:rPr>
                  <w:rStyle w:val="InternetLink"/>
                  <w:rFonts w:ascii="Arial;sans-serif" w:hAnsi="Arial;sans-serif"/>
                  <w:b w:val="false"/>
                  <w:color w:val="000080"/>
                  <w:sz w:val="19"/>
                  <w:u w:val="single"/>
                </w:rPr>
                <w:t>Consolidated Statements of Stockholders’ Equity for the Years Ended October 31, 202</w:t>
              </w:r>
            </w:hyperlink>
            <w:hyperlink w:anchor="ic200b63e1e39483a9921aa57a67e426d_88">
              <w:r>
                <w:rPr>
                  <w:rStyle w:val="InternetLink"/>
                  <w:rFonts w:ascii="Arial;sans-serif" w:hAnsi="Arial;sans-serif"/>
                  <w:b w:val="false"/>
                  <w:color w:val="000080"/>
                  <w:sz w:val="19"/>
                  <w:u w:val="single"/>
                </w:rPr>
                <w:t>3</w:t>
              </w:r>
            </w:hyperlink>
            <w:hyperlink w:anchor="ic200b63e1e39483a9921aa57a67e426d_88">
              <w:r>
                <w:rPr>
                  <w:rStyle w:val="InternetLink"/>
                  <w:rFonts w:ascii="Arial;sans-serif" w:hAnsi="Arial;sans-serif"/>
                  <w:b w:val="false"/>
                  <w:color w:val="000080"/>
                  <w:sz w:val="19"/>
                  <w:u w:val="single"/>
                </w:rPr>
                <w:t>, 202</w:t>
              </w:r>
            </w:hyperlink>
            <w:hyperlink w:anchor="ic200b63e1e39483a9921aa57a67e426d_88">
              <w:r>
                <w:rPr>
                  <w:rStyle w:val="InternetLink"/>
                  <w:rFonts w:ascii="Arial;sans-serif" w:hAnsi="Arial;sans-serif"/>
                  <w:b w:val="false"/>
                  <w:color w:val="000080"/>
                  <w:sz w:val="19"/>
                  <w:u w:val="single"/>
                </w:rPr>
                <w:t>2</w:t>
              </w:r>
            </w:hyperlink>
            <w:hyperlink w:anchor="ic200b63e1e39483a9921aa57a67e426d_88">
              <w:r>
                <w:rPr>
                  <w:rStyle w:val="InternetLink"/>
                  <w:rFonts w:ascii="Arial;sans-serif" w:hAnsi="Arial;sans-serif"/>
                  <w:b w:val="false"/>
                  <w:color w:val="000080"/>
                  <w:sz w:val="19"/>
                  <w:u w:val="single"/>
                </w:rPr>
                <w:t>, and 202</w:t>
              </w:r>
            </w:hyperlink>
            <w:hyperlink w:anchor="ic200b63e1e39483a9921aa57a67e426d_88">
              <w:r>
                <w:rPr>
                  <w:rStyle w:val="InternetLink"/>
                  <w:rFonts w:ascii="Arial;sans-serif" w:hAnsi="Arial;sans-serif"/>
                  <w:b w:val="false"/>
                  <w:color w:val="000080"/>
                  <w:sz w:val="19"/>
                  <w:u w:val="single"/>
                </w:rPr>
                <w:t>1</w:t>
              </w:r>
            </w:hyperlink>
          </w:p>
        </w:tc>
        <w:tc>
          <w:tcPr>
            <w:tcW w:w="372"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88">
              <w:r>
                <w:rPr>
                  <w:rStyle w:val="InternetLink"/>
                  <w:rFonts w:ascii="Arial;sans-serif" w:hAnsi="Arial;sans-serif"/>
                  <w:b w:val="false"/>
                  <w:color w:val="0000FF"/>
                  <w:sz w:val="19"/>
                  <w:u w:val="single"/>
                </w:rPr>
                <w:t>45</w:t>
              </w:r>
            </w:hyperlink>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91">
              <w:r>
                <w:rPr>
                  <w:rStyle w:val="InternetLink"/>
                  <w:rFonts w:ascii="Arial;sans-serif" w:hAnsi="Arial;sans-serif"/>
                  <w:b w:val="false"/>
                  <w:color w:val="000080"/>
                  <w:sz w:val="19"/>
                  <w:u w:val="single"/>
                </w:rPr>
                <w:t>Consolidated Statements of Cash Flows for the Years Ended October 31, 202</w:t>
              </w:r>
            </w:hyperlink>
            <w:hyperlink w:anchor="ic200b63e1e39483a9921aa57a67e426d_91">
              <w:r>
                <w:rPr>
                  <w:rStyle w:val="InternetLink"/>
                  <w:rFonts w:ascii="Arial;sans-serif" w:hAnsi="Arial;sans-serif"/>
                  <w:b w:val="false"/>
                  <w:color w:val="000080"/>
                  <w:sz w:val="19"/>
                  <w:u w:val="single"/>
                </w:rPr>
                <w:t>3</w:t>
              </w:r>
            </w:hyperlink>
            <w:hyperlink w:anchor="ic200b63e1e39483a9921aa57a67e426d_91">
              <w:r>
                <w:rPr>
                  <w:rStyle w:val="InternetLink"/>
                  <w:rFonts w:ascii="Arial;sans-serif" w:hAnsi="Arial;sans-serif"/>
                  <w:b w:val="false"/>
                  <w:color w:val="000080"/>
                  <w:sz w:val="19"/>
                  <w:u w:val="single"/>
                </w:rPr>
                <w:t>, 202</w:t>
              </w:r>
            </w:hyperlink>
            <w:hyperlink w:anchor="ic200b63e1e39483a9921aa57a67e426d_91">
              <w:r>
                <w:rPr>
                  <w:rStyle w:val="InternetLink"/>
                  <w:rFonts w:ascii="Arial;sans-serif" w:hAnsi="Arial;sans-serif"/>
                  <w:b w:val="false"/>
                  <w:color w:val="000080"/>
                  <w:sz w:val="19"/>
                  <w:u w:val="single"/>
                </w:rPr>
                <w:t>2</w:t>
              </w:r>
            </w:hyperlink>
            <w:hyperlink w:anchor="ic200b63e1e39483a9921aa57a67e426d_91">
              <w:r>
                <w:rPr>
                  <w:rStyle w:val="InternetLink"/>
                  <w:rFonts w:ascii="Arial;sans-serif" w:hAnsi="Arial;sans-serif"/>
                  <w:b w:val="false"/>
                  <w:color w:val="000080"/>
                  <w:sz w:val="19"/>
                  <w:u w:val="single"/>
                </w:rPr>
                <w:t>, and 202</w:t>
              </w:r>
            </w:hyperlink>
            <w:hyperlink w:anchor="ic200b63e1e39483a9921aa57a67e426d_91">
              <w:r>
                <w:rPr>
                  <w:rStyle w:val="InternetLink"/>
                  <w:rFonts w:ascii="Arial;sans-serif" w:hAnsi="Arial;sans-serif"/>
                  <w:b w:val="false"/>
                  <w:color w:val="000080"/>
                  <w:sz w:val="19"/>
                  <w:u w:val="single"/>
                </w:rPr>
                <w:t>1</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91">
              <w:r>
                <w:rPr>
                  <w:rStyle w:val="InternetLink"/>
                  <w:rFonts w:ascii="Arial;sans-serif" w:hAnsi="Arial;sans-serif"/>
                  <w:b w:val="false"/>
                  <w:color w:val="0000FF"/>
                  <w:sz w:val="19"/>
                  <w:u w:val="single"/>
                </w:rPr>
                <w:t>46</w:t>
              </w:r>
            </w:hyperlink>
          </w:p>
        </w:tc>
      </w:tr>
      <w:tr>
        <w:trPr/>
        <w:tc>
          <w:tcPr>
            <w:tcW w:w="9465"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2.</w:t>
            </w:r>
            <w:r>
              <w:rPr>
                <w:color w:val="000000"/>
              </w:rPr>
              <w:t xml:space="preserve"> </w:t>
            </w:r>
            <w:r>
              <w:rPr>
                <w:rFonts w:ascii="Arial;sans-serif" w:hAnsi="Arial;sans-serif"/>
                <w:b/>
                <w:i/>
                <w:color w:val="000000"/>
                <w:sz w:val="19"/>
              </w:rPr>
              <w:t>Financial Statement Schedule</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5"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211">
              <w:r>
                <w:rPr>
                  <w:rStyle w:val="InternetLink"/>
                  <w:rFonts w:ascii="Arial;sans-serif" w:hAnsi="Arial;sans-serif"/>
                  <w:b w:val="false"/>
                  <w:color w:val="000080"/>
                  <w:sz w:val="19"/>
                  <w:u w:val="single"/>
                </w:rPr>
                <w:t>Valuation and Qualifying Accounts for the Years Ended October 31, 202</w:t>
              </w:r>
            </w:hyperlink>
            <w:hyperlink w:anchor="ic200b63e1e39483a9921aa57a67e426d_211">
              <w:r>
                <w:rPr>
                  <w:rStyle w:val="InternetLink"/>
                  <w:rFonts w:ascii="Arial;sans-serif" w:hAnsi="Arial;sans-serif"/>
                  <w:b w:val="false"/>
                  <w:color w:val="000080"/>
                  <w:sz w:val="19"/>
                  <w:u w:val="single"/>
                </w:rPr>
                <w:t>3</w:t>
              </w:r>
            </w:hyperlink>
            <w:hyperlink w:anchor="ic200b63e1e39483a9921aa57a67e426d_211">
              <w:r>
                <w:rPr>
                  <w:rStyle w:val="InternetLink"/>
                  <w:rFonts w:ascii="Arial;sans-serif" w:hAnsi="Arial;sans-serif"/>
                  <w:b w:val="false"/>
                  <w:color w:val="000080"/>
                  <w:sz w:val="19"/>
                  <w:u w:val="single"/>
                </w:rPr>
                <w:t>, 202</w:t>
              </w:r>
            </w:hyperlink>
            <w:hyperlink w:anchor="ic200b63e1e39483a9921aa57a67e426d_211">
              <w:r>
                <w:rPr>
                  <w:rStyle w:val="InternetLink"/>
                  <w:rFonts w:ascii="Arial;sans-serif" w:hAnsi="Arial;sans-serif"/>
                  <w:b w:val="false"/>
                  <w:color w:val="000080"/>
                  <w:sz w:val="19"/>
                  <w:u w:val="single"/>
                </w:rPr>
                <w:t>2</w:t>
              </w:r>
            </w:hyperlink>
            <w:hyperlink w:anchor="ic200b63e1e39483a9921aa57a67e426d_211">
              <w:r>
                <w:rPr>
                  <w:rStyle w:val="InternetLink"/>
                  <w:rFonts w:ascii="Arial;sans-serif" w:hAnsi="Arial;sans-serif"/>
                  <w:b w:val="false"/>
                  <w:color w:val="000080"/>
                  <w:sz w:val="19"/>
                  <w:u w:val="single"/>
                </w:rPr>
                <w:t>, and 202</w:t>
              </w:r>
            </w:hyperlink>
            <w:hyperlink w:anchor="ic200b63e1e39483a9921aa57a67e426d_211">
              <w:r>
                <w:rPr>
                  <w:rStyle w:val="InternetLink"/>
                  <w:rFonts w:ascii="Arial;sans-serif" w:hAnsi="Arial;sans-serif"/>
                  <w:b w:val="false"/>
                  <w:color w:val="000080"/>
                  <w:sz w:val="19"/>
                  <w:u w:val="single"/>
                </w:rPr>
                <w:t>1</w:t>
              </w:r>
            </w:hyperlink>
          </w:p>
        </w:tc>
        <w:tc>
          <w:tcPr>
            <w:tcW w:w="372"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211">
              <w:r>
                <w:rPr>
                  <w:rStyle w:val="InternetLink"/>
                  <w:rFonts w:ascii="Arial;sans-serif" w:hAnsi="Arial;sans-serif"/>
                  <w:b w:val="false"/>
                  <w:color w:val="0000FF"/>
                  <w:sz w:val="19"/>
                  <w:u w:val="single"/>
                </w:rPr>
                <w:t>90</w:t>
              </w:r>
            </w:hyperlink>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5"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3.</w:t>
            </w:r>
            <w:r>
              <w:rPr>
                <w:color w:val="000000"/>
              </w:rPr>
              <w:t xml:space="preserve"> </w:t>
            </w:r>
            <w:r>
              <w:rPr>
                <w:rFonts w:ascii="Arial;sans-serif" w:hAnsi="Arial;sans-serif"/>
                <w:b/>
                <w:i/>
                <w:color w:val="000000"/>
                <w:sz w:val="19"/>
              </w:rPr>
              <w:t>Exhibits</w:t>
            </w:r>
          </w:p>
        </w:tc>
        <w:tc>
          <w:tcPr>
            <w:tcW w:w="372"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200b63e1e39483a9921aa57a67e426d_214">
              <w:r>
                <w:rPr>
                  <w:rStyle w:val="InternetLink"/>
                  <w:rFonts w:ascii="Arial;sans-serif" w:hAnsi="Arial;sans-serif"/>
                  <w:b w:val="false"/>
                  <w:strike w:val="false"/>
                  <w:dstrike w:val="false"/>
                  <w:color w:val="0000FF"/>
                  <w:sz w:val="19"/>
                  <w:u w:val="none"/>
                  <w:effect w:val="none"/>
                </w:rPr>
                <w:t>Exhibit Index</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200b63e1e39483a9921aa57a67e426d_214">
              <w:r>
                <w:rPr>
                  <w:rStyle w:val="InternetLink"/>
                  <w:rFonts w:ascii="Arial;sans-serif" w:hAnsi="Arial;sans-serif"/>
                  <w:b w:val="false"/>
                  <w:color w:val="0000FF"/>
                  <w:sz w:val="19"/>
                  <w:u w:val="single"/>
                </w:rPr>
                <w:t>91</w:t>
              </w:r>
            </w:hyperlink>
          </w:p>
        </w:tc>
      </w:tr>
      <w:tr>
        <w:trPr/>
        <w:tc>
          <w:tcPr>
            <w:tcW w:w="94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4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4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4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60350"/>
                <wp:effectExtent l="0" t="0" r="0" b="0"/>
                <wp:wrapNone/>
                <wp:docPr id="102" name="Frame93"/>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before="180" w:after="283"/>
        <w:jc w:val="left"/>
        <w:rPr/>
      </w:pPr>
      <w:r>
        <w:rPr/>
      </w:r>
    </w:p>
    <w:p>
      <w:pPr>
        <w:pStyle w:val="TextBody"/>
        <w:bidi w:val="0"/>
        <w:spacing w:lineRule="auto" w:line="240" w:before="180" w:after="120"/>
        <w:jc w:val="center"/>
        <w:rPr>
          <w:rFonts w:ascii="Arial;sans-serif" w:hAnsi="Arial;sans-serif"/>
          <w:b/>
          <w:color w:val="0046AD"/>
          <w:sz w:val="20"/>
        </w:rPr>
      </w:pPr>
      <w:r>
        <w:rPr>
          <w:rFonts w:ascii="Arial;sans-serif" w:hAnsi="Arial;sans-serif"/>
          <w:b/>
          <w:color w:val="0046AD"/>
          <w:sz w:val="20"/>
        </w:rPr>
        <w:t>ABM INDUSTRIES INCORPORATED AND SUBSIDIARIES</w:t>
      </w:r>
    </w:p>
    <w:p>
      <w:pPr>
        <w:pStyle w:val="TextBody"/>
        <w:bidi w:val="0"/>
        <w:spacing w:lineRule="auto" w:line="240" w:before="180" w:after="120"/>
        <w:jc w:val="center"/>
        <w:rPr>
          <w:rFonts w:ascii="Arial;sans-serif" w:hAnsi="Arial;sans-serif"/>
          <w:b/>
          <w:color w:val="0046AD"/>
          <w:sz w:val="20"/>
        </w:rPr>
      </w:pPr>
      <w:r>
        <w:rPr>
          <w:rFonts w:ascii="Arial;sans-serif" w:hAnsi="Arial;sans-serif"/>
          <w:b/>
          <w:color w:val="0046AD"/>
          <w:sz w:val="20"/>
        </w:rPr>
        <w:t xml:space="preserve">SCHEDULE II—VALUATION AND QUALIFYING ACCOUNTS </w:t>
      </w:r>
    </w:p>
    <w:tbl>
      <w:tblPr>
        <w:tblW w:w="10205" w:type="dxa"/>
        <w:jc w:val="center"/>
        <w:tblInd w:w="0" w:type="dxa"/>
        <w:tblLayout w:type="fixed"/>
        <w:tblCellMar>
          <w:top w:w="28" w:type="dxa"/>
          <w:left w:w="28" w:type="dxa"/>
          <w:bottom w:w="28" w:type="dxa"/>
          <w:right w:w="28" w:type="dxa"/>
        </w:tblCellMar>
      </w:tblPr>
      <w:tblGrid>
        <w:gridCol w:w="704"/>
        <w:gridCol w:w="619"/>
        <w:gridCol w:w="628"/>
        <w:gridCol w:w="309"/>
        <w:gridCol w:w="793"/>
        <w:gridCol w:w="161"/>
        <w:gridCol w:w="109"/>
        <w:gridCol w:w="109"/>
        <w:gridCol w:w="109"/>
        <w:gridCol w:w="558"/>
        <w:gridCol w:w="558"/>
        <w:gridCol w:w="560"/>
        <w:gridCol w:w="109"/>
        <w:gridCol w:w="109"/>
        <w:gridCol w:w="109"/>
        <w:gridCol w:w="451"/>
        <w:gridCol w:w="451"/>
        <w:gridCol w:w="452"/>
        <w:gridCol w:w="109"/>
        <w:gridCol w:w="109"/>
        <w:gridCol w:w="109"/>
        <w:gridCol w:w="548"/>
        <w:gridCol w:w="548"/>
        <w:gridCol w:w="549"/>
        <w:gridCol w:w="109"/>
        <w:gridCol w:w="109"/>
        <w:gridCol w:w="109"/>
        <w:gridCol w:w="232"/>
        <w:gridCol w:w="597"/>
        <w:gridCol w:w="179"/>
      </w:tblGrid>
      <w:tr>
        <w:trPr/>
        <w:tc>
          <w:tcPr>
            <w:tcW w:w="70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millions)</w:t>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Balance</w:t>
              <w:br/>
              <w:t>Beginning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Additions from 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Charges to</w:t>
              <w:br/>
              <w:t>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Write-offs</w:t>
            </w:r>
            <w:r>
              <w:rPr>
                <w:rFonts w:ascii="Arial;sans-serif" w:hAnsi="Arial;sans-serif"/>
                <w:b/>
                <w:color w:val="000000"/>
                <w:sz w:val="13"/>
              </w:rPr>
              <w:t>(1)</w:t>
            </w:r>
            <w:r>
              <w:rPr>
                <w:rFonts w:ascii="Arial;sans-serif" w:hAnsi="Arial;sans-serif"/>
                <w:b/>
                <w:color w:val="000000"/>
                <w:sz w:val="20"/>
              </w:rPr>
              <w:t>/ Allowance Taken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Balance</w:t>
              <w:br/>
              <w:t>End of Year</w:t>
            </w:r>
          </w:p>
        </w:tc>
      </w:tr>
      <w:tr>
        <w:trPr/>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Accounts receivable and sales allowances</w:t>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2023</w:t>
            </w:r>
          </w:p>
        </w:tc>
        <w:tc>
          <w:tcPr>
            <w:tcW w:w="309"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6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76.0 </w:t>
            </w:r>
          </w:p>
        </w:tc>
        <w:tc>
          <w:tcPr>
            <w:tcW w:w="45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w:t>
            </w:r>
          </w:p>
        </w:tc>
        <w:tc>
          <w:tcPr>
            <w:tcW w:w="54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7" w:type="dxa"/>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7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2022</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2021</w:t>
            </w:r>
          </w:p>
        </w:tc>
        <w:tc>
          <w:tcPr>
            <w:tcW w:w="11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61"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60"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44.3 </w:t>
            </w:r>
          </w:p>
        </w:tc>
        <w:tc>
          <w:tcPr>
            <w:tcW w:w="452"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w:t>
            </w:r>
          </w:p>
        </w:tc>
        <w:tc>
          <w:tcPr>
            <w:tcW w:w="54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DCE2E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179" w:type="dxa"/>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8"/>
        </w:rPr>
        <w:t>Write-offs are net of recoveries.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60350"/>
                <wp:effectExtent l="0" t="0" r="0" b="0"/>
                <wp:wrapNone/>
                <wp:docPr id="103" name="Frame94"/>
                <a:graphic xmlns:a="http://schemas.openxmlformats.org/drawingml/2006/main">
                  <a:graphicData uri="http://schemas.microsoft.com/office/word/2010/wordprocessingShape">
                    <wps:wsp>
                      <wps:cNvSpPr txBox="1"/>
                      <wps:spPr>
                        <a:xfrm>
                          <a:off x="0" y="0"/>
                          <a:ext cx="6480175" cy="260350"/>
                        </a:xfrm>
                        <a:prstGeom prst="rect"/>
                        <a:solidFill>
                          <a:srgbClr val="FFFFFF"/>
                        </a:solidFill>
                      </wps:spPr>
                      <wps:txb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left"/>
        <w:rPr>
          <w:rFonts w:ascii="Arial;sans-serif" w:hAnsi="Arial;sans-serif"/>
          <w:b/>
          <w:color w:val="0046AD"/>
          <w:sz w:val="20"/>
        </w:rPr>
      </w:pPr>
      <w:r>
        <w:rPr>
          <w:rFonts w:ascii="Arial;sans-serif" w:hAnsi="Arial;sans-serif"/>
          <w:b/>
          <w:color w:val="0046AD"/>
          <w:sz w:val="20"/>
        </w:rPr>
        <w:t>EXHIBIT INDEX</w:t>
      </w:r>
    </w:p>
    <w:tbl>
      <w:tblPr>
        <w:tblW w:w="10205" w:type="dxa"/>
        <w:jc w:val="left"/>
        <w:tblInd w:w="0" w:type="dxa"/>
        <w:tblLayout w:type="fixed"/>
        <w:tblCellMar>
          <w:top w:w="28" w:type="dxa"/>
          <w:left w:w="28" w:type="dxa"/>
          <w:bottom w:w="28" w:type="dxa"/>
          <w:right w:w="28" w:type="dxa"/>
        </w:tblCellMar>
      </w:tblPr>
      <w:tblGrid>
        <w:gridCol w:w="283"/>
        <w:gridCol w:w="248"/>
        <w:gridCol w:w="250"/>
        <w:gridCol w:w="109"/>
        <w:gridCol w:w="109"/>
        <w:gridCol w:w="109"/>
        <w:gridCol w:w="1530"/>
        <w:gridCol w:w="1530"/>
        <w:gridCol w:w="1532"/>
        <w:gridCol w:w="109"/>
        <w:gridCol w:w="109"/>
        <w:gridCol w:w="109"/>
        <w:gridCol w:w="200"/>
        <w:gridCol w:w="200"/>
        <w:gridCol w:w="201"/>
        <w:gridCol w:w="109"/>
        <w:gridCol w:w="109"/>
        <w:gridCol w:w="109"/>
        <w:gridCol w:w="278"/>
        <w:gridCol w:w="216"/>
        <w:gridCol w:w="166"/>
        <w:gridCol w:w="109"/>
        <w:gridCol w:w="109"/>
        <w:gridCol w:w="109"/>
        <w:gridCol w:w="255"/>
        <w:gridCol w:w="255"/>
        <w:gridCol w:w="256"/>
        <w:gridCol w:w="109"/>
        <w:gridCol w:w="109"/>
        <w:gridCol w:w="109"/>
        <w:gridCol w:w="521"/>
        <w:gridCol w:w="309"/>
        <w:gridCol w:w="340"/>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Incorporated by Reference</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Filing Date</w:t>
            </w:r>
          </w:p>
        </w:tc>
      </w:tr>
      <w:tr>
        <w:trPr/>
        <w:tc>
          <w:tcPr>
            <w:tcW w:w="781"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20"/>
                  <w:u w:val="single"/>
                </w:rPr>
                <w:t>Underwriting Agreement, dated March 14, 2018, among ABM Industries Incorporated, Goldman Sachs &amp; Co LLC, and UBS Securities LLC</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DCE2E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19, 2018</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20"/>
                  <w:u w:val="single"/>
                </w:rPr>
                <w:t>Agreement and Plan of Merger, dated July 11, 2017, among GCA Holding Corp., ABM Industries Incorporated, Grade Sub One, Inc., Grade Sub Two, LLC and Thomas H. Lee Equity Fund VII, L.P. and Broad Street Principal Investments Holdings, L.P., acting jointly as the Securityholder Representative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14, 2017</w:t>
            </w:r>
          </w:p>
        </w:tc>
      </w:tr>
      <w:tr>
        <w:trPr/>
        <w:tc>
          <w:tcPr>
            <w:tcW w:w="78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shd w:fill="DCE2EF" w:val="clear"/>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Arial;sans-serif" w:hAnsi="Arial;sans-serif"/>
                  <w:b w:val="false"/>
                  <w:color w:val="0000FF"/>
                  <w:sz w:val="20"/>
                  <w:u w:val="single"/>
                </w:rPr>
                <w:t>Purchase Agreement, dated August 25, 2021, among Crown Building Maintenance Co., Crown Energy Services, Inc., ABM Industries Incorporated and the sellers and sellers’ representative party thereto</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25, 2021</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Arial;sans-serif" w:hAnsi="Arial;sans-serif"/>
                  <w:b w:val="false"/>
                  <w:color w:val="0000FF"/>
                  <w:sz w:val="20"/>
                  <w:u w:val="single"/>
                </w:rPr>
                <w:t>Agreement and Plan of Merger, dated August 17, 2022, by and among ABM Industries Incorporated, RavenVolt Merger Sub, Inc., RavenVolt, Inc. and Jonathan Hinton, as shareholders’ representative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18, 2022</w:t>
            </w:r>
          </w:p>
        </w:tc>
      </w:tr>
      <w:tr>
        <w:trPr/>
        <w:tc>
          <w:tcPr>
            <w:tcW w:w="78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shd w:fill="DCE2EF" w:val="clear"/>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Arial;sans-serif" w:hAnsi="Arial;sans-serif"/>
                  <w:b w:val="false"/>
                  <w:color w:val="0000FF"/>
                  <w:sz w:val="20"/>
                  <w:u w:val="single"/>
                </w:rPr>
                <w:t>Restated Certificate of Incorporation of ABM Industries Incorporated, dated March 26, 2020</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27, 2020</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16">
              <w:r>
                <w:rPr>
                  <w:rStyle w:val="InternetLink"/>
                  <w:rFonts w:ascii="Arial;sans-serif" w:hAnsi="Arial;sans-serif"/>
                  <w:b w:val="false"/>
                  <w:color w:val="0000FF"/>
                  <w:sz w:val="20"/>
                  <w:u w:val="single"/>
                </w:rPr>
                <w:t>Amended and Restated Bylaws of ABM Industries Incorporated, dated March 26, 2020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27, 2020</w:t>
            </w:r>
          </w:p>
        </w:tc>
      </w:tr>
      <w:tr>
        <w:trPr/>
        <w:tc>
          <w:tcPr>
            <w:tcW w:w="78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20"/>
                  <w:u w:val="single"/>
                </w:rPr>
                <w:t>Description of Registrant’s Securities</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17, 2020</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20"/>
                  <w:u w:val="single"/>
                </w:rPr>
                <w:t>Credit Agreement, dated as of September 1, 2017, by and among ABM Industries Incorporated, a Delaware corporation, certain subsidiaries of ABM Industries Incorporated from time to time party thereto, the lenders from time to time party thereto and Bank of America, N.A., as administrative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8, 2017</w:t>
            </w:r>
          </w:p>
        </w:tc>
      </w:tr>
      <w:tr>
        <w:trPr/>
        <w:tc>
          <w:tcPr>
            <w:tcW w:w="78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20"/>
                  <w:u w:val="single"/>
                </w:rPr>
                <w:t>Letter Agreement, dated November 6, 2017, between ABM Industries Incorporated and Bank of America, N.A., as Swingline Lender with respect to the Credit Agreement dated as of September 1, 2017, among ABM Industries Incorporated, the Designated Borrowers party thereto, the Lenders party thereto and Bank of America, N.A., as administrative agent</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22, 2017</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20"/>
                  <w:u w:val="single"/>
                </w:rPr>
                <w:t>First Amendment, dated as of July 3, 2018, to the Credit Agreement dated September 1, 2017, by and among ABM Industries Incorporated, a Delaware corporation, the Designated Borrowers identified on the signature pages thereto, the Guarantors identified on the signature pages thereto, the Lenders identified on the signature pages thereto, and Bank of America, N.A., as administrative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7, 2018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222"/>
        <w:gridCol w:w="197"/>
        <w:gridCol w:w="200"/>
        <w:gridCol w:w="109"/>
        <w:gridCol w:w="109"/>
        <w:gridCol w:w="109"/>
        <w:gridCol w:w="1767"/>
        <w:gridCol w:w="1673"/>
        <w:gridCol w:w="1677"/>
        <w:gridCol w:w="109"/>
        <w:gridCol w:w="109"/>
        <w:gridCol w:w="109"/>
        <w:gridCol w:w="132"/>
        <w:gridCol w:w="132"/>
        <w:gridCol w:w="133"/>
        <w:gridCol w:w="109"/>
        <w:gridCol w:w="109"/>
        <w:gridCol w:w="109"/>
        <w:gridCol w:w="223"/>
        <w:gridCol w:w="223"/>
        <w:gridCol w:w="224"/>
        <w:gridCol w:w="109"/>
        <w:gridCol w:w="109"/>
        <w:gridCol w:w="109"/>
        <w:gridCol w:w="194"/>
        <w:gridCol w:w="194"/>
        <w:gridCol w:w="198"/>
        <w:gridCol w:w="109"/>
        <w:gridCol w:w="109"/>
        <w:gridCol w:w="109"/>
        <w:gridCol w:w="344"/>
        <w:gridCol w:w="344"/>
        <w:gridCol w:w="493"/>
      </w:tblGrid>
      <w:tr>
        <w:trPr/>
        <w:tc>
          <w:tcPr>
            <w:tcW w:w="22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1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20"/>
                  <w:u w:val="single"/>
                </w:rPr>
                <w:t>Second Amendment, dated as of September 5, 2018, to the Credit Agreement dated September 1, 2017, by and among ABM Industries Incorporated, a Delaware corporation, the Designated Borrowers identified on the signature pages thereto, the Guarantors identified on the signature pages thereto, the Lenders identified on the signature pages thereto, and Bank of America, N.A., as administrative agent</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7, 2018</w:t>
            </w:r>
          </w:p>
        </w:tc>
      </w:tr>
      <w:tr>
        <w:trPr/>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3"/>
            <w:tcBorders/>
            <w:shd w:fill="FFFFFF" w:val="clear"/>
            <w:tcMar>
              <w:top w:w="0" w:type="dxa"/>
              <w:left w:w="0" w:type="dxa"/>
              <w:bottom w:w="0" w:type="dxa"/>
              <w:right w:w="0" w:type="dxa"/>
            </w:tcMar>
            <w:vAlign w:val="center"/>
          </w:tcPr>
          <w:p>
            <w:pPr>
              <w:pStyle w:val="TableContents"/>
              <w:bidi w:val="0"/>
              <w:spacing w:lineRule="auto" w:line="208" w:before="0" w:after="0"/>
              <w:jc w:val="left"/>
              <w:rPr/>
            </w:pPr>
            <w:hyperlink r:id="rId22">
              <w:r>
                <w:rPr>
                  <w:rStyle w:val="InternetLink"/>
                  <w:rFonts w:ascii="Arial;sans-serif" w:hAnsi="Arial;sans-serif"/>
                  <w:b w:val="false"/>
                  <w:color w:val="0000FF"/>
                  <w:sz w:val="20"/>
                  <w:u w:val="single"/>
                </w:rPr>
                <w:t xml:space="preserve">Third Amendment, dated as of May 28, 2020, to the Credit Agreement dated September 1, 2017, by and among ABM Industries Incorporated, a Delaware corporation, the Designated Borrowers identified on the signature pages thereto, the Guarantors identified on the signature pages thereto, the Lenders identified on the signatures pages thereto and Bank of America, N.A., as administrative agent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10-Q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18, 2020</w:t>
            </w:r>
          </w:p>
        </w:tc>
      </w:tr>
      <w:tr>
        <w:trPr/>
        <w:tc>
          <w:tcPr>
            <w:tcW w:w="61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3"/>
            <w:tcBorders/>
            <w:shd w:fill="DCE2EF" w:val="clear"/>
            <w:tcMar>
              <w:top w:w="0" w:type="dxa"/>
              <w:left w:w="0" w:type="dxa"/>
              <w:bottom w:w="0" w:type="dxa"/>
              <w:right w:w="0" w:type="dxa"/>
            </w:tcMar>
            <w:vAlign w:val="center"/>
          </w:tcPr>
          <w:p>
            <w:pPr>
              <w:pStyle w:val="TableContents"/>
              <w:bidi w:val="0"/>
              <w:spacing w:lineRule="auto" w:line="268" w:before="0" w:after="0"/>
              <w:jc w:val="left"/>
              <w:rPr/>
            </w:pPr>
            <w:hyperlink r:id="rId23">
              <w:r>
                <w:rPr>
                  <w:rStyle w:val="InternetLink"/>
                  <w:rFonts w:ascii="Arial;sans-serif" w:hAnsi="Arial;sans-serif"/>
                  <w:b w:val="false"/>
                  <w:color w:val="0000FF"/>
                  <w:sz w:val="20"/>
                  <w:u w:val="single"/>
                </w:rPr>
                <w:t>Fourth Amendment, dated as of June 28, 2021, to the Credit Agreement dated September 1, 2017, by and among ABM Industries Incorporated, a Delaware corporation, the Designated Borrowers identified on the signature pages thereto, the Guarantors identified on the signature pages thereto, the Lenders identified on the signature pages thereto and Bank of America, N.A., as administrative agent</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9, 2021</w:t>
            </w:r>
          </w:p>
        </w:tc>
      </w:tr>
      <w:tr>
        <w:trPr/>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20"/>
                  <w:u w:val="single"/>
                </w:rPr>
                <w:t>Fifth Amendment, dated as of November 1, 2022, to the Credit Agreement dated September 1, 2017, by and among ABM Industries Incorporated, a Delaware corporation, the Designated Borrowers identified on the signature pages thereto, the Subsidiary Guarantors identified on the signature pages thereto, the Lenders identified on the signature pages thereto and Bank of America, N.A., as administrative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21, 2022</w:t>
            </w:r>
          </w:p>
        </w:tc>
      </w:tr>
      <w:tr>
        <w:trPr/>
        <w:tc>
          <w:tcPr>
            <w:tcW w:w="619"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20"/>
                  <w:u w:val="single"/>
                </w:rPr>
                <w:t>LIBOR Transition Amendment, dated as of November 1, 2022, by and among ABM Industries Incorporated, a Delaware corporation, the Designated Borrowers identified on the signature pages thereto, the Subsidiary Guarantors identified on the signature pages thereto, the Lenders identified on the signature pages thereto and Bank of America, N.A., as administrative agent</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21, 2022</w:t>
            </w:r>
          </w:p>
        </w:tc>
      </w:tr>
      <w:tr>
        <w:trPr/>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20"/>
                  <w:u w:val="single"/>
                </w:rPr>
                <w:t>ABM Executive Retiree Healthcare and Dental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 14, 2005</w:t>
            </w:r>
          </w:p>
        </w:tc>
      </w:tr>
      <w:tr>
        <w:trPr/>
        <w:tc>
          <w:tcPr>
            <w:tcW w:w="619"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10.10*</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20"/>
                  <w:u w:val="single"/>
                </w:rPr>
                <w:t>Deferred Compensation Plan for Non-Employee Directors, as amended and restated December 13, 2010</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23, 2010</w:t>
            </w:r>
          </w:p>
        </w:tc>
      </w:tr>
      <w:tr>
        <w:trPr/>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FF"/>
                  <w:sz w:val="20"/>
                  <w:u w:val="single"/>
                </w:rPr>
                <w:t>Form of Director’s Indemnification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21, 2018</w:t>
            </w:r>
          </w:p>
        </w:tc>
      </w:tr>
      <w:tr>
        <w:trPr/>
        <w:tc>
          <w:tcPr>
            <w:tcW w:w="619"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FF"/>
                  <w:sz w:val="20"/>
                  <w:u w:val="single"/>
                </w:rPr>
                <w:t>2006 Equity Incentive Plan, as amended and restated March 7, 2018</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8, 2018</w:t>
            </w:r>
          </w:p>
        </w:tc>
      </w:tr>
      <w:tr>
        <w:trPr/>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bm10312023ex1013.htm">
              <w:r>
                <w:rPr>
                  <w:rStyle w:val="InternetLink"/>
                  <w:rFonts w:ascii="Arial;sans-serif" w:hAnsi="Arial;sans-serif"/>
                  <w:b w:val="false"/>
                  <w:color w:val="0000FF"/>
                  <w:sz w:val="20"/>
                  <w:u w:val="single"/>
                </w:rPr>
                <w:t>ABM Industries Incorporated 2021 Equity and Incentive Compensation Plan, as amended and restated October 2,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228"/>
        <w:gridCol w:w="201"/>
        <w:gridCol w:w="203"/>
        <w:gridCol w:w="109"/>
        <w:gridCol w:w="109"/>
        <w:gridCol w:w="109"/>
        <w:gridCol w:w="1760"/>
        <w:gridCol w:w="1625"/>
        <w:gridCol w:w="1629"/>
        <w:gridCol w:w="109"/>
        <w:gridCol w:w="109"/>
        <w:gridCol w:w="109"/>
        <w:gridCol w:w="133"/>
        <w:gridCol w:w="133"/>
        <w:gridCol w:w="135"/>
        <w:gridCol w:w="109"/>
        <w:gridCol w:w="109"/>
        <w:gridCol w:w="109"/>
        <w:gridCol w:w="232"/>
        <w:gridCol w:w="232"/>
        <w:gridCol w:w="233"/>
        <w:gridCol w:w="109"/>
        <w:gridCol w:w="109"/>
        <w:gridCol w:w="109"/>
        <w:gridCol w:w="194"/>
        <w:gridCol w:w="194"/>
        <w:gridCol w:w="198"/>
        <w:gridCol w:w="109"/>
        <w:gridCol w:w="109"/>
        <w:gridCol w:w="109"/>
        <w:gridCol w:w="480"/>
        <w:gridCol w:w="417"/>
        <w:gridCol w:w="343"/>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632"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10.14*</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sans-serif" w:hAnsi="Arial;sans-serif"/>
                  <w:b w:val="false"/>
                  <w:color w:val="0000FF"/>
                  <w:sz w:val="20"/>
                  <w:u w:val="single"/>
                </w:rPr>
                <w:t>Statement of Terms and Conditions Applicable to Options, Restricted Stock and Restricted Stock Units, and Performance Shares Granted to Employees Pursuant to the 2006 Equity Incentive Plan, for Awards Granted on or after March 4, 2015</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 2015</w:t>
            </w:r>
          </w:p>
        </w:tc>
      </w:tr>
      <w:tr>
        <w:trPr/>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20"/>
                  <w:u w:val="single"/>
                </w:rPr>
                <w:t>Statement of Terms and Conditions Applicable to Options, Restricted Stock and Restricted Stock Units, and Performance Shares Granted to Employees Pursuant to the 2006 Equity Incentive Plan, for Awards Granted on or after January 1, 2020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5, 2020</w:t>
            </w:r>
          </w:p>
        </w:tc>
      </w:tr>
      <w:tr>
        <w:trPr/>
        <w:tc>
          <w:tcPr>
            <w:tcW w:w="632"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10.16*</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FF"/>
                  <w:sz w:val="20"/>
                  <w:u w:val="single"/>
                </w:rPr>
                <w:t>Statement of Terms and Conditions Applicable to Awards Granted to Employees Pursuant to the 2021 Equity and Incentive Compensation Plan</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9, 2021</w:t>
            </w:r>
          </w:p>
        </w:tc>
      </w:tr>
      <w:tr>
        <w:trPr/>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sans-serif" w:hAnsi="Arial;sans-serif"/>
                  <w:b w:val="false"/>
                  <w:color w:val="0000FF"/>
                  <w:sz w:val="20"/>
                  <w:u w:val="single"/>
                </w:rPr>
                <w:t>Statement of Terms and Conditions Applicable to Awards Granted to UK Employees Pursuant to the 2021 Equity and Incentive Compensation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21, 2022</w:t>
            </w:r>
          </w:p>
        </w:tc>
      </w:tr>
      <w:tr>
        <w:trPr/>
        <w:tc>
          <w:tcPr>
            <w:tcW w:w="632"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10.18*</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FF"/>
                  <w:sz w:val="20"/>
                  <w:u w:val="single"/>
                </w:rPr>
                <w:t>Statement of Terms and Conditions Applicable to Awards Granted to Employees Pursuant to the 2021 Equity and Incentive Compensation Plan, for Awards Granted on or after January 1, 2022</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9, 2022</w:t>
            </w:r>
          </w:p>
        </w:tc>
      </w:tr>
      <w:tr>
        <w:trPr/>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bm10312023ex1019.htm">
              <w:r>
                <w:rPr>
                  <w:rStyle w:val="InternetLink"/>
                  <w:rFonts w:ascii="Arial;sans-serif" w:hAnsi="Arial;sans-serif"/>
                  <w:b w:val="false"/>
                  <w:color w:val="0000FF"/>
                  <w:sz w:val="20"/>
                  <w:u w:val="single"/>
                </w:rPr>
                <w:t>Statement of Terms and Conditions Applicable to Awards Granted to Employees Pursuant to the 2021 Equity and Incentive Compensation Plan, for Awards Granted on or after October 2,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10.20*</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Arial;sans-serif" w:hAnsi="Arial;sans-serif"/>
                  <w:b w:val="false"/>
                  <w:color w:val="0000FF"/>
                  <w:sz w:val="20"/>
                  <w:u w:val="single"/>
                </w:rPr>
                <w:t>Statement of Terms and Conditions Applicable to Options, Restricted Stock, and Restricted Stock Units Granted to Directors Pursuant to the 2006 Equity Incentive Plan, for Awards Granted on or after March 4, 2015</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 2015</w:t>
            </w:r>
          </w:p>
        </w:tc>
      </w:tr>
      <w:tr>
        <w:trPr/>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rial;sans-serif" w:hAnsi="Arial;sans-serif"/>
                  <w:b w:val="false"/>
                  <w:color w:val="0000FF"/>
                  <w:sz w:val="20"/>
                  <w:u w:val="single"/>
                </w:rPr>
                <w:t>Statement of Terms and Conditions Applicable to Options, Restricted Stock, and Restricted Stock Units Granted to Directors Pursuant to the 2006 Equity Incentive Plan, for Awards Granted on or after January 1, 2020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5, 2020</w:t>
            </w:r>
          </w:p>
        </w:tc>
      </w:tr>
      <w:tr>
        <w:trPr/>
        <w:tc>
          <w:tcPr>
            <w:tcW w:w="632"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DCE2EF" w:val="clear"/>
            <w:tcMar>
              <w:top w:w="0" w:type="dxa"/>
              <w:left w:w="0" w:type="dxa"/>
              <w:bottom w:w="0" w:type="dxa"/>
              <w:right w:w="0" w:type="dxa"/>
            </w:tcMar>
            <w:vAlign w:val="center"/>
          </w:tcPr>
          <w:p>
            <w:pPr>
              <w:pStyle w:val="TableContents"/>
              <w:bidi w:val="0"/>
              <w:spacing w:lineRule="auto" w:line="268" w:before="0" w:after="0"/>
              <w:jc w:val="left"/>
              <w:rPr/>
            </w:pPr>
            <w:hyperlink r:id="rId37">
              <w:r>
                <w:rPr>
                  <w:rStyle w:val="InternetLink"/>
                  <w:rFonts w:ascii="Arial;sans-serif" w:hAnsi="Arial;sans-serif"/>
                  <w:b w:val="false"/>
                  <w:color w:val="0000FF"/>
                  <w:sz w:val="20"/>
                  <w:u w:val="single"/>
                </w:rPr>
                <w:t>Statement of Terms and Conditions Applicable to Awards Granted to Non-Employee Directors Pursuant to the 2021 Equity and Incentive Compensation Plan</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008-08929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9, 2021</w:t>
            </w:r>
          </w:p>
        </w:tc>
      </w:tr>
      <w:tr>
        <w:trPr/>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Arial;sans-serif" w:hAnsi="Arial;sans-serif"/>
                  <w:b w:val="false"/>
                  <w:color w:val="0000FF"/>
                  <w:sz w:val="20"/>
                  <w:u w:val="single"/>
                </w:rPr>
                <w:t>Form of Restricted Stock Unit Agreement - 2006 Equity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20, 2019</w:t>
            </w:r>
          </w:p>
        </w:tc>
      </w:tr>
      <w:tr>
        <w:trPr/>
        <w:tc>
          <w:tcPr>
            <w:tcW w:w="632"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10.24*</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Arial;sans-serif" w:hAnsi="Arial;sans-serif"/>
                  <w:b w:val="false"/>
                  <w:color w:val="0000FF"/>
                  <w:sz w:val="20"/>
                  <w:u w:val="single"/>
                </w:rPr>
                <w:t>Form of Restricted Stock Unit Agreement for Employees – 2021 Equity and Incentive Compensation Plan</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9, 2022</w:t>
            </w:r>
          </w:p>
        </w:tc>
      </w:tr>
      <w:tr>
        <w:trPr/>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Arial;sans-serif" w:hAnsi="Arial;sans-serif"/>
                  <w:b w:val="false"/>
                  <w:color w:val="0000FF"/>
                  <w:sz w:val="20"/>
                  <w:u w:val="single"/>
                </w:rPr>
                <w:t>Form of Performance Share Agreement - 2006 Equity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20, 2019</w:t>
            </w:r>
          </w:p>
        </w:tc>
      </w:tr>
      <w:tr>
        <w:trPr/>
        <w:tc>
          <w:tcPr>
            <w:tcW w:w="632"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10.26*</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Arial;sans-serif" w:hAnsi="Arial;sans-serif"/>
                  <w:b w:val="false"/>
                  <w:color w:val="0000FF"/>
                  <w:sz w:val="20"/>
                  <w:u w:val="single"/>
                </w:rPr>
                <w:t>Form of Performance Share Agreement for Employees - 2021 Equity and Incentive Compensation Plan</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9, 2022</w:t>
            </w:r>
          </w:p>
        </w:tc>
      </w:tr>
      <w:tr>
        <w:trPr/>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Arial;sans-serif" w:hAnsi="Arial;sans-serif"/>
                  <w:b w:val="false"/>
                  <w:color w:val="0000FF"/>
                  <w:sz w:val="20"/>
                  <w:u w:val="single"/>
                </w:rPr>
                <w:t>Executive Stock Option Plan (aka Age-Vested Career Stock Option Plan), as amended and restated June 4, 2012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6, 2012</w:t>
            </w:r>
          </w:p>
        </w:tc>
      </w:tr>
      <w:tr>
        <w:trPr/>
        <w:tc>
          <w:tcPr>
            <w:tcW w:w="632"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10.28*</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rial;sans-serif" w:hAnsi="Arial;sans-serif"/>
                  <w:b w:val="false"/>
                  <w:color w:val="0000FF"/>
                  <w:sz w:val="20"/>
                  <w:u w:val="single"/>
                </w:rPr>
                <w:t>Deferred Compensation Plan for Executives, amended and restated October 25, 2010</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23, 2010</w:t>
            </w:r>
          </w:p>
        </w:tc>
      </w:tr>
      <w:tr>
        <w:trPr/>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bm10312023ex1029.htm">
              <w:r>
                <w:rPr>
                  <w:rStyle w:val="InternetLink"/>
                  <w:rFonts w:ascii="Arial;sans-serif" w:hAnsi="Arial;sans-serif"/>
                  <w:b w:val="false"/>
                  <w:color w:val="0000FF"/>
                  <w:sz w:val="20"/>
                  <w:u w:val="single"/>
                </w:rPr>
                <w:t>Deferred Compensation Plan for Executives, amended and restated October 2,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223"/>
        <w:gridCol w:w="196"/>
        <w:gridCol w:w="198"/>
        <w:gridCol w:w="109"/>
        <w:gridCol w:w="109"/>
        <w:gridCol w:w="109"/>
        <w:gridCol w:w="1759"/>
        <w:gridCol w:w="1599"/>
        <w:gridCol w:w="1603"/>
        <w:gridCol w:w="109"/>
        <w:gridCol w:w="109"/>
        <w:gridCol w:w="109"/>
        <w:gridCol w:w="136"/>
        <w:gridCol w:w="136"/>
        <w:gridCol w:w="137"/>
        <w:gridCol w:w="109"/>
        <w:gridCol w:w="109"/>
        <w:gridCol w:w="109"/>
        <w:gridCol w:w="239"/>
        <w:gridCol w:w="239"/>
        <w:gridCol w:w="240"/>
        <w:gridCol w:w="109"/>
        <w:gridCol w:w="109"/>
        <w:gridCol w:w="109"/>
        <w:gridCol w:w="194"/>
        <w:gridCol w:w="194"/>
        <w:gridCol w:w="198"/>
        <w:gridCol w:w="109"/>
        <w:gridCol w:w="109"/>
        <w:gridCol w:w="109"/>
        <w:gridCol w:w="372"/>
        <w:gridCol w:w="372"/>
        <w:gridCol w:w="535"/>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10.30*</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Arial;sans-serif" w:hAnsi="Arial;sans-serif"/>
                  <w:b w:val="false"/>
                  <w:color w:val="0000FF"/>
                  <w:sz w:val="20"/>
                  <w:u w:val="single"/>
                </w:rPr>
                <w:t>Supplemental Executive Retirement Plan, as amended and restated June 3, 2008</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8, 2008</w:t>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Arial;sans-serif" w:hAnsi="Arial;sans-serif"/>
                  <w:b w:val="false"/>
                  <w:color w:val="0000FF"/>
                  <w:sz w:val="20"/>
                  <w:u w:val="single"/>
                </w:rPr>
                <w:t>Service Award Benefit Plan, as amended and restated June 3, 2008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8, 2008</w:t>
            </w:r>
          </w:p>
        </w:tc>
      </w:tr>
      <w:tr>
        <w:trPr/>
        <w:tc>
          <w:tcPr>
            <w:tcW w:w="617"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10.32*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Arial;sans-serif" w:hAnsi="Arial;sans-serif"/>
                  <w:b w:val="false"/>
                  <w:color w:val="0000FF"/>
                  <w:sz w:val="20"/>
                  <w:u w:val="single"/>
                </w:rPr>
                <w:t>Executive Severance Pay Policy, as amended and restated March 7, 2011</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10, 2011</w:t>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Arial;sans-serif" w:hAnsi="Arial;sans-serif"/>
                  <w:b w:val="false"/>
                  <w:color w:val="0000FF"/>
                  <w:sz w:val="20"/>
                  <w:u w:val="single"/>
                </w:rPr>
                <w:t>Amended and Restated Executive Employment Agreement, dated as of September 22, 2017, by and between ABM Industries Incorporated and Scott Salmirs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22, 2017</w:t>
            </w:r>
          </w:p>
        </w:tc>
      </w:tr>
      <w:tr>
        <w:trPr/>
        <w:tc>
          <w:tcPr>
            <w:tcW w:w="617"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10.34*</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Arial;sans-serif" w:hAnsi="Arial;sans-serif"/>
                  <w:b w:val="false"/>
                  <w:color w:val="0000FF"/>
                  <w:sz w:val="20"/>
                  <w:u w:val="single"/>
                </w:rPr>
                <w:t>Amended and Restated Change in Control Agreement, dated as of September 22, 2017, by and between ABM Industries Incorporated and Scott Salmirs</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22, 2017</w:t>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Arial;sans-serif" w:hAnsi="Arial;sans-serif"/>
                  <w:b w:val="false"/>
                  <w:color w:val="0000FF"/>
                  <w:sz w:val="20"/>
                  <w:u w:val="single"/>
                </w:rPr>
                <w:t>Executive Employment Agreement, dated as of January 1, 2018, by and between ABM Industries Incorporated and Rene Jacobsen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7, 2018</w:t>
            </w:r>
          </w:p>
        </w:tc>
      </w:tr>
      <w:tr>
        <w:trPr/>
        <w:tc>
          <w:tcPr>
            <w:tcW w:w="617"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10.36*</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Arial;sans-serif" w:hAnsi="Arial;sans-serif"/>
                  <w:b w:val="false"/>
                  <w:color w:val="0000FF"/>
                  <w:sz w:val="20"/>
                  <w:u w:val="single"/>
                </w:rPr>
                <w:t>Change in Control Agreement, dated as of January 1, 2018, by and between ABM Industries Incorporated and Rene Jacobsen</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7, 2018</w:t>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Arial;sans-serif" w:hAnsi="Arial;sans-serif"/>
                  <w:b w:val="false"/>
                  <w:color w:val="0000FF"/>
                  <w:sz w:val="20"/>
                  <w:u w:val="single"/>
                </w:rPr>
                <w:t>Executive Employment Agreement, dated as of March 1, 2018, by and between ABM Industries Incorporated and Andrea Newborn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7, 2019</w:t>
            </w:r>
          </w:p>
        </w:tc>
      </w:tr>
      <w:tr>
        <w:trPr/>
        <w:tc>
          <w:tcPr>
            <w:tcW w:w="617"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10.38*</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Arial;sans-serif" w:hAnsi="Arial;sans-serif"/>
                  <w:b w:val="false"/>
                  <w:color w:val="0000FF"/>
                  <w:sz w:val="20"/>
                  <w:u w:val="single"/>
                </w:rPr>
                <w:t>Change in Control Agreement, dated as of March 1, 2018, by and between ABM Industries Incorporated and Andrea Newborn</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7, 2019</w:t>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Arial;sans-serif" w:hAnsi="Arial;sans-serif"/>
                  <w:b w:val="false"/>
                  <w:color w:val="0000FF"/>
                  <w:sz w:val="20"/>
                  <w:u w:val="single"/>
                </w:rPr>
                <w:t>Executive Employment Agreement, dated as of October 28, 2019, by and between ABM Industries Incorporated and Joshua H. Feinberg</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20, 2019</w:t>
            </w:r>
          </w:p>
        </w:tc>
      </w:tr>
      <w:tr>
        <w:trPr/>
        <w:tc>
          <w:tcPr>
            <w:tcW w:w="617"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10.40*</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Arial;sans-serif" w:hAnsi="Arial;sans-serif"/>
                  <w:b w:val="false"/>
                  <w:color w:val="0000FF"/>
                  <w:sz w:val="20"/>
                  <w:u w:val="single"/>
                </w:rPr>
                <w:t>Change in Control Agreement, dated as of February 8, 2020, by and between ABM Industries Incorporated and Joshua H. Feinberg</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9, 2021</w:t>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Arial;sans-serif" w:hAnsi="Arial;sans-serif"/>
                  <w:b w:val="false"/>
                  <w:color w:val="0000FF"/>
                  <w:sz w:val="20"/>
                  <w:u w:val="single"/>
                </w:rPr>
                <w:t>Executive Employment Agreement, dated as of November 1, 2020, by and between ABM Industries Incorporated and Earl R. Ellis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9, 2021</w:t>
            </w:r>
          </w:p>
        </w:tc>
      </w:tr>
      <w:tr>
        <w:trPr/>
        <w:tc>
          <w:tcPr>
            <w:tcW w:w="617"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10.42*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Arial;sans-serif" w:hAnsi="Arial;sans-serif"/>
                  <w:b w:val="false"/>
                  <w:color w:val="0000FF"/>
                  <w:sz w:val="20"/>
                  <w:u w:val="single"/>
                </w:rPr>
                <w:t>Change in Control Agreement, dated as of November 30, 2020, by and between ABM Industries Incorporated and Earl R. Ellis</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9, 2021</w:t>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Arial;sans-serif" w:hAnsi="Arial;sans-serif"/>
                  <w:b w:val="false"/>
                  <w:color w:val="0000FF"/>
                  <w:sz w:val="20"/>
                  <w:u w:val="single"/>
                </w:rPr>
                <w:t>Change in Control Agreement, dated as of April 1, 2011, by and between ABM Industries Incorporated and Dean A. Chin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9, 2021</w:t>
            </w:r>
          </w:p>
        </w:tc>
      </w:tr>
      <w:tr>
        <w:trPr/>
        <w:tc>
          <w:tcPr>
            <w:tcW w:w="617"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10.44*</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Arial;sans-serif" w:hAnsi="Arial;sans-serif"/>
                  <w:b w:val="false"/>
                  <w:color w:val="0000FF"/>
                  <w:sz w:val="20"/>
                  <w:u w:val="single"/>
                </w:rPr>
                <w:t>Senior Executive Severance Pay Policy, as amended and restated March 7, 2011</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001-08929</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9, 2022</w:t>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bm10312023ex211.htm">
              <w:r>
                <w:rPr>
                  <w:rStyle w:val="InternetLink"/>
                  <w:rFonts w:ascii="Arial;sans-serif" w:hAnsi="Arial;sans-serif"/>
                  <w:b w:val="false"/>
                  <w:color w:val="0000FF"/>
                  <w:sz w:val="20"/>
                  <w:u w:val="single"/>
                </w:rPr>
                <w:t>Subsidiaries of the Registrant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23.1‡</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w:anchor="abm10312023ex231.htm">
              <w:r>
                <w:rPr>
                  <w:rStyle w:val="InternetLink"/>
                  <w:rFonts w:ascii="Arial;sans-serif" w:hAnsi="Arial;sans-serif"/>
                  <w:b w:val="false"/>
                  <w:color w:val="0000FF"/>
                  <w:sz w:val="20"/>
                  <w:u w:val="single"/>
                </w:rPr>
                <w:t>Consent of Independent Registered Public Accounting Firm</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bm10312023ex311.htm">
              <w:r>
                <w:rPr>
                  <w:rStyle w:val="InternetLink"/>
                  <w:rFonts w:ascii="Arial;sans-serif" w:hAnsi="Arial;sans-serif"/>
                  <w:b w:val="false"/>
                  <w:color w:val="0000FF"/>
                  <w:sz w:val="20"/>
                  <w:u w:val="single"/>
                </w:rPr>
                <w:t>Certification of Chief Executive Officer pursuant to Securities Exchange Act of 1934 Rule 13a-14(a) or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1"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w:anchor="abm10312023ex312.htm">
              <w:r>
                <w:rPr>
                  <w:rStyle w:val="InternetLink"/>
                  <w:rFonts w:ascii="Arial;sans-serif" w:hAnsi="Arial;sans-serif"/>
                  <w:b w:val="false"/>
                  <w:color w:val="0000FF"/>
                  <w:sz w:val="20"/>
                  <w:u w:val="single"/>
                </w:rPr>
                <w:t>Certification of Chief Financial Officer pursuant to Securities Exchange Act of 1934 Rule 13a-14(a) or 15d-14(a), as adopted pursuant to Section 302 of the Sarbanes-Oxley Act of 2002</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267"/>
        <w:gridCol w:w="218"/>
        <w:gridCol w:w="220"/>
        <w:gridCol w:w="109"/>
        <w:gridCol w:w="109"/>
        <w:gridCol w:w="109"/>
        <w:gridCol w:w="2168"/>
        <w:gridCol w:w="2168"/>
        <w:gridCol w:w="217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26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bm10312023ex321.htm">
              <w:r>
                <w:rPr>
                  <w:rStyle w:val="InternetLink"/>
                  <w:rFonts w:ascii="Arial;sans-serif" w:hAnsi="Arial;sans-serif"/>
                  <w:b w:val="false"/>
                  <w:color w:val="0000FF"/>
                  <w:sz w:val="20"/>
                  <w:u w:val="single"/>
                </w:rPr>
                <w:t>Certifications pursuant to Securities Exchange Act of 1934 Rule 13a-14(b) or 15d-14(b) and 18 U.S.C. Section 1350,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97*‡</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8" w:type="dxa"/>
            <w:gridSpan w:val="3"/>
            <w:tcBorders/>
            <w:shd w:fill="DCE2EF" w:val="clear"/>
            <w:tcMar>
              <w:top w:w="0" w:type="dxa"/>
              <w:left w:w="0" w:type="dxa"/>
              <w:bottom w:w="0" w:type="dxa"/>
              <w:right w:w="0" w:type="dxa"/>
            </w:tcMar>
            <w:vAlign w:val="center"/>
          </w:tcPr>
          <w:p>
            <w:pPr>
              <w:pStyle w:val="TableContents"/>
              <w:bidi w:val="0"/>
              <w:spacing w:lineRule="auto" w:line="240" w:before="0" w:after="0"/>
              <w:jc w:val="left"/>
              <w:rPr/>
            </w:pPr>
            <w:hyperlink w:anchor="abm10312023ex97.htm">
              <w:r>
                <w:rPr>
                  <w:rStyle w:val="InternetLink"/>
                  <w:rFonts w:ascii="Arial;sans-serif" w:hAnsi="Arial;sans-serif"/>
                  <w:b w:val="false"/>
                  <w:color w:val="0000FF"/>
                  <w:sz w:val="20"/>
                  <w:u w:val="single"/>
                </w:rPr>
                <w:t>ABM Industries Incorporated Amended and Restated Recoupment Policy, effective October 2, 2023</w:t>
              </w:r>
            </w:hyperlink>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 ‡</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 ‡</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Label Linkbase Document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 ‡</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8" w:type="dxa"/>
            <w:gridSpan w:val="3"/>
            <w:tcBorders/>
            <w:shd w:fill="DCE2E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DCE2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22" w:type="dxa"/>
        <w:jc w:val="left"/>
        <w:tblInd w:w="0" w:type="dxa"/>
        <w:tblLayout w:type="fixed"/>
        <w:tblCellMar>
          <w:top w:w="28" w:type="dxa"/>
          <w:left w:w="28" w:type="dxa"/>
          <w:bottom w:w="28" w:type="dxa"/>
          <w:right w:w="28" w:type="dxa"/>
        </w:tblCellMar>
      </w:tblPr>
      <w:tblGrid>
        <w:gridCol w:w="124"/>
        <w:gridCol w:w="109"/>
        <w:gridCol w:w="109"/>
        <w:gridCol w:w="2071"/>
        <w:gridCol w:w="2071"/>
        <w:gridCol w:w="29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Indicates management contract or compensatory plan, contract,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Indicates 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Indicates furnished herewith</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ABM Industries Incorporated</w:t>
      </w:r>
    </w:p>
    <w:tbl>
      <w:tblPr>
        <w:tblW w:w="5292" w:type="dxa"/>
        <w:jc w:val="center"/>
        <w:tblInd w:w="0" w:type="dxa"/>
        <w:tblLayout w:type="fixed"/>
        <w:tblCellMar>
          <w:top w:w="28" w:type="dxa"/>
          <w:left w:w="28" w:type="dxa"/>
          <w:bottom w:w="28" w:type="dxa"/>
          <w:right w:w="28" w:type="dxa"/>
        </w:tblCellMar>
      </w:tblPr>
      <w:tblGrid>
        <w:gridCol w:w="151"/>
        <w:gridCol w:w="134"/>
        <w:gridCol w:w="135"/>
        <w:gridCol w:w="1498"/>
        <w:gridCol w:w="1498"/>
        <w:gridCol w:w="1504"/>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Scott Salmirs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Scott Salmirs</w:t>
              <w:br/>
              <w:t>President and Chief Executive Officer and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18,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ABM Industries and in the capacities and on the dates indicated.</w:t>
      </w:r>
    </w:p>
    <w:tbl>
      <w:tblPr>
        <w:tblW w:w="5352" w:type="dxa"/>
        <w:jc w:val="left"/>
        <w:tblInd w:w="0" w:type="dxa"/>
        <w:tblLayout w:type="fixed"/>
        <w:tblCellMar>
          <w:top w:w="28" w:type="dxa"/>
          <w:left w:w="28" w:type="dxa"/>
          <w:bottom w:w="28" w:type="dxa"/>
          <w:right w:w="28" w:type="dxa"/>
        </w:tblCellMar>
      </w:tblPr>
      <w:tblGrid>
        <w:gridCol w:w="151"/>
        <w:gridCol w:w="134"/>
        <w:gridCol w:w="135"/>
        <w:gridCol w:w="1518"/>
        <w:gridCol w:w="1518"/>
        <w:gridCol w:w="1524"/>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Scott Salmirs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Scott Salmirs</w:t>
              <w:br/>
              <w:t xml:space="preserve">President and Chief Executive Officer and Director </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18,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color w:val="000000"/>
        </w:rPr>
      </w:pPr>
      <w:r>
        <w:rPr>
          <w:color w:val="000000"/>
        </w:rPr>
        <w:t> </w:t>
      </w:r>
    </w:p>
    <w:tbl>
      <w:tblPr>
        <w:tblW w:w="7856" w:type="dxa"/>
        <w:jc w:val="left"/>
        <w:tblInd w:w="0" w:type="dxa"/>
        <w:tblLayout w:type="fixed"/>
        <w:tblCellMar>
          <w:top w:w="28" w:type="dxa"/>
          <w:left w:w="28" w:type="dxa"/>
          <w:bottom w:w="28" w:type="dxa"/>
          <w:right w:w="28" w:type="dxa"/>
        </w:tblCellMar>
      </w:tblPr>
      <w:tblGrid>
        <w:gridCol w:w="1149"/>
        <w:gridCol w:w="1013"/>
        <w:gridCol w:w="1018"/>
        <w:gridCol w:w="109"/>
        <w:gridCol w:w="109"/>
        <w:gridCol w:w="109"/>
        <w:gridCol w:w="1270"/>
        <w:gridCol w:w="1270"/>
        <w:gridCol w:w="1809"/>
      </w:tblGrid>
      <w:tr>
        <w:trPr/>
        <w:tc>
          <w:tcPr>
            <w:tcW w:w="114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Earl R. Ellis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Dean A. Chin</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Earl R. Ellis</w:t>
            </w:r>
          </w:p>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Executive Vice President and</w:t>
            </w:r>
          </w:p>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Dean A. Chin</w:t>
              <w:br/>
              <w:t>Senior Vice President, Chief Accounting Officer,</w:t>
              <w:br/>
              <w:t>Corporate Controller and Treasurer</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(Principal Accounting Officer)</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18,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18, 2023</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Sudhakar Kesavan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Quincy L. Allen</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Sudhakar Kesavan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Quincy L. Allen, Director</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Chairman of the Board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18, 2023</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18,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LeighAnne G. Baker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Donald F. Colleran</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LeighAnne G. Baker, 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Donald F. Colleran, Director</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18,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18, 2023</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James D. DeVries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Art A. Garcia</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James D. DeVries, 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Art A. Garcia, Director</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18,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18, 2023</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Thomas M. Gartland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Jill M. Golder</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Thomas M. Gartland,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Jill M. Golder, Director</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18,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18, 2023</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Winifred M. Webb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Winifred M. Webb,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18,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10.13</w:t>
      </w:r>
    </w:p>
    <w:p>
      <w:pPr>
        <w:pStyle w:val="TextBody"/>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ABM INDUSTRIES INCORPORATED </w:t>
      </w:r>
    </w:p>
    <w:p>
      <w:pPr>
        <w:pStyle w:val="TextBody"/>
        <w:bidi w:val="0"/>
        <w:spacing w:lineRule="auto" w:line="240" w:before="0" w:after="0"/>
        <w:jc w:val="center"/>
        <w:rPr>
          <w:rFonts w:ascii="Arial;sans-serif" w:hAnsi="Arial;sans-serif"/>
          <w:b/>
          <w:color w:val="000000"/>
          <w:sz w:val="18"/>
        </w:rPr>
      </w:pPr>
      <w:r>
        <w:rPr>
          <w:rFonts w:ascii="Arial;sans-serif" w:hAnsi="Arial;sans-serif"/>
          <w:b/>
          <w:color w:val="000000"/>
          <w:sz w:val="18"/>
        </w:rPr>
        <w:br/>
        <w:t>2021 EQUITY AND INCENTIVE COMPENSATION PLAN</w:t>
      </w:r>
    </w:p>
    <w:p>
      <w:pPr>
        <w:pStyle w:val="TextBody"/>
        <w:bidi w:val="0"/>
        <w:spacing w:before="0" w:after="0"/>
        <w:jc w:val="center"/>
        <w:rPr/>
      </w:pPr>
      <w:r>
        <w:rPr/>
      </w:r>
    </w:p>
    <w:p>
      <w:pPr>
        <w:pStyle w:val="TextBody"/>
        <w:bidi w:val="0"/>
        <w:spacing w:lineRule="auto" w:line="240" w:before="0" w:after="240"/>
        <w:jc w:val="center"/>
        <w:rPr>
          <w:rFonts w:ascii="Arial;sans-serif" w:hAnsi="Arial;sans-serif"/>
          <w:b/>
          <w:color w:val="000000"/>
          <w:sz w:val="18"/>
        </w:rPr>
      </w:pPr>
      <w:r>
        <w:rPr>
          <w:rFonts w:ascii="Arial;sans-serif" w:hAnsi="Arial;sans-serif"/>
          <w:b/>
          <w:color w:val="000000"/>
          <w:sz w:val="18"/>
        </w:rPr>
        <w:t>AMENDED AND RESTATED OCTOBER 26, 2023</w:t>
      </w:r>
    </w:p>
    <w:p>
      <w:pPr>
        <w:pStyle w:val="TextBody"/>
        <w:bidi w:val="0"/>
        <w:spacing w:lineRule="auto" w:line="240" w:before="0" w:after="240"/>
        <w:ind w:left="0" w:right="0" w:firstLine="720"/>
        <w:jc w:val="both"/>
        <w:rPr/>
      </w:pPr>
      <w:r>
        <w:rPr>
          <w:rFonts w:ascii="Arial;sans-serif" w:hAnsi="Arial;sans-serif"/>
          <w:b w:val="false"/>
          <w:color w:val="000000"/>
          <w:sz w:val="18"/>
        </w:rPr>
        <w:t>1.     </w:t>
      </w:r>
      <w:r>
        <w:rPr>
          <w:rFonts w:ascii="Arial;sans-serif" w:hAnsi="Arial;sans-serif"/>
          <w:b/>
          <w:color w:val="000000"/>
          <w:sz w:val="18"/>
        </w:rPr>
        <w:t xml:space="preserve">Purpose. </w:t>
      </w:r>
      <w:r>
        <w:rPr>
          <w:rFonts w:ascii="Arial;sans-serif" w:hAnsi="Arial;sans-serif"/>
          <w:b w:val="false"/>
          <w:color w:val="000000"/>
          <w:sz w:val="18"/>
        </w:rPr>
        <w:t>The purpose of this Plan</w:t>
      </w:r>
      <w:r>
        <w:rPr>
          <w:color w:val="1F497D"/>
        </w:rPr>
        <w:t xml:space="preserve"> </w:t>
      </w:r>
      <w:r>
        <w:rPr>
          <w:rFonts w:ascii="Arial;sans-serif" w:hAnsi="Arial;sans-serif"/>
          <w:b w:val="false"/>
          <w:color w:val="000000"/>
          <w:sz w:val="18"/>
        </w:rPr>
        <w:t>is to permit award grants to non-employee Directors, officers and other employees of the Company and its Subsidiaries, and certain Consultants to the Company and its Subsidiaries, and to provide to such persons incentives and rewards for service and/or Company performance.</w:t>
      </w:r>
    </w:p>
    <w:p>
      <w:pPr>
        <w:pStyle w:val="TextBody"/>
        <w:bidi w:val="0"/>
        <w:spacing w:lineRule="auto" w:line="240" w:before="0" w:after="240"/>
        <w:ind w:left="0" w:right="0" w:firstLine="720"/>
        <w:jc w:val="both"/>
        <w:rPr/>
      </w:pPr>
      <w:r>
        <w:rPr>
          <w:rFonts w:ascii="Arial;sans-serif" w:hAnsi="Arial;sans-serif"/>
          <w:b w:val="false"/>
          <w:color w:val="000000"/>
          <w:sz w:val="18"/>
        </w:rPr>
        <w:t>2.     </w:t>
      </w:r>
      <w:r>
        <w:rPr>
          <w:rFonts w:ascii="Arial;sans-serif" w:hAnsi="Arial;sans-serif"/>
          <w:b/>
          <w:color w:val="000000"/>
          <w:sz w:val="18"/>
        </w:rPr>
        <w:t xml:space="preserve">Definitions. </w:t>
      </w:r>
      <w:r>
        <w:rPr>
          <w:rFonts w:ascii="Arial;sans-serif" w:hAnsi="Arial;sans-serif"/>
          <w:b w:val="false"/>
          <w:color w:val="000000"/>
          <w:sz w:val="18"/>
        </w:rPr>
        <w:t>Except as otherwise provided herein, the following are the definitions used in this Plan:</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(a)    “Affiliate” means </w:t>
      </w:r>
      <w:r>
        <w:rPr>
          <w:rFonts w:ascii="Arial;sans-serif" w:hAnsi="Arial;sans-serif"/>
          <w:b w:val="false"/>
          <w:color w:val="000000"/>
          <w:sz w:val="18"/>
          <w:shd w:fill="FFFFFF" w:val="clear"/>
        </w:rPr>
        <w:t xml:space="preserve">a person that directly, or indirectly through one or more intermediaries, controls or is controlled by, or is under common control with, the person specified. </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(b)    “Appreciation Right” means a right granted pursuant to </w:t>
      </w:r>
      <w:r>
        <w:rPr>
          <w:rFonts w:ascii="Arial;sans-serif" w:hAnsi="Arial;sans-serif"/>
          <w:b/>
          <w:color w:val="000000"/>
          <w:sz w:val="18"/>
          <w:u w:val="single"/>
        </w:rPr>
        <w:t>Section 5</w:t>
      </w:r>
      <w:r>
        <w:rPr>
          <w:color w:val="000000"/>
        </w:rPr>
        <w:t xml:space="preserve"> </w:t>
      </w:r>
      <w:r>
        <w:rPr>
          <w:rFonts w:ascii="Arial;sans-serif" w:hAnsi="Arial;sans-serif"/>
          <w:b w:val="false"/>
          <w:color w:val="000000"/>
          <w:sz w:val="18"/>
        </w:rPr>
        <w:t>of this Plan.</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(c)    “Base Price” means the price to be used as the basis for determining the Spread upon the exercise of an Appreciation Right.</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(d)    “Board” means the Board of Directors of the Company.</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(e)    “Cash Incentive Award” means a cash award granted pursuant to </w:t>
      </w:r>
      <w:r>
        <w:rPr>
          <w:rFonts w:ascii="Arial;sans-serif" w:hAnsi="Arial;sans-serif"/>
          <w:b/>
          <w:color w:val="000000"/>
          <w:sz w:val="18"/>
          <w:u w:val="single"/>
        </w:rPr>
        <w:t>Section 8</w:t>
      </w:r>
      <w:r>
        <w:rPr>
          <w:color w:val="000000"/>
        </w:rPr>
        <w:t xml:space="preserve"> </w:t>
      </w:r>
      <w:r>
        <w:rPr>
          <w:rFonts w:ascii="Arial;sans-serif" w:hAnsi="Arial;sans-serif"/>
          <w:b w:val="false"/>
          <w:color w:val="000000"/>
          <w:sz w:val="18"/>
        </w:rPr>
        <w:t>of this Plan.</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(f)    “Change in Control” has the meaning set forth in </w:t>
      </w:r>
      <w:r>
        <w:rPr>
          <w:rFonts w:ascii="Arial;sans-serif" w:hAnsi="Arial;sans-serif"/>
          <w:b/>
          <w:color w:val="000000"/>
          <w:sz w:val="18"/>
          <w:u w:val="single"/>
        </w:rPr>
        <w:t>Section 12</w:t>
      </w:r>
      <w:r>
        <w:rPr>
          <w:color w:val="000000"/>
        </w:rPr>
        <w:t xml:space="preserve"> </w:t>
      </w:r>
      <w:r>
        <w:rPr>
          <w:rFonts w:ascii="Arial;sans-serif" w:hAnsi="Arial;sans-serif"/>
          <w:b w:val="false"/>
          <w:color w:val="000000"/>
          <w:sz w:val="18"/>
        </w:rPr>
        <w:t>of this Plan.</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(g)    “Code” means the Internal Revenue Code of 1986, as amended from time to time, and the regulations thereunder, as such law and regulations may be amended from time to time.</w:t>
      </w:r>
    </w:p>
    <w:p>
      <w:pPr>
        <w:pStyle w:val="TextBody"/>
        <w:bidi w:val="0"/>
        <w:spacing w:lineRule="auto" w:line="240" w:before="0" w:after="240"/>
        <w:ind w:left="0" w:right="0" w:firstLine="1440"/>
        <w:jc w:val="both"/>
        <w:rPr/>
      </w:pPr>
      <w:r>
        <w:rPr>
          <w:rFonts w:ascii="Arial;sans-serif" w:hAnsi="Arial;sans-serif"/>
          <w:b w:val="false"/>
          <w:color w:val="000000"/>
          <w:sz w:val="18"/>
        </w:rPr>
        <w:t>(h)    “Committee” means the Compensation Committee</w:t>
      </w:r>
      <w:r>
        <w:rPr>
          <w:color w:val="000000"/>
        </w:rPr>
        <w:t xml:space="preserve"> </w:t>
      </w:r>
      <w:r>
        <w:rPr>
          <w:rFonts w:ascii="Arial;sans-serif" w:hAnsi="Arial;sans-serif"/>
          <w:b w:val="false"/>
          <w:color w:val="000000"/>
          <w:sz w:val="18"/>
        </w:rPr>
        <w:t xml:space="preserve">of the Board (or its successor(s)), or any other committee of the Board designated by the Board to administer this Plan pursuant to </w:t>
      </w:r>
      <w:r>
        <w:rPr>
          <w:rFonts w:ascii="Arial;sans-serif" w:hAnsi="Arial;sans-serif"/>
          <w:b/>
          <w:color w:val="000000"/>
          <w:sz w:val="18"/>
          <w:u w:val="single"/>
        </w:rPr>
        <w:t>Section 10</w:t>
      </w:r>
      <w:r>
        <w:rPr>
          <w:color w:val="000000"/>
        </w:rPr>
        <w:t xml:space="preserve"> </w:t>
      </w:r>
      <w:r>
        <w:rPr>
          <w:rFonts w:ascii="Arial;sans-serif" w:hAnsi="Arial;sans-serif"/>
          <w:b w:val="false"/>
          <w:color w:val="000000"/>
          <w:sz w:val="18"/>
        </w:rPr>
        <w:t xml:space="preserve">of this Plan. Each member of the Committee shall qualify as (i) a “independent” director under the applicable definition of the New York Stock Exchange or other securities exchange upon which the Common Stock is listed and (ii) a “non-employee director” within the meaning of Rule 16b-3 of the Exchange Act. </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(i)    “Common Stock” means the common stock, par value $.01 per share, of the Company or any security into which such common stock may be changed by reason of any transaction or event of the type referred to in </w:t>
      </w:r>
      <w:r>
        <w:rPr>
          <w:rFonts w:ascii="Arial;sans-serif" w:hAnsi="Arial;sans-serif"/>
          <w:b/>
          <w:color w:val="000000"/>
          <w:sz w:val="18"/>
          <w:u w:val="single"/>
        </w:rPr>
        <w:t>Section 11</w:t>
      </w:r>
      <w:r>
        <w:rPr>
          <w:color w:val="000000"/>
        </w:rPr>
        <w:t xml:space="preserve"> </w:t>
      </w:r>
      <w:r>
        <w:rPr>
          <w:rFonts w:ascii="Arial;sans-serif" w:hAnsi="Arial;sans-serif"/>
          <w:b w:val="false"/>
          <w:color w:val="000000"/>
          <w:sz w:val="18"/>
        </w:rPr>
        <w:t>of this Plan.</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(j)    “Company” means ABM Industries Inc., a Delaware corporation, and its successors.</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(k)    “Consultant” means a natural person that provides bona fide services to the Company and/or its Affiliates; provided, however, that a Consultant shall not include a person whose services are in connection with the offer or sale of the Company’s securities in a capital-raising transaction including, directly or indirectly, the promotion or maintenance of a market for the Company’s securities.</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(l)    “Date of Grant” means the date provided for by the Committee on which a grant of Option Rights, Appreciation Rights, Performance Shares, Performance Units, Cash Incentive Awards, or other awards contemplated by </w:t>
      </w:r>
      <w:r>
        <w:rPr>
          <w:rFonts w:ascii="Arial;sans-serif" w:hAnsi="Arial;sans-serif"/>
          <w:b/>
          <w:color w:val="000000"/>
          <w:sz w:val="18"/>
          <w:u w:val="single"/>
        </w:rPr>
        <w:t>Section 9</w:t>
      </w:r>
      <w:r>
        <w:rPr>
          <w:color w:val="000000"/>
        </w:rPr>
        <w:t xml:space="preserve"> </w:t>
      </w:r>
      <w:r>
        <w:rPr>
          <w:rFonts w:ascii="Arial;sans-serif" w:hAnsi="Arial;sans-serif"/>
          <w:b w:val="false"/>
          <w:color w:val="000000"/>
          <w:sz w:val="18"/>
        </w:rPr>
        <w:t xml:space="preserve">of this Plan, or a grant or sale of Restricted Stock, Restricted Stock Units, or other awards contemplated by </w:t>
      </w:r>
      <w:r>
        <w:rPr>
          <w:rFonts w:ascii="Arial;sans-serif" w:hAnsi="Arial;sans-serif"/>
          <w:b/>
          <w:color w:val="000000"/>
          <w:sz w:val="18"/>
          <w:u w:val="single"/>
        </w:rPr>
        <w:t>Section 9</w:t>
      </w:r>
      <w:r>
        <w:rPr>
          <w:color w:val="000000"/>
        </w:rPr>
        <w:t xml:space="preserve"> </w:t>
      </w:r>
      <w:r>
        <w:rPr>
          <w:rFonts w:ascii="Arial;sans-serif" w:hAnsi="Arial;sans-serif"/>
          <w:b w:val="false"/>
          <w:color w:val="000000"/>
          <w:sz w:val="18"/>
        </w:rPr>
        <w:t>of this Plan, will become effective (which date will not be earlier than the date on which the Committee takes action with respect thereto).</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(m)    “Director” means a member of the Board.</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(n)    “Effective Date” means the date this Plan is approved by the Stockholders.</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 xml:space="preserve">(o)    “Evidence of Award” means an agreement, certificate, resolution or other type or form of writing or other evidence approved by the Committee that sets forth the terms and conditions of the awards granted under this Plan. An Evidence of Award may be in an electronic medium, may be limited to notation on the books and records of the Company and, unless otherwise determined by the Committee, need not be signed by a representative of the Company or a Participant. </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(p)    “Exchange Act” means the Securities Exchange Act of 1934, as amended from time to time, and the rules and regulations thereunder, as such law, rules and regulations may be amended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(q)    “Incentive Stock Option” means an Option Right that is intended to qualify as an “incentive stock option” under Section 422 of the Code or any successor provision.</w:t>
      </w:r>
    </w:p>
    <w:p>
      <w:pPr>
        <w:pStyle w:val="TextBody"/>
        <w:bidi w:val="0"/>
        <w:spacing w:lineRule="auto" w:line="240" w:before="0" w:after="240"/>
        <w:ind w:left="0" w:right="0" w:firstLine="1440"/>
        <w:jc w:val="both"/>
        <w:rPr/>
      </w:pPr>
      <w:r>
        <w:rPr>
          <w:rFonts w:ascii="Arial;sans-serif" w:hAnsi="Arial;sans-serif"/>
          <w:b w:val="false"/>
          <w:color w:val="000000"/>
          <w:sz w:val="18"/>
        </w:rPr>
        <w:t>(r)</w:t>
      </w:r>
      <w:r>
        <w:rPr>
          <w:color w:val="ED7D31"/>
        </w:rPr>
        <w:t>    </w:t>
      </w:r>
      <w:r>
        <w:rPr>
          <w:color w:val="000000"/>
        </w:rPr>
        <w:t>“</w:t>
      </w:r>
      <w:r>
        <w:rPr>
          <w:rFonts w:ascii="Arial;sans-serif" w:hAnsi="Arial;sans-serif"/>
          <w:b w:val="false"/>
          <w:color w:val="000000"/>
          <w:sz w:val="18"/>
        </w:rPr>
        <w:t xml:space="preserve">Incumbent Directors” means the individuals who, as of the Effective Date, are Directors of the Company and any individual becoming a Director subsequent to the Effective Date whose election, nomination for election by the Company’s stockholders or 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Arial;sans-serif" w:hAnsi="Arial;sans-serif"/>
          <w:b w:val="false"/>
          <w:i/>
          <w:color w:val="000000"/>
          <w:sz w:val="18"/>
        </w:rPr>
        <w:t>provided</w:t>
      </w:r>
      <w:r>
        <w:rPr>
          <w:rFonts w:ascii="Arial;sans-serif" w:hAnsi="Arial;sans-serif"/>
          <w:b w:val="false"/>
          <w:color w:val="000000"/>
          <w:sz w:val="18"/>
        </w:rPr>
        <w:t>,</w:t>
      </w:r>
      <w:r>
        <w:rPr>
          <w:color w:val="ED7D31"/>
        </w:rPr>
        <w:t xml:space="preserve"> </w:t>
      </w:r>
      <w:r>
        <w:rPr>
          <w:rFonts w:ascii="Arial;sans-serif" w:hAnsi="Arial;sans-serif"/>
          <w:b w:val="false"/>
          <w:i/>
          <w:color w:val="000000"/>
          <w:sz w:val="18"/>
        </w:rPr>
        <w:t>however</w:t>
      </w:r>
      <w:r>
        <w:rPr>
          <w:rFonts w:ascii="Arial;sans-serif" w:hAnsi="Arial;sans-serif"/>
          <w:b w:val="false"/>
          <w:color w:val="000000"/>
          <w:sz w:val="18"/>
        </w:rPr>
        <w:t>,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(including through the use of any proxy access procedures set forth in the Company’s organizational documents) by or on behalf of a Person other than the Board.</w:t>
      </w:r>
    </w:p>
    <w:p>
      <w:pPr>
        <w:pStyle w:val="TextBody"/>
        <w:bidi w:val="0"/>
        <w:spacing w:lineRule="auto" w:line="240" w:before="0" w:after="240"/>
        <w:ind w:left="0" w:right="0" w:firstLine="1440"/>
        <w:jc w:val="both"/>
        <w:rPr/>
      </w:pPr>
      <w:r>
        <w:rPr>
          <w:rFonts w:ascii="Arial;sans-serif" w:hAnsi="Arial;sans-serif"/>
          <w:b w:val="false"/>
          <w:color w:val="000000"/>
          <w:sz w:val="18"/>
        </w:rPr>
        <w:t>(s)    “Management Objectives” means performance objective or objectives established pursuant to this Plan for Participants who have received grants of Performance Shares, Performance Units or Cash Incentive Awards or, when so determined by the Committee, Option Rights, Appreciation Rights, Restricted Stock, Restricted Stock Units, dividend equivalents or other awards pursuant to this Plan and include, but is not limited to, objectives related to: absolute or relative stockholder return; earnings per share; stock price; return on equity; return on invested capital; net earnings; income from continuing operations; related return ratios; cash flow; net earnings growth; earnings before interest, taxes, depreciation and amortization (“EBITDA”); gross or operating margins; operating profit; productivity ratios; expense targets; operating efficiency; market share; customer retention and/or satisfaction; safety; diversity; employee recruitment, engagement, retention and/or training; employee satisfaction; environmental performance or goals, working capital targets (including, but not limited to days sales outstanding); sales; return on assets; revenues; decrease in expenses; increase in funds from operations (“FFO”); and increase in FFO per share</w:t>
      </w:r>
      <w:r>
        <w:rPr>
          <w:rFonts w:ascii="Arial;sans-serif" w:hAnsi="Arial;sans-serif"/>
          <w:b w:val="false"/>
          <w:color w:val="000000"/>
          <w:sz w:val="18"/>
          <w:shd w:fill="FFFFFF" w:val="clear"/>
        </w:rPr>
        <w:t>, any of which may be measured either in absolute terms or as compared to any incremental increase or as compared to results of a peer group.</w:t>
      </w:r>
      <w:r>
        <w:rPr>
          <w:color w:val="000000"/>
        </w:rPr>
        <w:t xml:space="preserve"> </w:t>
      </w:r>
      <w:r>
        <w:rPr>
          <w:rFonts w:ascii="Arial;sans-serif" w:hAnsi="Arial;sans-serif"/>
          <w:b w:val="false"/>
          <w:color w:val="000000"/>
          <w:sz w:val="18"/>
        </w:rPr>
        <w:t>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regarding the Management Objectives, in whole or in part, as the Committee deems appropriate and equitable.</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(t)    “Market Value per Share” means, as of any particular date, the closing price of a share of Common Stock as reported for that date on the New York Stock Exchange or, if the Common Stock is not then listed on the New York Stock Exchange, on any other national securities exchange on which the Common Stock is listed, or if there are no sales on such date, on the prior trading day before which a sale occurred. If there is no regular public trading market for the Common Stock, then the Market Value per Share shall be the fair market value as determined in good faith by the Committee. The Committee is authorized to adopt another fair market value pricing method provided such method is stated in the applicable Evidence of Award and is in compliance with the fair market value pricing rules set forth in Section 409A of the Code.</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(u)    “Optionee” means the optionee named in an Evidence of Award evidencing an outstanding Option Right.</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(v)    “Option Price” means the purchase price payable on exercise of an Option Right.</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(w)    “Option Right” means the right to purchase Common Stock upon exercise of an award granted pursuant to </w:t>
      </w:r>
      <w:r>
        <w:rPr>
          <w:rFonts w:ascii="Arial;sans-serif" w:hAnsi="Arial;sans-serif"/>
          <w:b/>
          <w:color w:val="000000"/>
          <w:sz w:val="18"/>
          <w:u w:val="single"/>
        </w:rPr>
        <w:t>Section 4</w:t>
      </w:r>
      <w:r>
        <w:rPr>
          <w:color w:val="000000"/>
        </w:rPr>
        <w:t xml:space="preserve"> </w:t>
      </w:r>
      <w:r>
        <w:rPr>
          <w:rFonts w:ascii="Arial;sans-serif" w:hAnsi="Arial;sans-serif"/>
          <w:b w:val="false"/>
          <w:color w:val="000000"/>
          <w:sz w:val="18"/>
        </w:rPr>
        <w:t>of this Plan.</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(x)    “Participant” means a person who is selected by the Committee to receive benefits under this Plan and who is at the time (i) a non-employee Director, (ii) an officer or other employee of the Company or any Subsidiary, including a person who has agreed to commence serving in such capacity within 90 days of the Date of Grant, or (iii) a Consultant.</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(y)    “Performance Period” means, in respect of a Cash Incentive Award, Performance Share or Performance Unit, a period of time established pursuant to </w:t>
      </w:r>
      <w:r>
        <w:rPr>
          <w:rFonts w:ascii="Arial;sans-serif" w:hAnsi="Arial;sans-serif"/>
          <w:b/>
          <w:color w:val="000000"/>
          <w:sz w:val="18"/>
          <w:u w:val="single"/>
        </w:rPr>
        <w:t>Section 8</w:t>
      </w:r>
      <w:r>
        <w:rPr>
          <w:color w:val="000000"/>
        </w:rPr>
        <w:t xml:space="preserve"> </w:t>
      </w:r>
      <w:r>
        <w:rPr>
          <w:rFonts w:ascii="Arial;sans-serif" w:hAnsi="Arial;sans-serif"/>
          <w:b w:val="false"/>
          <w:color w:val="000000"/>
          <w:sz w:val="18"/>
        </w:rPr>
        <w:t>of this Plan within which the Management Objectives relating to such Cash Incentive Award, Performance Share or Performance Unit are to be achieved.</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(z)    “Performance Share” means a bookkeeping entry that records the equivalent of one share of Common Stock awarded pursuant to </w:t>
      </w:r>
      <w:r>
        <w:rPr>
          <w:rFonts w:ascii="Arial;sans-serif" w:hAnsi="Arial;sans-serif"/>
          <w:b/>
          <w:color w:val="000000"/>
          <w:sz w:val="18"/>
          <w:u w:val="single"/>
        </w:rPr>
        <w:t>Section 8</w:t>
      </w:r>
      <w:r>
        <w:rPr>
          <w:color w:val="000000"/>
        </w:rPr>
        <w:t xml:space="preserve"> </w:t>
      </w:r>
      <w:r>
        <w:rPr>
          <w:rFonts w:ascii="Arial;sans-serif" w:hAnsi="Arial;sans-serif"/>
          <w:b w:val="false"/>
          <w:color w:val="000000"/>
          <w:sz w:val="18"/>
        </w:rPr>
        <w:t>of this Plan, and may be payable in cash, Common Stock or a combination thereof.</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(aa)    “Performance Unit” means a bookkeeping entry award granted pursuant to </w:t>
      </w:r>
      <w:r>
        <w:rPr>
          <w:rFonts w:ascii="Arial;sans-serif" w:hAnsi="Arial;sans-serif"/>
          <w:b/>
          <w:color w:val="000000"/>
          <w:sz w:val="18"/>
          <w:u w:val="single"/>
        </w:rPr>
        <w:t>Section 8</w:t>
      </w:r>
      <w:r>
        <w:rPr>
          <w:color w:val="000000"/>
        </w:rPr>
        <w:t xml:space="preserve"> </w:t>
      </w:r>
      <w:r>
        <w:rPr>
          <w:rFonts w:ascii="Arial;sans-serif" w:hAnsi="Arial;sans-serif"/>
          <w:b w:val="false"/>
          <w:color w:val="000000"/>
          <w:sz w:val="18"/>
        </w:rPr>
        <w:t>of this Plan that records a unit equivalent to $1.00 or such other value as is determined by the Committee, and may be payable in cash, Common Stock or a combination thereof.</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(bb)    “Plan” means this ABM Industries Inc. 2021 Equity and Incentive Compensation Plan, as may be amended or amended and restated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(cc)    “Predecessor Plan” means the ABM Industries Inc. 2006 Equity Incentive Plan, as Amended and Restated on March 7, 2018.</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(dd)    “Restricted Stock” means Common Stock granted or sold pursuant to </w:t>
      </w:r>
      <w:r>
        <w:rPr>
          <w:rFonts w:ascii="Arial;sans-serif" w:hAnsi="Arial;sans-serif"/>
          <w:b/>
          <w:color w:val="000000"/>
          <w:sz w:val="18"/>
          <w:u w:val="single"/>
        </w:rPr>
        <w:t>Section 6</w:t>
      </w:r>
      <w:r>
        <w:rPr>
          <w:color w:val="000000"/>
        </w:rPr>
        <w:t xml:space="preserve"> </w:t>
      </w:r>
      <w:r>
        <w:rPr>
          <w:rFonts w:ascii="Arial;sans-serif" w:hAnsi="Arial;sans-serif"/>
          <w:b w:val="false"/>
          <w:color w:val="000000"/>
          <w:sz w:val="18"/>
        </w:rPr>
        <w:t>of this Plan as to which neither the substantial risk of forfeiture nor the prohibition on transfer has expired.</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(ee)    “Restricted Stock Units” means an award made pursuant to </w:t>
      </w:r>
      <w:r>
        <w:rPr>
          <w:rFonts w:ascii="Arial;sans-serif" w:hAnsi="Arial;sans-serif"/>
          <w:b/>
          <w:color w:val="000000"/>
          <w:sz w:val="18"/>
          <w:u w:val="single"/>
        </w:rPr>
        <w:t>Section 7</w:t>
      </w:r>
      <w:r>
        <w:rPr>
          <w:color w:val="000000"/>
        </w:rPr>
        <w:t xml:space="preserve"> </w:t>
      </w:r>
      <w:r>
        <w:rPr>
          <w:rFonts w:ascii="Arial;sans-serif" w:hAnsi="Arial;sans-serif"/>
          <w:b w:val="false"/>
          <w:color w:val="000000"/>
          <w:sz w:val="18"/>
        </w:rPr>
        <w:t>of this Plan of the right to receive Common Stock, cash or a combination thereof at the end of the applicable Restriction Period.</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(ff)    “Restriction Period” means the period of time during which Restricted Stock Units are subject to restrictions, as provided in </w:t>
      </w:r>
      <w:r>
        <w:rPr>
          <w:rFonts w:ascii="Arial;sans-serif" w:hAnsi="Arial;sans-serif"/>
          <w:b/>
          <w:color w:val="000000"/>
          <w:sz w:val="18"/>
          <w:u w:val="single"/>
        </w:rPr>
        <w:t>Section 7</w:t>
      </w:r>
      <w:r>
        <w:rPr>
          <w:color w:val="000000"/>
        </w:rPr>
        <w:t xml:space="preserve"> </w:t>
      </w:r>
      <w:r>
        <w:rPr>
          <w:rFonts w:ascii="Arial;sans-serif" w:hAnsi="Arial;sans-serif"/>
          <w:b w:val="false"/>
          <w:color w:val="000000"/>
          <w:sz w:val="18"/>
        </w:rPr>
        <w:t>of this Plan.</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(gg)    “Stockholder” means an individual or entity that owns one or more shares of Common Stock.</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(hh)    “Spread” means the excess of the Market Value per Share on the date when an Appreciation Right is exercised over the Base Price provided for with respect to the Appreciation Right.</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(ii)    “Subsidiary” means a corporation, company or other entity (i) where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 </w:t>
      </w:r>
      <w:r>
        <w:rPr>
          <w:rFonts w:ascii="Arial;sans-serif" w:hAnsi="Arial;sans-serif"/>
          <w:b w:val="false"/>
          <w:color w:val="000000"/>
          <w:sz w:val="18"/>
          <w:u w:val="single"/>
        </w:rPr>
        <w:t>provided</w:t>
      </w:r>
      <w:r>
        <w:rPr>
          <w:rFonts w:ascii="Arial;sans-serif" w:hAnsi="Arial;sans-serif"/>
          <w:b w:val="false"/>
          <w:color w:val="000000"/>
          <w:sz w:val="18"/>
        </w:rPr>
        <w:t xml:space="preserve">, </w:t>
      </w:r>
      <w:r>
        <w:rPr>
          <w:rFonts w:ascii="Arial;sans-serif" w:hAnsi="Arial;sans-serif"/>
          <w:b w:val="false"/>
          <w:color w:val="000000"/>
          <w:sz w:val="18"/>
          <w:u w:val="single"/>
        </w:rPr>
        <w:t>however</w:t>
      </w:r>
      <w:r>
        <w:rPr>
          <w:rFonts w:ascii="Arial;sans-serif" w:hAnsi="Arial;sans-serif"/>
          <w:b w:val="false"/>
          <w:color w:val="000000"/>
          <w:sz w:val="18"/>
        </w:rPr>
        <w:t>, that for purposes of determining whether any person may be a Participant for purposes of any grant of Incentive Stock Options, “Subsidiary” means any corporation in which the Company at the time owns or controls, directly or indirectly, more than 50% of the total combined Voting Power represented by all classes of stock issued by such corporation.</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(jj)    “Voting Stock” means securities entitled to vote generally in the election of directors.</w:t>
      </w:r>
    </w:p>
    <w:p>
      <w:pPr>
        <w:pStyle w:val="TextBody"/>
        <w:bidi w:val="0"/>
        <w:spacing w:lineRule="auto" w:line="240" w:before="0" w:after="240"/>
        <w:ind w:left="0" w:right="0" w:firstLine="720"/>
        <w:jc w:val="both"/>
        <w:rPr/>
      </w:pPr>
      <w:r>
        <w:rPr>
          <w:rFonts w:ascii="Arial;sans-serif" w:hAnsi="Arial;sans-serif"/>
          <w:b w:val="false"/>
          <w:color w:val="000000"/>
          <w:sz w:val="18"/>
        </w:rPr>
        <w:t>3.     </w:t>
      </w:r>
      <w:r>
        <w:rPr>
          <w:rFonts w:ascii="Arial;sans-serif" w:hAnsi="Arial;sans-serif"/>
          <w:b/>
          <w:color w:val="000000"/>
          <w:sz w:val="18"/>
        </w:rPr>
        <w:t>Shares Available Under this Plan.</w:t>
      </w:r>
    </w:p>
    <w:p>
      <w:pPr>
        <w:pStyle w:val="TextBody"/>
        <w:bidi w:val="0"/>
        <w:spacing w:lineRule="auto" w:line="240" w:before="0" w:after="240"/>
        <w:ind w:left="0" w:right="0" w:firstLine="1440"/>
        <w:jc w:val="both"/>
        <w:rPr/>
      </w:pPr>
      <w:r>
        <w:rPr>
          <w:rFonts w:ascii="Arial;sans-serif" w:hAnsi="Arial;sans-serif"/>
          <w:b w:val="false"/>
          <w:color w:val="000000"/>
          <w:sz w:val="18"/>
        </w:rPr>
        <w:t>(a)    </w:t>
      </w:r>
      <w:r>
        <w:rPr>
          <w:rFonts w:ascii="Arial;sans-serif" w:hAnsi="Arial;sans-serif"/>
          <w:b w:val="false"/>
          <w:color w:val="000000"/>
          <w:sz w:val="18"/>
          <w:u w:val="single"/>
        </w:rPr>
        <w:t>Maximum Shares Available Under this Plan</w:t>
      </w:r>
      <w:r>
        <w:rPr>
          <w:rFonts w:ascii="Arial;sans-serif" w:hAnsi="Arial;sans-serif"/>
          <w:b w:val="false"/>
          <w:color w:val="000000"/>
          <w:sz w:val="18"/>
        </w:rPr>
        <w:t>.</w:t>
      </w:r>
    </w:p>
    <w:p>
      <w:pPr>
        <w:pStyle w:val="TextBody"/>
        <w:bidi w:val="0"/>
        <w:spacing w:lineRule="auto" w:line="240" w:before="0" w:after="240"/>
        <w:ind w:left="0" w:right="0" w:hanging="720"/>
        <w:jc w:val="both"/>
        <w:rPr/>
      </w:pPr>
      <w:r>
        <w:rPr>
          <w:rFonts w:ascii="Arial;sans-serif" w:hAnsi="Arial;sans-serif"/>
          <w:b w:val="false"/>
          <w:color w:val="000000"/>
          <w:sz w:val="18"/>
        </w:rPr>
        <w:t xml:space="preserve">(i)    Subject to adjustment as provided in </w:t>
      </w:r>
      <w:r>
        <w:rPr>
          <w:rFonts w:ascii="Arial;sans-serif" w:hAnsi="Arial;sans-serif"/>
          <w:b/>
          <w:color w:val="000000"/>
          <w:sz w:val="18"/>
          <w:u w:val="single"/>
        </w:rPr>
        <w:t>Section 11</w:t>
      </w:r>
      <w:r>
        <w:rPr>
          <w:color w:val="000000"/>
        </w:rPr>
        <w:t xml:space="preserve"> </w:t>
      </w:r>
      <w:r>
        <w:rPr>
          <w:rFonts w:ascii="Arial;sans-serif" w:hAnsi="Arial;sans-serif"/>
          <w:b w:val="false"/>
          <w:color w:val="000000"/>
          <w:sz w:val="18"/>
        </w:rPr>
        <w:t xml:space="preserve">of this Plan and the share counting rules set forth in </w:t>
      </w:r>
      <w:r>
        <w:rPr>
          <w:rFonts w:ascii="Arial;sans-serif" w:hAnsi="Arial;sans-serif"/>
          <w:b/>
          <w:color w:val="000000"/>
          <w:sz w:val="18"/>
          <w:u w:val="single"/>
        </w:rPr>
        <w:t>Section 3(b)</w:t>
      </w:r>
      <w:r>
        <w:rPr>
          <w:color w:val="000000"/>
        </w:rPr>
        <w:t xml:space="preserve"> </w:t>
      </w:r>
      <w:r>
        <w:rPr>
          <w:rFonts w:ascii="Arial;sans-serif" w:hAnsi="Arial;sans-serif"/>
          <w:b w:val="false"/>
          <w:color w:val="000000"/>
          <w:sz w:val="18"/>
        </w:rPr>
        <w:t xml:space="preserve">of this Plan, the number of shares of Common Stock available under this Plan for awards of (A) Option Rights or Appreciation Rights, (B) Restricted Stock, (C) Restricted Stock Units, (D) Performance Shares or Performance Units, (E) awards contemplated by </w:t>
      </w:r>
      <w:r>
        <w:rPr>
          <w:rFonts w:ascii="Arial;sans-serif" w:hAnsi="Arial;sans-serif"/>
          <w:b/>
          <w:color w:val="000000"/>
          <w:sz w:val="18"/>
          <w:u w:val="single"/>
        </w:rPr>
        <w:t>Section 9</w:t>
      </w:r>
      <w:r>
        <w:rPr>
          <w:color w:val="000000"/>
        </w:rPr>
        <w:t xml:space="preserve"> </w:t>
      </w:r>
      <w:r>
        <w:rPr>
          <w:rFonts w:ascii="Arial;sans-serif" w:hAnsi="Arial;sans-serif"/>
          <w:b w:val="false"/>
          <w:color w:val="000000"/>
          <w:sz w:val="18"/>
        </w:rPr>
        <w:t xml:space="preserve">of this Plan, or (F) dividend equivalents paid with respect to awards made under this Plan will not exceed, in the aggregate, 3,975,000. Such shares may be shares of original issuance or treasury shares or a combination of the foregoing. </w:t>
      </w:r>
    </w:p>
    <w:p>
      <w:pPr>
        <w:pStyle w:val="TextBody"/>
        <w:bidi w:val="0"/>
        <w:spacing w:lineRule="auto" w:line="240" w:before="0" w:after="240"/>
        <w:ind w:left="0" w:right="0" w:hanging="720"/>
        <w:jc w:val="both"/>
        <w:rPr/>
      </w:pPr>
      <w:r>
        <w:rPr>
          <w:rFonts w:ascii="Arial;sans-serif" w:hAnsi="Arial;sans-serif"/>
          <w:b w:val="false"/>
          <w:color w:val="000000"/>
          <w:sz w:val="18"/>
        </w:rPr>
        <w:t xml:space="preserve">(ii)    Subject to the share counting rules set forth in </w:t>
      </w:r>
      <w:r>
        <w:rPr>
          <w:rFonts w:ascii="Arial;sans-serif" w:hAnsi="Arial;sans-serif"/>
          <w:b/>
          <w:color w:val="000000"/>
          <w:sz w:val="18"/>
          <w:u w:val="single"/>
        </w:rPr>
        <w:t>Section 3(b)</w:t>
      </w:r>
      <w:r>
        <w:rPr>
          <w:color w:val="000000"/>
        </w:rPr>
        <w:t xml:space="preserve"> </w:t>
      </w:r>
      <w:r>
        <w:rPr>
          <w:rFonts w:ascii="Arial;sans-serif" w:hAnsi="Arial;sans-serif"/>
          <w:b w:val="false"/>
          <w:color w:val="000000"/>
          <w:sz w:val="18"/>
        </w:rPr>
        <w:t xml:space="preserve">of this Plan, the aggregate number of shares of Common Stock available under </w:t>
      </w:r>
      <w:r>
        <w:rPr>
          <w:rFonts w:ascii="Arial;sans-serif" w:hAnsi="Arial;sans-serif"/>
          <w:b/>
          <w:color w:val="000000"/>
          <w:sz w:val="18"/>
          <w:u w:val="single"/>
        </w:rPr>
        <w:t>Section 3(a)(i)</w:t>
      </w:r>
      <w:r>
        <w:rPr>
          <w:color w:val="000000"/>
        </w:rPr>
        <w:t xml:space="preserve"> </w:t>
      </w:r>
      <w:r>
        <w:rPr>
          <w:rFonts w:ascii="Arial;sans-serif" w:hAnsi="Arial;sans-serif"/>
          <w:b w:val="false"/>
          <w:color w:val="000000"/>
          <w:sz w:val="18"/>
        </w:rPr>
        <w:t>of this Plan will be reduced by one share of Common Stock for every one share of Common Stock subject to an award granted under this Plan.</w:t>
      </w:r>
    </w:p>
    <w:p>
      <w:pPr>
        <w:pStyle w:val="TextBody"/>
        <w:bidi w:val="0"/>
        <w:spacing w:lineRule="auto" w:line="240" w:before="0" w:after="240"/>
        <w:ind w:left="0" w:right="0" w:firstLine="1440"/>
        <w:jc w:val="both"/>
        <w:rPr/>
      </w:pPr>
      <w:r>
        <w:rPr>
          <w:rFonts w:ascii="Arial;sans-serif" w:hAnsi="Arial;sans-serif"/>
          <w:b w:val="false"/>
          <w:color w:val="000000"/>
          <w:sz w:val="18"/>
        </w:rPr>
        <w:t>(b)    </w:t>
      </w:r>
      <w:r>
        <w:rPr>
          <w:rFonts w:ascii="Arial;sans-serif" w:hAnsi="Arial;sans-serif"/>
          <w:b w:val="false"/>
          <w:color w:val="000000"/>
          <w:sz w:val="18"/>
          <w:u w:val="single"/>
        </w:rPr>
        <w:t>Share Counting Rules</w:t>
      </w:r>
      <w:r>
        <w:rPr>
          <w:rFonts w:ascii="Arial;sans-serif" w:hAnsi="Arial;sans-serif"/>
          <w:b w:val="false"/>
          <w:color w:val="000000"/>
          <w:sz w:val="18"/>
        </w:rPr>
        <w:t>.</w:t>
      </w:r>
    </w:p>
    <w:p>
      <w:pPr>
        <w:pStyle w:val="TextBody"/>
        <w:bidi w:val="0"/>
        <w:spacing w:lineRule="auto" w:line="240" w:before="0" w:after="240"/>
        <w:ind w:left="0" w:right="0" w:hanging="720"/>
        <w:jc w:val="both"/>
        <w:rPr/>
      </w:pPr>
      <w:r>
        <w:rPr>
          <w:rFonts w:ascii="Arial;sans-serif" w:hAnsi="Arial;sans-serif"/>
          <w:b w:val="false"/>
          <w:color w:val="000000"/>
          <w:sz w:val="18"/>
        </w:rPr>
        <w:t xml:space="preserve">(i)    Except as provided in </w:t>
      </w:r>
      <w:r>
        <w:rPr>
          <w:rFonts w:ascii="Arial;sans-serif" w:hAnsi="Arial;sans-serif"/>
          <w:b/>
          <w:color w:val="000000"/>
          <w:sz w:val="18"/>
          <w:u w:val="single"/>
        </w:rPr>
        <w:t>Section 22</w:t>
      </w:r>
      <w:r>
        <w:rPr>
          <w:color w:val="000000"/>
        </w:rPr>
        <w:t xml:space="preserve"> </w:t>
      </w:r>
      <w:r>
        <w:rPr>
          <w:rFonts w:ascii="Arial;sans-serif" w:hAnsi="Arial;sans-serif"/>
          <w:b w:val="false"/>
          <w:color w:val="000000"/>
          <w:sz w:val="18"/>
        </w:rPr>
        <w:t xml:space="preserve">of this Plan or herein, if any award granted under this Plan (in whole or in part) is cancelled or forfeited, expires, is settled for cash, or is unearned, the Common Stock subject to such award will, to the extent of such cancellation, forfeiture, expiration, cash settlement, or unearned amount, again be available under </w:t>
      </w:r>
      <w:r>
        <w:rPr>
          <w:rFonts w:ascii="Arial;sans-serif" w:hAnsi="Arial;sans-serif"/>
          <w:b/>
          <w:color w:val="000000"/>
          <w:sz w:val="18"/>
          <w:u w:val="single"/>
        </w:rPr>
        <w:t>Section 3(a)(i)</w:t>
      </w:r>
      <w:r>
        <w:rPr>
          <w:color w:val="000000"/>
        </w:rPr>
        <w:t xml:space="preserve"> </w:t>
      </w:r>
      <w:r>
        <w:rPr>
          <w:rFonts w:ascii="Arial;sans-serif" w:hAnsi="Arial;sans-serif"/>
          <w:b w:val="false"/>
          <w:color w:val="000000"/>
          <w:sz w:val="18"/>
        </w:rPr>
        <w:t>above.</w:t>
      </w:r>
    </w:p>
    <w:p>
      <w:pPr>
        <w:pStyle w:val="TextBody"/>
        <w:bidi w:val="0"/>
        <w:spacing w:lineRule="auto" w:line="240" w:before="0" w:after="240"/>
        <w:ind w:left="0" w:right="0" w:hanging="720"/>
        <w:jc w:val="both"/>
        <w:rPr>
          <w:rFonts w:ascii="Arial;sans-serif" w:hAnsi="Arial;sans-serif"/>
          <w:b w:val="false"/>
          <w:color w:val="000000"/>
          <w:sz w:val="18"/>
        </w:rPr>
      </w:pPr>
      <w:r>
        <w:rPr>
          <w:rFonts w:ascii="Arial;sans-serif" w:hAnsi="Arial;sans-serif"/>
          <w:b w:val="false"/>
          <w:color w:val="000000"/>
          <w:sz w:val="18"/>
        </w:rPr>
        <w:t>(ii)    If, after the Effective Date, any Common Stock subject to an award granted under the Predecessor Plan is forfeited, or an award granted under the Predecessor Plan (in whole or in part) is cancelled or forfeited, expires, is settled for cash, or is unearned, the Common Stock subject to such award will, to the extent of such cancellation, forfeiture, expiration, cash settlement, or unearned amount, be available for awards under this Plan.</w:t>
      </w:r>
    </w:p>
    <w:p>
      <w:pPr>
        <w:pStyle w:val="TextBody"/>
        <w:bidi w:val="0"/>
        <w:spacing w:lineRule="auto" w:line="240" w:before="0" w:after="240"/>
        <w:ind w:left="0" w:right="0" w:hanging="720"/>
        <w:jc w:val="both"/>
        <w:rPr>
          <w:rFonts w:ascii="Arial;sans-serif" w:hAnsi="Arial;sans-serif"/>
          <w:b w:val="false"/>
          <w:color w:val="000000"/>
          <w:sz w:val="18"/>
        </w:rPr>
      </w:pPr>
      <w:r>
        <w:rPr>
          <w:rFonts w:ascii="Arial;sans-serif" w:hAnsi="Arial;sans-serif"/>
          <w:b w:val="false"/>
          <w:color w:val="000000"/>
          <w:sz w:val="18"/>
        </w:rPr>
        <w:t xml:space="preserve">(iii)    Notwithstanding anything to the contrary contained in this Plan: (A) shares of Common Stock withheld by the Company, tendered or otherwise used in payment of the Option Price of an Option Right will not be added (or added back,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18"/>
        </w:rPr>
        <w:t xml:space="preserve">as applicable) to the aggregate number of shares of Common Stock available under </w:t>
      </w:r>
      <w:r>
        <w:rPr>
          <w:rFonts w:ascii="Arial;sans-serif" w:hAnsi="Arial;sans-serif"/>
          <w:b/>
          <w:color w:val="000000"/>
          <w:sz w:val="18"/>
          <w:u w:val="single"/>
        </w:rPr>
        <w:t>Section 3(a)(i)</w:t>
      </w:r>
      <w:r>
        <w:rPr>
          <w:color w:val="000000"/>
        </w:rPr>
        <w:t xml:space="preserve"> </w:t>
      </w:r>
      <w:r>
        <w:rPr>
          <w:rFonts w:ascii="Arial;sans-serif" w:hAnsi="Arial;sans-serif"/>
          <w:b w:val="false"/>
          <w:color w:val="000000"/>
          <w:sz w:val="18"/>
        </w:rPr>
        <w:t xml:space="preserve">of this Plan; (B) shares of Common Stock withheld by the Company, tendered or otherwise used to satisfy tax withholding will not be added (or added back, as applicable) to the aggregate number of shares of Common Stock available under </w:t>
      </w:r>
      <w:r>
        <w:rPr>
          <w:rFonts w:ascii="Arial;sans-serif" w:hAnsi="Arial;sans-serif"/>
          <w:b/>
          <w:color w:val="000000"/>
          <w:sz w:val="18"/>
          <w:u w:val="single"/>
        </w:rPr>
        <w:t>Section 3(a)(i)</w:t>
      </w:r>
      <w:r>
        <w:rPr>
          <w:color w:val="000000"/>
        </w:rPr>
        <w:t xml:space="preserve"> </w:t>
      </w:r>
      <w:r>
        <w:rPr>
          <w:rFonts w:ascii="Arial;sans-serif" w:hAnsi="Arial;sans-serif"/>
          <w:b w:val="false"/>
          <w:color w:val="000000"/>
          <w:sz w:val="18"/>
        </w:rPr>
        <w:t>of this Plan; (C) shares of Common Stock subject to a share-settled Appreciation Right that are not actually issued in connection with the settlement of such Appreciation Right on the exercise thereof will not be added back to the aggregate number of shares of Common Stock available under</w:t>
      </w:r>
      <w:r>
        <w:rPr>
          <w:color w:val="000000"/>
          <w:u w:val="single"/>
        </w:rPr>
        <w:t xml:space="preserve"> </w:t>
      </w:r>
      <w:r>
        <w:rPr>
          <w:rFonts w:ascii="Arial;sans-serif" w:hAnsi="Arial;sans-serif"/>
          <w:b/>
          <w:color w:val="000000"/>
          <w:sz w:val="18"/>
          <w:u w:val="single"/>
        </w:rPr>
        <w:t>Section 3(a)(i)</w:t>
      </w:r>
      <w:r>
        <w:rPr>
          <w:color w:val="000000"/>
        </w:rPr>
        <w:t xml:space="preserve"> </w:t>
      </w:r>
      <w:r>
        <w:rPr>
          <w:rFonts w:ascii="Arial;sans-serif" w:hAnsi="Arial;sans-serif"/>
          <w:b w:val="false"/>
          <w:color w:val="000000"/>
          <w:sz w:val="18"/>
        </w:rPr>
        <w:t>of this Plan; and (D) shares of Common Stock reacquired by the Company on the open market or otherwise using cash proceeds from the exercise of Option Rights will not be added (or added back, as applicable) to the aggregate number of shares of Common Stock available under</w:t>
      </w:r>
      <w:r>
        <w:rPr>
          <w:color w:val="000000"/>
          <w:u w:val="single"/>
        </w:rPr>
        <w:t xml:space="preserve"> </w:t>
      </w:r>
      <w:r>
        <w:rPr>
          <w:rFonts w:ascii="Arial;sans-serif" w:hAnsi="Arial;sans-serif"/>
          <w:b/>
          <w:color w:val="000000"/>
          <w:sz w:val="18"/>
          <w:u w:val="single"/>
        </w:rPr>
        <w:t>Section 3(a)(i)</w:t>
      </w:r>
      <w:r>
        <w:rPr>
          <w:color w:val="000000"/>
        </w:rPr>
        <w:t xml:space="preserve"> </w:t>
      </w:r>
      <w:r>
        <w:rPr>
          <w:rFonts w:ascii="Arial;sans-serif" w:hAnsi="Arial;sans-serif"/>
          <w:b w:val="false"/>
          <w:color w:val="000000"/>
          <w:sz w:val="18"/>
        </w:rPr>
        <w:t>of this Plan.</w:t>
      </w:r>
    </w:p>
    <w:p>
      <w:pPr>
        <w:pStyle w:val="TextBody"/>
        <w:bidi w:val="0"/>
        <w:spacing w:lineRule="auto" w:line="240" w:before="0" w:after="240"/>
        <w:ind w:left="0" w:right="0" w:hanging="720"/>
        <w:jc w:val="both"/>
        <w:rPr/>
      </w:pPr>
      <w:r>
        <w:rPr>
          <w:rFonts w:ascii="Arial;sans-serif" w:hAnsi="Arial;sans-serif"/>
          <w:b w:val="false"/>
          <w:color w:val="000000"/>
          <w:sz w:val="18"/>
        </w:rPr>
        <w:t xml:space="preserve">(iv)    If, under this Plan, a Participant has elected to give up the right to receive cash compensation in exchange for Common Stock based on fair market value, such Common Stock will not count against the aggregate limit under </w:t>
      </w:r>
      <w:r>
        <w:rPr>
          <w:rFonts w:ascii="Arial;sans-serif" w:hAnsi="Arial;sans-serif"/>
          <w:b/>
          <w:color w:val="000000"/>
          <w:sz w:val="18"/>
          <w:u w:val="single"/>
        </w:rPr>
        <w:t>Section 3(a)(i)</w:t>
      </w:r>
      <w:r>
        <w:rPr>
          <w:color w:val="000000"/>
        </w:rPr>
        <w:t xml:space="preserve"> </w:t>
      </w:r>
      <w:r>
        <w:rPr>
          <w:rFonts w:ascii="Arial;sans-serif" w:hAnsi="Arial;sans-serif"/>
          <w:b w:val="false"/>
          <w:color w:val="000000"/>
          <w:sz w:val="18"/>
        </w:rPr>
        <w:t>of this Plan.</w:t>
      </w:r>
    </w:p>
    <w:p>
      <w:pPr>
        <w:pStyle w:val="TextBody"/>
        <w:bidi w:val="0"/>
        <w:spacing w:lineRule="auto" w:line="240" w:before="0" w:after="240"/>
        <w:ind w:left="0" w:right="0" w:firstLine="1440"/>
        <w:jc w:val="both"/>
        <w:rPr/>
      </w:pPr>
      <w:r>
        <w:rPr>
          <w:rFonts w:ascii="Arial;sans-serif" w:hAnsi="Arial;sans-serif"/>
          <w:b w:val="false"/>
          <w:color w:val="000000"/>
          <w:sz w:val="18"/>
        </w:rPr>
        <w:t>(c)    </w:t>
      </w:r>
      <w:r>
        <w:rPr>
          <w:rFonts w:ascii="Arial;sans-serif" w:hAnsi="Arial;sans-serif"/>
          <w:b w:val="false"/>
          <w:color w:val="000000"/>
          <w:sz w:val="18"/>
          <w:u w:val="single"/>
        </w:rPr>
        <w:t>Limit on Incentive Stock Options</w:t>
      </w:r>
      <w:r>
        <w:rPr>
          <w:rFonts w:ascii="Arial;sans-serif" w:hAnsi="Arial;sans-serif"/>
          <w:b w:val="false"/>
          <w:color w:val="000000"/>
          <w:sz w:val="18"/>
        </w:rPr>
        <w:t xml:space="preserve">. Notwithstanding anything to the contrary contained in this Plan, and subject to adjustment as provided in </w:t>
      </w:r>
      <w:r>
        <w:rPr>
          <w:rFonts w:ascii="Arial;sans-serif" w:hAnsi="Arial;sans-serif"/>
          <w:b/>
          <w:color w:val="000000"/>
          <w:sz w:val="18"/>
          <w:u w:val="single"/>
        </w:rPr>
        <w:t>Section 11</w:t>
      </w:r>
      <w:r>
        <w:rPr>
          <w:color w:val="000000"/>
        </w:rPr>
        <w:t xml:space="preserve"> </w:t>
      </w:r>
      <w:r>
        <w:rPr>
          <w:rFonts w:ascii="Arial;sans-serif" w:hAnsi="Arial;sans-serif"/>
          <w:b w:val="false"/>
          <w:color w:val="000000"/>
          <w:sz w:val="18"/>
        </w:rPr>
        <w:t>of this Plan, the aggregate number of shares of Common Stock actually issued or transferred by the Company upon the exercise of Incentive Stock Options will not exceed 3,975,000</w:t>
      </w:r>
      <w:r>
        <w:rPr>
          <w:color w:val="000000"/>
        </w:rPr>
        <w:t xml:space="preserve"> </w:t>
      </w:r>
      <w:r>
        <w:rPr>
          <w:rFonts w:ascii="Arial;sans-serif" w:hAnsi="Arial;sans-serif"/>
          <w:b w:val="false"/>
          <w:color w:val="000000"/>
          <w:sz w:val="18"/>
        </w:rPr>
        <w:t>shares of Common Stock.</w:t>
      </w:r>
    </w:p>
    <w:p>
      <w:pPr>
        <w:pStyle w:val="TextBody"/>
        <w:bidi w:val="0"/>
        <w:spacing w:lineRule="auto" w:line="240" w:before="0" w:after="240"/>
        <w:ind w:left="0" w:right="0" w:firstLine="1440"/>
        <w:jc w:val="both"/>
        <w:rPr/>
      </w:pPr>
      <w:r>
        <w:rPr>
          <w:rFonts w:ascii="Arial;sans-serif" w:hAnsi="Arial;sans-serif"/>
          <w:b w:val="false"/>
          <w:color w:val="000000"/>
          <w:sz w:val="18"/>
        </w:rPr>
        <w:t>(d)    </w:t>
      </w:r>
      <w:r>
        <w:rPr>
          <w:rFonts w:ascii="Arial;sans-serif" w:hAnsi="Arial;sans-serif"/>
          <w:b w:val="false"/>
          <w:color w:val="000000"/>
          <w:sz w:val="18"/>
          <w:u w:val="single"/>
        </w:rPr>
        <w:t>Non-Employee Director Compensation Limit</w:t>
      </w:r>
      <w:r>
        <w:rPr>
          <w:rFonts w:ascii="Arial;sans-serif" w:hAnsi="Arial;sans-serif"/>
          <w:b w:val="false"/>
          <w:color w:val="000000"/>
          <w:sz w:val="18"/>
        </w:rPr>
        <w:t>. Notwithstanding anything to the contrary contained in this Plan, in no event will any non-employee Director in any one calendar year be granted compensation for such service having an aggregate maximum value (measured at the Date of Grant as applicable, and calculating the value of any awards based on the grant date fair value for financial reporting purposes) in excess of $750,000.</w:t>
      </w:r>
    </w:p>
    <w:p>
      <w:pPr>
        <w:pStyle w:val="TextBody"/>
        <w:bidi w:val="0"/>
        <w:spacing w:lineRule="auto" w:line="240" w:before="0" w:after="240"/>
        <w:ind w:left="0" w:right="0" w:firstLine="1440"/>
        <w:jc w:val="both"/>
        <w:rPr/>
      </w:pPr>
      <w:r>
        <w:rPr>
          <w:rFonts w:ascii="Arial;sans-serif" w:hAnsi="Arial;sans-serif"/>
          <w:b w:val="false"/>
          <w:color w:val="000000"/>
          <w:sz w:val="18"/>
        </w:rPr>
        <w:t>(e)    </w:t>
      </w:r>
      <w:r>
        <w:rPr>
          <w:rFonts w:ascii="Arial;sans-serif" w:hAnsi="Arial;sans-serif"/>
          <w:b w:val="false"/>
          <w:color w:val="000000"/>
          <w:sz w:val="18"/>
          <w:u w:val="single"/>
        </w:rPr>
        <w:t>Minimum Vesting Requirement</w:t>
      </w:r>
      <w:r>
        <w:rPr>
          <w:rFonts w:ascii="Arial;sans-serif" w:hAnsi="Arial;sans-serif"/>
          <w:b w:val="false"/>
          <w:color w:val="000000"/>
          <w:sz w:val="18"/>
        </w:rPr>
        <w:t>. Except in the case of Substitute Awards and Cash Incentive Awards, awards granted under this Plan to Participants shall either be subject to a minimum vesting or minimum performance period, in the case of Performance Shares and Performance Units, of one year. Notwithstanding the foregoing, (i) the Committee may authorize acceleration of vesting of such awards in the event of the Participant’s death, disability, termination of employment or service or the occurrence of a Change in Control, (ii) the Committee may grant awards without the above-described minimum requirements with respect to awards covering up to 5% of the aggregate number of shares authorized for issuance under this Plan, and (iii) with respect to awards granted to non-employee Directors, the vesting of such awards will be deemed to satisfy the minimum vesting requirement to the extent that the awards vest based on the approximate one-year period beginning on each regular annual meeting of the Company’s stockholders and ending on the date of the next regular annual meeting of the Company’s stockholders (in no case will the minimum vesting requirement be less than 50 weeks).</w:t>
      </w:r>
    </w:p>
    <w:p>
      <w:pPr>
        <w:pStyle w:val="TextBody"/>
        <w:bidi w:val="0"/>
        <w:spacing w:lineRule="auto" w:line="240" w:before="0" w:after="240"/>
        <w:ind w:left="0" w:right="0" w:firstLine="720"/>
        <w:jc w:val="both"/>
        <w:rPr/>
      </w:pPr>
      <w:r>
        <w:rPr>
          <w:rFonts w:ascii="Arial;sans-serif" w:hAnsi="Arial;sans-serif"/>
          <w:b w:val="false"/>
          <w:color w:val="000000"/>
          <w:sz w:val="18"/>
        </w:rPr>
        <w:t>4.     </w:t>
      </w:r>
      <w:r>
        <w:rPr>
          <w:rFonts w:ascii="Arial;sans-serif" w:hAnsi="Arial;sans-serif"/>
          <w:b/>
          <w:color w:val="000000"/>
          <w:sz w:val="18"/>
        </w:rPr>
        <w:t xml:space="preserve">Option Rights. </w:t>
      </w:r>
      <w:r>
        <w:rPr>
          <w:rFonts w:ascii="Arial;sans-serif" w:hAnsi="Arial;sans-serif"/>
          <w:b w:val="false"/>
          <w:color w:val="000000"/>
          <w:sz w:val="18"/>
        </w:rPr>
        <w:t>The Committee may, from time to time and upon such terms and conditions as it may determine, authorize the granting to Participants of Option Rights. Each such grant may utilize any or all of the authorizations, and will be subject to all of the requirements, contained in the following provisions:</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(a)    Each grant will specify the number of shares of Common Stock to which it pertains subject to the limitations set forth in </w:t>
      </w:r>
      <w:r>
        <w:rPr>
          <w:rFonts w:ascii="Arial;sans-serif" w:hAnsi="Arial;sans-serif"/>
          <w:b/>
          <w:color w:val="000000"/>
          <w:sz w:val="18"/>
          <w:u w:val="single"/>
        </w:rPr>
        <w:t>Section 3</w:t>
      </w:r>
      <w:r>
        <w:rPr>
          <w:color w:val="000000"/>
        </w:rPr>
        <w:t xml:space="preserve"> </w:t>
      </w:r>
      <w:r>
        <w:rPr>
          <w:rFonts w:ascii="Arial;sans-serif" w:hAnsi="Arial;sans-serif"/>
          <w:b w:val="false"/>
          <w:color w:val="000000"/>
          <w:sz w:val="18"/>
        </w:rPr>
        <w:t>of this Plan.</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(b)    Each grant will specify an Option Price per share of Common Stock, which Option Price (except with respect to awards under </w:t>
      </w:r>
      <w:r>
        <w:rPr>
          <w:rFonts w:ascii="Arial;sans-serif" w:hAnsi="Arial;sans-serif"/>
          <w:b/>
          <w:color w:val="000000"/>
          <w:sz w:val="18"/>
          <w:u w:val="single"/>
        </w:rPr>
        <w:t>Section 22</w:t>
      </w:r>
      <w:r>
        <w:rPr>
          <w:color w:val="000000"/>
        </w:rPr>
        <w:t xml:space="preserve"> </w:t>
      </w:r>
      <w:r>
        <w:rPr>
          <w:rFonts w:ascii="Arial;sans-serif" w:hAnsi="Arial;sans-serif"/>
          <w:b w:val="false"/>
          <w:color w:val="000000"/>
          <w:sz w:val="18"/>
        </w:rPr>
        <w:t>of this Plan) may not be less than the Market Value per Share on the Date of Grant.</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(c)    Each grant will specify whether the Option Price will be payable (i) in cash, by check acceptable to the Company or by wire transfer of immediately available funds, (ii) by the actual or constructive transfer to the Company of Common Stock owned by the Optionee having a value at the time of exercise equal to the total Option Price, (iii) subject to any conditions or limitations established by the Committee, by the withholding of Common Stock otherwise issuable upon exercise of an Option Right pursuant to a “net exercise” arrangement, (iv) by a combination of such methods of payment, or (v) by such other methods as may be approved by the Committee.</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 xml:space="preserve">(d)    Each grant will specify the period or periods of continuous service by the Optionee with the Company or any Subsidiary, if any, that is necessary before any Option Rights or installments thereof will vest, and provide for any other terms that are consistent with the terms of this Plan. </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(e)    Any grant of Option Rights may specify Management Objectives regarding the vesting of such rights.</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 xml:space="preserve">(f)    Option Rights granted under this Plan may be (i) options, including Incentive Stock Options, that are intended to qualify under particular provisions of the Code, (ii) options that are not intended to so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18"/>
        </w:rPr>
      </w:pPr>
      <w:r>
        <w:rPr>
          <w:rFonts w:ascii="Arial;sans-serif" w:hAnsi="Arial;sans-serif"/>
          <w:b w:val="false"/>
          <w:color w:val="000000"/>
          <w:sz w:val="18"/>
        </w:rPr>
        <w:t>qualify, or (iii) combinations of the foregoing. Incentive Stock Options may only be granted to Participants who meet the definition of “employees” under Section 3401(c) of the Code.</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(g)    No Option Right will be exercisable more than 10 years from the Date of Grant. The Committee may provide in any Evidence of Award for the automatic exercise of an Option Right upon such terms and conditions as established by the Committee.</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(h)    Option Rights granted under this Plan may not provide for any dividends or dividend equivalents thereon.</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(i)    Each grant of Option Rights will be evidenced by an Evidence of Award. Each Evidence of Award will be subject to this Plan and will contain such terms and provisions, consistent with this Plan, as the Committee may approve.</w:t>
      </w:r>
    </w:p>
    <w:p>
      <w:pPr>
        <w:pStyle w:val="TextBody"/>
        <w:bidi w:val="0"/>
        <w:spacing w:lineRule="auto" w:line="240" w:before="0" w:after="240"/>
        <w:ind w:left="0" w:right="0" w:firstLine="720"/>
        <w:jc w:val="both"/>
        <w:rPr/>
      </w:pPr>
      <w:r>
        <w:rPr>
          <w:rFonts w:ascii="Arial;sans-serif" w:hAnsi="Arial;sans-serif"/>
          <w:b w:val="false"/>
          <w:color w:val="000000"/>
          <w:sz w:val="18"/>
        </w:rPr>
        <w:t>5.     </w:t>
      </w:r>
      <w:r>
        <w:rPr>
          <w:rFonts w:ascii="Arial;sans-serif" w:hAnsi="Arial;sans-serif"/>
          <w:b/>
          <w:color w:val="000000"/>
          <w:sz w:val="18"/>
        </w:rPr>
        <w:t>Appreciation Rights.</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(a)    The Committee may, from time to time and upon such terms and conditions as it may 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(b)    Each grant of Appreciation Rights may utilize any or all of the authorizations, and will be subject to all of the requirements, contained in the following provisions:</w:t>
      </w:r>
    </w:p>
    <w:p>
      <w:pPr>
        <w:pStyle w:val="TextBody"/>
        <w:bidi w:val="0"/>
        <w:spacing w:lineRule="auto" w:line="240" w:before="0" w:after="240"/>
        <w:ind w:left="0" w:right="0" w:hanging="720"/>
        <w:jc w:val="both"/>
        <w:rPr>
          <w:rFonts w:ascii="Arial;sans-serif" w:hAnsi="Arial;sans-serif"/>
          <w:b w:val="false"/>
          <w:color w:val="000000"/>
          <w:sz w:val="18"/>
        </w:rPr>
      </w:pPr>
      <w:r>
        <w:rPr>
          <w:rFonts w:ascii="Arial;sans-serif" w:hAnsi="Arial;sans-serif"/>
          <w:b w:val="false"/>
          <w:color w:val="000000"/>
          <w:sz w:val="18"/>
        </w:rPr>
        <w:t>(i)    Each grant may specify that the amount payable on exercise of an Appreciation Right will be paid by the Company in cash, Common Stock or any combination thereof.</w:t>
      </w:r>
    </w:p>
    <w:p>
      <w:pPr>
        <w:pStyle w:val="TextBody"/>
        <w:bidi w:val="0"/>
        <w:spacing w:lineRule="auto" w:line="240" w:before="0" w:after="240"/>
        <w:ind w:left="0" w:right="0" w:hanging="720"/>
        <w:jc w:val="both"/>
        <w:rPr>
          <w:rFonts w:ascii="Arial;sans-serif" w:hAnsi="Arial;sans-serif"/>
          <w:b w:val="false"/>
          <w:color w:val="000000"/>
          <w:sz w:val="18"/>
        </w:rPr>
      </w:pPr>
      <w:r>
        <w:rPr>
          <w:rFonts w:ascii="Arial;sans-serif" w:hAnsi="Arial;sans-serif"/>
          <w:b w:val="false"/>
          <w:color w:val="000000"/>
          <w:sz w:val="18"/>
        </w:rPr>
        <w:t xml:space="preserve">(ii)    Each grant will specify the period or periods of continuous service by the Participant with the Company or any Subsidiary, if any, that is necessary before the Appreciation Rights or installments thereof will vest, and provide for any other terms that are consistent with the terms of this Plan. </w:t>
      </w:r>
    </w:p>
    <w:p>
      <w:pPr>
        <w:pStyle w:val="TextBody"/>
        <w:bidi w:val="0"/>
        <w:spacing w:lineRule="auto" w:line="240" w:before="0" w:after="240"/>
        <w:ind w:left="0" w:right="0" w:hanging="720"/>
        <w:jc w:val="both"/>
        <w:rPr>
          <w:rFonts w:ascii="Arial;sans-serif" w:hAnsi="Arial;sans-serif"/>
          <w:b w:val="false"/>
          <w:color w:val="000000"/>
          <w:sz w:val="18"/>
        </w:rPr>
      </w:pPr>
      <w:r>
        <w:rPr>
          <w:rFonts w:ascii="Arial;sans-serif" w:hAnsi="Arial;sans-serif"/>
          <w:b w:val="false"/>
          <w:color w:val="000000"/>
          <w:sz w:val="18"/>
        </w:rPr>
        <w:t>(iii)    Any grant of Appreciation Rights may specify Management Objectives regarding the vesting of such Appreciation Rights.</w:t>
      </w:r>
    </w:p>
    <w:p>
      <w:pPr>
        <w:pStyle w:val="TextBody"/>
        <w:bidi w:val="0"/>
        <w:spacing w:lineRule="auto" w:line="240" w:before="0" w:after="240"/>
        <w:ind w:left="0" w:right="0" w:hanging="720"/>
        <w:jc w:val="both"/>
        <w:rPr>
          <w:rFonts w:ascii="Arial;sans-serif" w:hAnsi="Arial;sans-serif"/>
          <w:b w:val="false"/>
          <w:color w:val="000000"/>
          <w:sz w:val="18"/>
        </w:rPr>
      </w:pPr>
      <w:r>
        <w:rPr>
          <w:rFonts w:ascii="Arial;sans-serif" w:hAnsi="Arial;sans-serif"/>
          <w:b w:val="false"/>
          <w:color w:val="000000"/>
          <w:sz w:val="18"/>
        </w:rPr>
        <w:t>(iv)    Appreciation Rights granted under this Plan may not provide for any dividends or dividend equivalents thereon.</w:t>
      </w:r>
    </w:p>
    <w:p>
      <w:pPr>
        <w:pStyle w:val="TextBody"/>
        <w:bidi w:val="0"/>
        <w:spacing w:lineRule="auto" w:line="240" w:before="0" w:after="240"/>
        <w:ind w:left="0" w:right="0" w:hanging="720"/>
        <w:jc w:val="both"/>
        <w:rPr>
          <w:rFonts w:ascii="Arial;sans-serif" w:hAnsi="Arial;sans-serif"/>
          <w:b w:val="false"/>
          <w:color w:val="000000"/>
          <w:sz w:val="18"/>
        </w:rPr>
      </w:pPr>
      <w:r>
        <w:rPr>
          <w:rFonts w:ascii="Arial;sans-serif" w:hAnsi="Arial;sans-serif"/>
          <w:b w:val="false"/>
          <w:color w:val="000000"/>
          <w:sz w:val="18"/>
        </w:rPr>
        <w:t>(v)    Each grant of Appreciation Rights will be evidenced by an Evidence of Award. Each Evidence of Award will be subject to this Plan and will contain such terms and provisions, consistent with this Plan, as the Committee may approve.</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(c)    Also, regarding Appreciation Rights:</w:t>
      </w:r>
    </w:p>
    <w:p>
      <w:pPr>
        <w:pStyle w:val="TextBody"/>
        <w:bidi w:val="0"/>
        <w:spacing w:lineRule="auto" w:line="240" w:before="0" w:after="240"/>
        <w:ind w:left="0" w:right="0" w:hanging="720"/>
        <w:jc w:val="both"/>
        <w:rPr/>
      </w:pPr>
      <w:r>
        <w:rPr>
          <w:rFonts w:ascii="Arial;sans-serif" w:hAnsi="Arial;sans-serif"/>
          <w:b w:val="false"/>
          <w:color w:val="000000"/>
          <w:sz w:val="18"/>
        </w:rPr>
        <w:t xml:space="preserve">(i)    Each grant will specify in respect of each Appreciation Right a Base Price, which (except with respect to awards under </w:t>
      </w:r>
      <w:r>
        <w:rPr>
          <w:rFonts w:ascii="Arial;sans-serif" w:hAnsi="Arial;sans-serif"/>
          <w:b/>
          <w:color w:val="000000"/>
          <w:sz w:val="18"/>
          <w:u w:val="single"/>
        </w:rPr>
        <w:t>Section 22</w:t>
      </w:r>
      <w:r>
        <w:rPr>
          <w:color w:val="000000"/>
        </w:rPr>
        <w:t xml:space="preserve"> </w:t>
      </w:r>
      <w:r>
        <w:rPr>
          <w:rFonts w:ascii="Arial;sans-serif" w:hAnsi="Arial;sans-serif"/>
          <w:b w:val="false"/>
          <w:color w:val="000000"/>
          <w:sz w:val="18"/>
        </w:rPr>
        <w:t>of this Plan) may not be less than the Market Value per Share on the Date of Grant; and</w:t>
      </w:r>
    </w:p>
    <w:p>
      <w:pPr>
        <w:pStyle w:val="TextBody"/>
        <w:bidi w:val="0"/>
        <w:spacing w:lineRule="auto" w:line="240" w:before="0" w:after="240"/>
        <w:ind w:left="0" w:right="0" w:hanging="720"/>
        <w:jc w:val="both"/>
        <w:rPr>
          <w:rFonts w:ascii="Arial;sans-serif" w:hAnsi="Arial;sans-serif"/>
          <w:b w:val="false"/>
          <w:color w:val="000000"/>
          <w:sz w:val="18"/>
        </w:rPr>
      </w:pPr>
      <w:r>
        <w:rPr>
          <w:rFonts w:ascii="Arial;sans-serif" w:hAnsi="Arial;sans-serif"/>
          <w:b w:val="false"/>
          <w:color w:val="000000"/>
          <w:sz w:val="18"/>
        </w:rPr>
        <w:t>(ii)    No Appreciation Right granted under this Plan may be exercised more than 10 years from the Date of Grant. The Committee may provide in any Evidence of Award for the automatic exercise of an Appreciation Right upon such terms and conditions as established by the Committee.</w:t>
      </w:r>
    </w:p>
    <w:p>
      <w:pPr>
        <w:pStyle w:val="TextBody"/>
        <w:bidi w:val="0"/>
        <w:spacing w:lineRule="auto" w:line="240" w:before="0" w:after="240"/>
        <w:ind w:left="0" w:right="0" w:firstLine="720"/>
        <w:jc w:val="both"/>
        <w:rPr/>
      </w:pPr>
      <w:r>
        <w:rPr>
          <w:rFonts w:ascii="Arial;sans-serif" w:hAnsi="Arial;sans-serif"/>
          <w:b w:val="false"/>
          <w:color w:val="000000"/>
          <w:sz w:val="18"/>
        </w:rPr>
        <w:t>6.     </w:t>
      </w:r>
      <w:r>
        <w:rPr>
          <w:rFonts w:ascii="Arial;sans-serif" w:hAnsi="Arial;sans-serif"/>
          <w:b/>
          <w:color w:val="000000"/>
          <w:sz w:val="18"/>
        </w:rPr>
        <w:t>Restricted Stock.</w:t>
      </w:r>
      <w:r>
        <w:rPr>
          <w:color w:val="000000"/>
        </w:rPr>
        <w:t xml:space="preserve"> </w:t>
      </w:r>
      <w:r>
        <w:rPr>
          <w:rFonts w:ascii="Arial;sans-serif" w:hAnsi="Arial;sans-serif"/>
          <w:b w:val="false"/>
          <w:color w:val="000000"/>
          <w:sz w:val="18"/>
        </w:rPr>
        <w:t>The Committee may, from time to time and upon such terms and conditions as it may determine, authorize the grant or sale of Restricted Stock to Participants. Each such grant or sale may utilize any or all of the authorizations, and will be subject to all of the requirements, contained in the following provisions:</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(a)    Each such grant or sale will constitute an immediate transfer of the ownership of shares of Common Stock to the Participant in consideration of the performance of services, entitling such Participant to voting, dividend and other ownership rights, but subject to the substantial risk of forfeiture and restrictions on transfer hereinafter described.</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(b)    Each such grant or sale may be made without additional consideration or in consideration of a payment by such Participant that is less than the Market Value per Share on the Date of Grant.</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(c)    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Management Objectives referred to in </w:t>
      </w:r>
      <w:r>
        <w:rPr>
          <w:rFonts w:ascii="Arial;sans-serif" w:hAnsi="Arial;sans-serif"/>
          <w:b/>
          <w:color w:val="000000"/>
          <w:sz w:val="18"/>
          <w:u w:val="single"/>
        </w:rPr>
        <w:t>Section 6(e)</w:t>
      </w:r>
      <w:r>
        <w:rPr>
          <w:color w:val="000000"/>
        </w:rPr>
        <w:t xml:space="preserve"> </w:t>
      </w:r>
      <w:r>
        <w:rPr>
          <w:rFonts w:ascii="Arial;sans-serif" w:hAnsi="Arial;sans-serif"/>
          <w:b w:val="false"/>
          <w:color w:val="000000"/>
          <w:sz w:val="18"/>
        </w:rPr>
        <w:t xml:space="preserve">of this Plan. </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(d)    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refusal of the Company or provisions subjecting the Restricted Stock to a continuing substantial risk of forfeiture while held by any transferee).</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 xml:space="preserve">(e)    Any grant of Restricted Stock may specify Management Objectives regarding the vesting of such Restricted Stock. </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(f)    Notwithstanding anything to the contrary contained in this Plan, Restricted Stock may provide for continued vesting or the accelerated vesting of such Restricted Stock, and any other terms consistent with the terms of this Plan.</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(g)    Any such grant or sale of Restricted Stock may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such dividends or other distributions on Restricted Stock shall be deferred until, and paid contingent upon, the vesting of such Restricted Stock.</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(h)    Each grant or sale of Restricted Stock will be evidenced by an Evidence of Award. Each Evidence of Award will be subject to this Plan and will contain such terms and provisions, consistent with this Plan, as the Committee may approve. Unless otherwise directed by the Committee, (i) all certificates representing Restricted Stock will be held in custody by the Company until all restrictions thereon will have lapsed, together with a stock power or powers executed by the Participant in whose name such certificates are registered, endorsed in blank and covering such shares or (ii) all Restricted Stock will be held at the Company’s transfer agent in book entry form with appropriate restrictions relating to the transfer of such Restricted Stock.</w:t>
      </w:r>
    </w:p>
    <w:p>
      <w:pPr>
        <w:pStyle w:val="TextBody"/>
        <w:bidi w:val="0"/>
        <w:spacing w:lineRule="auto" w:line="240" w:before="0" w:after="240"/>
        <w:ind w:left="0" w:right="0" w:firstLine="720"/>
        <w:jc w:val="both"/>
        <w:rPr/>
      </w:pPr>
      <w:r>
        <w:rPr>
          <w:rFonts w:ascii="Arial;sans-serif" w:hAnsi="Arial;sans-serif"/>
          <w:b w:val="false"/>
          <w:color w:val="000000"/>
          <w:sz w:val="18"/>
        </w:rPr>
        <w:t>7.     </w:t>
      </w:r>
      <w:r>
        <w:rPr>
          <w:rFonts w:ascii="Arial;sans-serif" w:hAnsi="Arial;sans-serif"/>
          <w:b/>
          <w:color w:val="000000"/>
          <w:sz w:val="18"/>
        </w:rPr>
        <w:t>Restricted Stock Units.</w:t>
      </w:r>
      <w:r>
        <w:rPr>
          <w:color w:val="000000"/>
        </w:rPr>
        <w:t xml:space="preserve"> </w:t>
      </w:r>
      <w:r>
        <w:rPr>
          <w:rFonts w:ascii="Arial;sans-serif" w:hAnsi="Arial;sans-serif"/>
          <w:b w:val="false"/>
          <w:color w:val="000000"/>
          <w:sz w:val="18"/>
        </w:rPr>
        <w:t>The Committee may, from time to time and upon such terms and conditions as it may determine, authorize the granting or sale of Restricted Stock Units to Participants. Each such grant or sale may utilize any or all of the authorizations, and will be subject to all of the requirements, contained in the following provisions:</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 xml:space="preserve">(a)    Each such grant or sale will constitute the agreement by the Company to deliver Common Stock or cash, or a combination thereof, to the Participant in the future in consideration of the performance of services, but subject to the fulfillment of such conditions (which may include achievement regarding Management Objectives) during the Restriction Period as the Committee may specify. </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(b)    Each such grant or sale may be made without additional consideration or in consideration of a payment by such Participant that is less than the Market Value per Share on the Date of Grant.</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(c)    Notwithstanding anything to the contrary contained in this Plan, Restricted Stock Units may provide for continued vesting or the accelerated lapse or other modification of the Restriction Period, and any other terms consistent with the terms of this Plan.</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(d)    During the Restriction Period, the Participant will have no right to transfer any rights under his or her award and will have no rights of ownership in the Common Stock deliverable upon payment of the Restricted Stock Units and will have no right to vote them, but the Committee may, at or after the Date of Grant, authorize the payment of dividend equivalents on such Restricted Stock Units on a deferred and contingent basis, either in cash or in additional shares of Common Stock; </w:t>
      </w:r>
      <w:r>
        <w:rPr>
          <w:rFonts w:ascii="Arial;sans-serif" w:hAnsi="Arial;sans-serif"/>
          <w:b w:val="false"/>
          <w:color w:val="000000"/>
          <w:sz w:val="18"/>
          <w:u w:val="single"/>
        </w:rPr>
        <w:t>provided</w:t>
      </w:r>
      <w:r>
        <w:rPr>
          <w:rFonts w:ascii="Arial;sans-serif" w:hAnsi="Arial;sans-serif"/>
          <w:b w:val="false"/>
          <w:color w:val="000000"/>
          <w:sz w:val="18"/>
        </w:rPr>
        <w:t xml:space="preserve">, </w:t>
      </w:r>
      <w:r>
        <w:rPr>
          <w:rFonts w:ascii="Arial;sans-serif" w:hAnsi="Arial;sans-serif"/>
          <w:b w:val="false"/>
          <w:color w:val="000000"/>
          <w:sz w:val="18"/>
          <w:u w:val="single"/>
        </w:rPr>
        <w:t>however</w:t>
      </w:r>
      <w:r>
        <w:rPr>
          <w:rFonts w:ascii="Arial;sans-serif" w:hAnsi="Arial;sans-serif"/>
          <w:b w:val="false"/>
          <w:color w:val="000000"/>
          <w:sz w:val="18"/>
        </w:rPr>
        <w:t>, that dividend equivalents or other distributions on Common Stock underlying Restricted Stock Units shall be deferred until and paid contingent upon the vesting of such Restricted Stock Units.</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(e)    Each grant or sale of Restricted Stock Units will specify the time and manner of payment of the Restricted Stock Units that have been earned. Each grant or sale will specify that the amount payable with respect thereto will be paid by the Company in Common Stock or cash, or a combination thereof.</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(f)    Each grant or sale of Restricted Stock Units will be evidenced by an Evidence of Award. Each Evidence of Award will be subject to this Plan and will contain such terms and provisions, consistent with this Plan, as the Committee may approve.</w:t>
      </w:r>
    </w:p>
    <w:p>
      <w:pPr>
        <w:pStyle w:val="TextBody"/>
        <w:bidi w:val="0"/>
        <w:spacing w:lineRule="auto" w:line="240" w:before="0" w:after="240"/>
        <w:ind w:left="0" w:right="0" w:firstLine="720"/>
        <w:jc w:val="both"/>
        <w:rPr/>
      </w:pPr>
      <w:r>
        <w:rPr>
          <w:rFonts w:ascii="Arial;sans-serif" w:hAnsi="Arial;sans-serif"/>
          <w:b w:val="false"/>
          <w:color w:val="000000"/>
          <w:sz w:val="18"/>
        </w:rPr>
        <w:t>8.     </w:t>
      </w:r>
      <w:r>
        <w:rPr>
          <w:rFonts w:ascii="Arial;sans-serif" w:hAnsi="Arial;sans-serif"/>
          <w:b/>
          <w:color w:val="000000"/>
          <w:sz w:val="18"/>
        </w:rPr>
        <w:t>Cash Incentive Awards, Performance Shares and Performance Units.</w:t>
      </w:r>
      <w:r>
        <w:rPr>
          <w:color w:val="000000"/>
        </w:rPr>
        <w:t xml:space="preserve"> </w:t>
      </w:r>
      <w:r>
        <w:rPr>
          <w:rFonts w:ascii="Arial;sans-serif" w:hAnsi="Arial;sans-serif"/>
          <w:b w:val="false"/>
          <w:color w:val="000000"/>
          <w:sz w:val="18"/>
        </w:rPr>
        <w:t xml:space="preserve">The Committee may, from time to time and upon such terms and conditions as it may determine, authorize the granting of Cash Incentive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18"/>
        </w:rPr>
      </w:pPr>
      <w:r>
        <w:rPr>
          <w:rFonts w:ascii="Arial;sans-serif" w:hAnsi="Arial;sans-serif"/>
          <w:b w:val="false"/>
          <w:color w:val="000000"/>
          <w:sz w:val="18"/>
        </w:rPr>
        <w:t>Awards, Performance Shares and Performance Units. Each such grant may utilize any or all of the authorizations, and will be subject to all of the requirements, contained in the following provisions:</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(a)    Each grant will specify the number or amount of Performance Shares or Performance Units, or cash amount payable with respect to a Cash Incentive Award, to which it pertains, which number or amount may be subject to adjustment to reflect changes in compensation or other factors.</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(b)    The Performance Period with respect to each Cash Incentive Award or grant of Performance Shares or Performance Units will be such period of time as will be determined by the Committee, which may be subject to continued vesting or accelerated lapse or other modification, and provide for any other terms consistent with the terms of this Plan.</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(c)    Each grant of a Cash Incentive Award, Performance Shares or Performance Units will specify Management Objectives regarding the earning of the award.</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(d)    Each grant will specify the time and manner of payment of a Cash Incentive Award, Performance Shares or Performance Units that have been earned.</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(e)    The Committee may, on the Date of Grant of Performance Shares or Performance Units, provide for the payment of dividend equivalents to the holder thereof either in cash or in additional shares of Common Stock, which dividend equivalents shall be subject to deferral and payment on a contingent basis based on the Participant’s earning and vesting of the Performance Shares or Performance Units, as applicable, with respect to which such dividend equivalents are paid.</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(f)    Each grant of a Cash Incentive Award, Performance Shares or Performance Units will be evidenced by an Evidence of Award. Each Evidence of Award will be subject to this Plan and will contain such terms and provisions, consistent with this Plan, as the Committee may approve.</w:t>
      </w:r>
    </w:p>
    <w:p>
      <w:pPr>
        <w:pStyle w:val="TextBody"/>
        <w:bidi w:val="0"/>
        <w:spacing w:lineRule="auto" w:line="240" w:before="0" w:after="240"/>
        <w:ind w:left="0" w:right="0" w:firstLine="720"/>
        <w:jc w:val="both"/>
        <w:rPr/>
      </w:pPr>
      <w:r>
        <w:rPr>
          <w:rFonts w:ascii="Arial;sans-serif" w:hAnsi="Arial;sans-serif"/>
          <w:b w:val="false"/>
          <w:color w:val="000000"/>
          <w:sz w:val="18"/>
        </w:rPr>
        <w:t>9.     </w:t>
      </w:r>
      <w:r>
        <w:rPr>
          <w:rFonts w:ascii="Arial;sans-serif" w:hAnsi="Arial;sans-serif"/>
          <w:b/>
          <w:color w:val="000000"/>
          <w:sz w:val="18"/>
        </w:rPr>
        <w:t>Other Awards.</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(a)    Subject to applicable law and the applicable limits set forth in </w:t>
      </w:r>
      <w:r>
        <w:rPr>
          <w:rFonts w:ascii="Arial;sans-serif" w:hAnsi="Arial;sans-serif"/>
          <w:b/>
          <w:color w:val="000000"/>
          <w:sz w:val="18"/>
          <w:u w:val="single"/>
        </w:rPr>
        <w:t>Section 3</w:t>
      </w:r>
      <w:r>
        <w:rPr>
          <w:color w:val="000000"/>
        </w:rPr>
        <w:t xml:space="preserve"> </w:t>
      </w:r>
      <w:r>
        <w:rPr>
          <w:rFonts w:ascii="Arial;sans-serif" w:hAnsi="Arial;sans-serif"/>
          <w:b w:val="false"/>
          <w:color w:val="000000"/>
          <w:sz w:val="18"/>
        </w:rPr>
        <w:t xml:space="preserve">of this Plan, the Committee may authorize the grant to any Participant of Common Stock or such other awards that may be denominated or payable in, valued in whole or in part by reference to, or otherwise based on, or related to, shares of Common Stock or factors that may influence the value of such shares, including, without limitation,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thereof or any other factors designated by the Committee, and awards valued by reference to the book value of the shares of Common Stock or the value of securities of, or the performance of specified Subsidiaries or Affiliates or other business units of the Company. The Committee will determine the terms and conditions of such awards. Common Stock delivered pursuant to an award in the nature of a purchase right granted under this </w:t>
      </w:r>
      <w:r>
        <w:rPr>
          <w:rFonts w:ascii="Arial;sans-serif" w:hAnsi="Arial;sans-serif"/>
          <w:b/>
          <w:color w:val="000000"/>
          <w:sz w:val="18"/>
          <w:u w:val="single"/>
        </w:rPr>
        <w:t>Section 9</w:t>
      </w:r>
      <w:r>
        <w:rPr>
          <w:color w:val="000000"/>
        </w:rPr>
        <w:t xml:space="preserve"> </w:t>
      </w:r>
      <w:r>
        <w:rPr>
          <w:rFonts w:ascii="Arial;sans-serif" w:hAnsi="Arial;sans-serif"/>
          <w:b w:val="false"/>
          <w:color w:val="000000"/>
          <w:sz w:val="18"/>
        </w:rPr>
        <w:t>will be purchased for such consideration, paid for at such time, by such methods, and in such forms, including, without limitation, Common Stock, other awards, cash, notes or other property, as the Committee determines.</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(b)    Cash awards, as an element of or supplement to any other award granted under this Plan, may also be granted pursuant to this </w:t>
      </w:r>
      <w:r>
        <w:rPr>
          <w:rFonts w:ascii="Arial;sans-serif" w:hAnsi="Arial;sans-serif"/>
          <w:b/>
          <w:color w:val="000000"/>
          <w:sz w:val="18"/>
          <w:u w:val="single"/>
        </w:rPr>
        <w:t>Section 9</w:t>
      </w:r>
      <w:r>
        <w:rPr>
          <w:rFonts w:ascii="Arial;sans-serif" w:hAnsi="Arial;sans-serif"/>
          <w:b w:val="false"/>
          <w:color w:val="000000"/>
          <w:sz w:val="18"/>
        </w:rPr>
        <w:t>.</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(c)    The Committee may authorize the grant of shares of Common Stock as a bonus, or may authorize the grant of other awards in lieu of obligations of the Company or a Subsidiary to pay cash or deliver other property under this Plan or under other plans or compensatory arrangements, subject to such terms as will be determined by the Committee in a manner that complies with Section 409A of the Code.</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(d)    The Committee may, at or after the Date of Grant, authorize the payment of dividends or dividend equivalents on awards granted under this </w:t>
      </w:r>
      <w:r>
        <w:rPr>
          <w:rFonts w:ascii="Arial;sans-serif" w:hAnsi="Arial;sans-serif"/>
          <w:b/>
          <w:color w:val="000000"/>
          <w:sz w:val="18"/>
          <w:u w:val="single"/>
        </w:rPr>
        <w:t>Section 9</w:t>
      </w:r>
      <w:r>
        <w:rPr>
          <w:color w:val="000000"/>
        </w:rPr>
        <w:t xml:space="preserve"> </w:t>
      </w:r>
      <w:r>
        <w:rPr>
          <w:rFonts w:ascii="Arial;sans-serif" w:hAnsi="Arial;sans-serif"/>
          <w:b w:val="false"/>
          <w:color w:val="000000"/>
          <w:sz w:val="18"/>
        </w:rPr>
        <w:t xml:space="preserve">on a deferred and contingent basis, either in cash or in additional shares of Common Stock; </w:t>
      </w:r>
      <w:r>
        <w:rPr>
          <w:rFonts w:ascii="Arial;sans-serif" w:hAnsi="Arial;sans-serif"/>
          <w:b w:val="false"/>
          <w:color w:val="000000"/>
          <w:sz w:val="18"/>
          <w:u w:val="single"/>
        </w:rPr>
        <w:t>provided</w:t>
      </w:r>
      <w:r>
        <w:rPr>
          <w:rFonts w:ascii="Arial;sans-serif" w:hAnsi="Arial;sans-serif"/>
          <w:b w:val="false"/>
          <w:color w:val="000000"/>
          <w:sz w:val="18"/>
        </w:rPr>
        <w:t xml:space="preserve">, </w:t>
      </w:r>
      <w:r>
        <w:rPr>
          <w:rFonts w:ascii="Arial;sans-serif" w:hAnsi="Arial;sans-serif"/>
          <w:b w:val="false"/>
          <w:color w:val="000000"/>
          <w:sz w:val="18"/>
          <w:u w:val="single"/>
        </w:rPr>
        <w:t>however</w:t>
      </w:r>
      <w:r>
        <w:rPr>
          <w:rFonts w:ascii="Arial;sans-serif" w:hAnsi="Arial;sans-serif"/>
          <w:b w:val="false"/>
          <w:color w:val="000000"/>
          <w:sz w:val="18"/>
        </w:rPr>
        <w:t xml:space="preserve">, that dividend equivalents or other distributions on Common Stock underlying awards granted under this </w:t>
      </w:r>
      <w:r>
        <w:rPr>
          <w:rFonts w:ascii="Arial;sans-serif" w:hAnsi="Arial;sans-serif"/>
          <w:b/>
          <w:color w:val="000000"/>
          <w:sz w:val="18"/>
          <w:u w:val="single"/>
        </w:rPr>
        <w:t>Section 9</w:t>
      </w:r>
      <w:r>
        <w:rPr>
          <w:color w:val="000000"/>
        </w:rPr>
        <w:t xml:space="preserve"> </w:t>
      </w:r>
      <w:r>
        <w:rPr>
          <w:rFonts w:ascii="Arial;sans-serif" w:hAnsi="Arial;sans-serif"/>
          <w:b w:val="false"/>
          <w:color w:val="000000"/>
          <w:sz w:val="18"/>
        </w:rPr>
        <w:t>shall be deferred until and paid contingent upon the earning and vesting of such awards.</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(e)    Each grant of an award under this </w:t>
      </w:r>
      <w:r>
        <w:rPr>
          <w:rFonts w:ascii="Arial;sans-serif" w:hAnsi="Arial;sans-serif"/>
          <w:b/>
          <w:color w:val="000000"/>
          <w:sz w:val="18"/>
          <w:u w:val="single"/>
        </w:rPr>
        <w:t>Section 9</w:t>
      </w:r>
      <w:r>
        <w:rPr>
          <w:color w:val="000000"/>
        </w:rPr>
        <w:t xml:space="preserve"> </w:t>
      </w:r>
      <w:r>
        <w:rPr>
          <w:rFonts w:ascii="Arial;sans-serif" w:hAnsi="Arial;sans-serif"/>
          <w:b w:val="false"/>
          <w:color w:val="000000"/>
          <w:sz w:val="18"/>
        </w:rPr>
        <w:t>will be evidenced by an Evidence of Award. Each such Evidence of Award will be subject to this Plan and will contain such terms and provisions, consistent with this Plan, as the Committee may approve, and will specify the time and terms of delivery of the applicable award.</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(f)    Notwithstanding anything to the contrary contained in this Plan, awards under this </w:t>
      </w:r>
      <w:r>
        <w:rPr>
          <w:rFonts w:ascii="Arial;sans-serif" w:hAnsi="Arial;sans-serif"/>
          <w:b/>
          <w:color w:val="000000"/>
          <w:sz w:val="18"/>
          <w:u w:val="single"/>
        </w:rPr>
        <w:t>Section 9</w:t>
      </w:r>
      <w:r>
        <w:rPr>
          <w:color w:val="000000"/>
        </w:rPr>
        <w:t xml:space="preserve"> </w:t>
      </w:r>
      <w:r>
        <w:rPr>
          <w:rFonts w:ascii="Arial;sans-serif" w:hAnsi="Arial;sans-serif"/>
          <w:b w:val="false"/>
          <w:color w:val="000000"/>
          <w:sz w:val="18"/>
        </w:rPr>
        <w:t>may provide for the continued earning or vesting of, or accelerated elimination of restrictions applicable to, such award, and any other terms consistent with the terms of this Plan.</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Arial;sans-serif" w:hAnsi="Arial;sans-serif"/>
          <w:b w:val="false"/>
          <w:color w:val="000000"/>
          <w:sz w:val="18"/>
        </w:rPr>
        <w:t>10.    </w:t>
      </w:r>
      <w:r>
        <w:rPr>
          <w:rFonts w:ascii="Arial;sans-serif" w:hAnsi="Arial;sans-serif"/>
          <w:b/>
          <w:color w:val="000000"/>
          <w:sz w:val="18"/>
        </w:rPr>
        <w:t>Administration of this Plan.</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(a)    This Plan will be administered by the Committee; provided, that, at the discretion of the Board, the Plan may be administered by the Board, including with respect to the administration of any responsibilities and duties so delegated to the Committee. The Committee may from time to time delegate all or any part of its authority under this Plan to a subcommittee thereof. To the extent of any such delegation, references in this Plan to the Committee will be deemed to be references to such subcommittee.</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(b)    The interpretation and construction by the Committee of any provision of this Plan or of any Evidence of Award (or related documents) and any determination by the Committee pursuant to any provision of this Plan or of any such agreement, notification or document will be final and conclusive. No member of the 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(c)    To the extent permitted by law, the Committee may delegate to one or more of its members, to one or more officers of the Company, or to one or more agents or advisors, such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The Committee may, by resolution, authorize one or more officers of the Company to do one or both of the following on the same basis as the Committee: (i) designate employees to be recipients of awards under this Plan and (ii) determine the size of any such awards; </w:t>
      </w:r>
      <w:r>
        <w:rPr>
          <w:rFonts w:ascii="Arial;sans-serif" w:hAnsi="Arial;sans-serif"/>
          <w:b w:val="false"/>
          <w:color w:val="000000"/>
          <w:sz w:val="18"/>
          <w:u w:val="single"/>
        </w:rPr>
        <w:t>provided</w:t>
      </w:r>
      <w:r>
        <w:rPr>
          <w:rFonts w:ascii="Arial;sans-serif" w:hAnsi="Arial;sans-serif"/>
          <w:b w:val="false"/>
          <w:color w:val="000000"/>
          <w:sz w:val="18"/>
        </w:rPr>
        <w:t xml:space="preserve">, </w:t>
      </w:r>
      <w:r>
        <w:rPr>
          <w:rFonts w:ascii="Arial;sans-serif" w:hAnsi="Arial;sans-serif"/>
          <w:b w:val="false"/>
          <w:color w:val="000000"/>
          <w:sz w:val="18"/>
          <w:u w:val="single"/>
        </w:rPr>
        <w:t>however</w:t>
      </w:r>
      <w:r>
        <w:rPr>
          <w:rFonts w:ascii="Arial;sans-serif" w:hAnsi="Arial;sans-serif"/>
          <w:b w:val="false"/>
          <w:color w:val="000000"/>
          <w:sz w:val="18"/>
        </w:rPr>
        <w:t>, that the Committee will not delegate such responsibilities to any such officer for awards granted to an employee who is an officer (for purposes of Section 16 of the Exchange Act) or a Director.</w:t>
      </w:r>
    </w:p>
    <w:p>
      <w:pPr>
        <w:pStyle w:val="TextBody"/>
        <w:bidi w:val="0"/>
        <w:spacing w:lineRule="auto" w:line="240" w:before="0" w:after="240"/>
        <w:ind w:left="0" w:right="0" w:firstLine="720"/>
        <w:jc w:val="both"/>
        <w:rPr/>
      </w:pPr>
      <w:r>
        <w:rPr>
          <w:rFonts w:ascii="Arial;sans-serif" w:hAnsi="Arial;sans-serif"/>
          <w:b w:val="false"/>
          <w:color w:val="000000"/>
          <w:sz w:val="18"/>
        </w:rPr>
        <w:t>11.    </w:t>
      </w:r>
      <w:r>
        <w:rPr>
          <w:rFonts w:ascii="Arial;sans-serif" w:hAnsi="Arial;sans-serif"/>
          <w:b/>
          <w:color w:val="000000"/>
          <w:sz w:val="18"/>
        </w:rPr>
        <w:t>Adjustments.</w:t>
      </w:r>
      <w:r>
        <w:rPr>
          <w:color w:val="000000"/>
        </w:rPr>
        <w:t xml:space="preserve"> </w:t>
      </w:r>
      <w:r>
        <w:rPr>
          <w:rFonts w:ascii="Arial;sans-serif" w:hAnsi="Arial;sans-serif"/>
          <w:b w:val="false"/>
          <w:color w:val="000000"/>
          <w:sz w:val="18"/>
        </w:rPr>
        <w:t xml:space="preserve">The Committee shall make or provide for such adjustments in the number of and kind of Common Stock covered by outstanding Option Rights, Appreciation Rights, Restricted Stock, Restricted Stock Units, Performance Shares and Performance Units granted hereunder and, if applicable, in the number of and kind of Common Stock covered by other awards granted pursuant to </w:t>
      </w:r>
      <w:r>
        <w:rPr>
          <w:rFonts w:ascii="Arial;sans-serif" w:hAnsi="Arial;sans-serif"/>
          <w:b/>
          <w:color w:val="000000"/>
          <w:sz w:val="18"/>
          <w:u w:val="single"/>
        </w:rPr>
        <w:t>Section 9</w:t>
      </w:r>
      <w:r>
        <w:rPr>
          <w:color w:val="000000"/>
        </w:rPr>
        <w:t xml:space="preserve"> </w:t>
      </w:r>
      <w:r>
        <w:rPr>
          <w:rFonts w:ascii="Arial;sans-serif" w:hAnsi="Arial;sans-serif"/>
          <w:b w:val="false"/>
          <w:color w:val="000000"/>
          <w:sz w:val="18"/>
        </w:rPr>
        <w:t>of this Plan, in the Option Price and Base Price provided in outstanding Option Rights and Appreciation Rights, respectively, in Cash Incentive Awards, and in other award terms, as the Committee, in its sole discretion, determines, in good faith, is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w:t>
      </w:r>
      <w:r>
        <w:rPr>
          <w:color w:val="000000"/>
        </w:rPr>
        <w:t xml:space="preserve"> </w:t>
      </w:r>
      <w:r>
        <w:rPr>
          <w:rFonts w:ascii="Arial;sans-serif" w:hAnsi="Arial;sans-serif"/>
          <w:b w:val="false"/>
          <w:color w:val="000000"/>
          <w:sz w:val="18"/>
        </w:rPr>
        <w:t xml:space="preserve">require in connection therewith the surrender of all awards so replaced in a manner that complies with Section 409A of the Code. In addition, for each Option Right or Appreciation Right with an Option Price or Base Price, respectively, greater than the consideration offered in connection with any such transaction or event or Change in Control, the Committee may in its discretion elect to cancel such Option Right or Appreciation Right without any payment to the person holding such Option Right or Appreciation Right. The Committee shall also make or provide for such adjustments in the number of shares of Common Stock specified in </w:t>
      </w:r>
      <w:r>
        <w:rPr>
          <w:rFonts w:ascii="Arial;sans-serif" w:hAnsi="Arial;sans-serif"/>
          <w:b/>
          <w:color w:val="000000"/>
          <w:sz w:val="18"/>
          <w:u w:val="single"/>
        </w:rPr>
        <w:t>Section 3</w:t>
      </w:r>
      <w:r>
        <w:rPr>
          <w:color w:val="000000"/>
        </w:rPr>
        <w:t xml:space="preserve"> </w:t>
      </w:r>
      <w:r>
        <w:rPr>
          <w:rFonts w:ascii="Arial;sans-serif" w:hAnsi="Arial;sans-serif"/>
          <w:b w:val="false"/>
          <w:color w:val="000000"/>
          <w:sz w:val="18"/>
        </w:rPr>
        <w:t xml:space="preserve">of this Plan as the Committee in its sole discretion, determines, in good faith, is appropriate to reflect any transaction or event described in this </w:t>
      </w:r>
      <w:r>
        <w:rPr>
          <w:rFonts w:ascii="Arial;sans-serif" w:hAnsi="Arial;sans-serif"/>
          <w:b/>
          <w:color w:val="000000"/>
          <w:sz w:val="18"/>
          <w:u w:val="single"/>
        </w:rPr>
        <w:t>Section 11</w:t>
      </w:r>
      <w:r>
        <w:rPr>
          <w:rFonts w:ascii="Arial;sans-serif" w:hAnsi="Arial;sans-serif"/>
          <w:b w:val="false"/>
          <w:color w:val="000000"/>
          <w:sz w:val="18"/>
        </w:rPr>
        <w:t>.</w:t>
      </w:r>
    </w:p>
    <w:p>
      <w:pPr>
        <w:pStyle w:val="TextBody"/>
        <w:bidi w:val="0"/>
        <w:spacing w:lineRule="auto" w:line="240" w:before="0" w:after="240"/>
        <w:ind w:left="0" w:right="0" w:firstLine="720"/>
        <w:jc w:val="both"/>
        <w:rPr/>
      </w:pPr>
      <w:r>
        <w:rPr>
          <w:rFonts w:ascii="Arial;sans-serif" w:hAnsi="Arial;sans-serif"/>
          <w:b w:val="false"/>
          <w:color w:val="000000"/>
          <w:sz w:val="18"/>
        </w:rPr>
        <w:t>12.    </w:t>
      </w:r>
      <w:r>
        <w:rPr>
          <w:rFonts w:ascii="Arial;sans-serif" w:hAnsi="Arial;sans-serif"/>
          <w:b/>
          <w:color w:val="000000"/>
          <w:sz w:val="18"/>
        </w:rPr>
        <w:t>Change in Control</w:t>
      </w:r>
      <w:r>
        <w:rPr>
          <w:rFonts w:ascii="Arial;sans-serif" w:hAnsi="Arial;sans-serif"/>
          <w:b w:val="false"/>
          <w:color w:val="000000"/>
          <w:sz w:val="18"/>
        </w:rPr>
        <w:t xml:space="preserve">. For purposes of this Plan, except as may be otherwise prescribed by the Committee in an Evidence of Award made under this Plan or as otherwise provided in another plan or agreement applicable to the Participant, a “Change in Control” will be deemed to have occurred upon the occurrence (after the Effective Date) of any of the following events: </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(a)    any individual, entity or group (within the meaning of Section 13(d)(3) or 14(d)(2) of the Exchange Act) (a “Person”) (A) is or becomes the beneficial owner (within the meaning of Rule 13d-3 promulgated under the Exchange Act) of more than 35% of the combined voting power of the then-outstanding Voting Stock of the Company or succeeds in having nominees as directors elected in an “election contest” within the meaning of Rule 14a-12(c) under the Exchange Act (including through the use of any proxy access procedures set forth in the Company’s organizational documents) and (B) within 18 months after either such event, individuals who were members of the Board immediately prior to either such event cease to constitute a majority of the members of the Board; or</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(b)    a majority of the Board ceases to be comprised of Incumbent Directors; or</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 xml:space="preserve">(c)    the consummation of a reorganization, merger, consolidation, plan of liquidation or dissolution, recapitalization or sale or other disposition of all or substantially all of the assets of the Company or the acquisition of the stock or assets of another corporation, or other transaction (each, a “Business Transaction”), unless, in any such case, (A) no Person (other than the Company, any entity resulting from such Business Transaction or any employee benefit plan (or related trust) sponsored or maintained by the Company, any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18"/>
        </w:rPr>
      </w:pPr>
      <w:r>
        <w:rPr>
          <w:rFonts w:ascii="Arial;sans-serif" w:hAnsi="Arial;sans-serif"/>
          <w:b w:val="false"/>
          <w:color w:val="000000"/>
          <w:sz w:val="18"/>
        </w:rPr>
        <w:t>or such entity resulting from such Business Transaction) beneficially owns, directly or indirectly, 35% or more of the combined voting power of the then-outstanding shares of Voting Stock of the entity resulting from such Business Transaction (or, if it is such resulting entity, the Company) and (B) at least one-half of the members of the board of directors of the entity resulting from such Business Transaction were Incumbent Directors at the time of the execution of the initial agreement providing for such Business Transaction.</w:t>
      </w:r>
    </w:p>
    <w:p>
      <w:pPr>
        <w:pStyle w:val="TextBody"/>
        <w:bidi w:val="0"/>
        <w:spacing w:lineRule="auto" w:line="240" w:before="0" w:after="240"/>
        <w:ind w:left="0" w:right="0" w:firstLine="720"/>
        <w:jc w:val="both"/>
        <w:rPr/>
      </w:pPr>
      <w:r>
        <w:rPr>
          <w:rFonts w:ascii="Arial;sans-serif" w:hAnsi="Arial;sans-serif"/>
          <w:b w:val="false"/>
          <w:color w:val="000000"/>
          <w:sz w:val="18"/>
        </w:rPr>
        <w:t>13.    </w:t>
      </w:r>
      <w:r>
        <w:rPr>
          <w:rFonts w:ascii="Arial;sans-serif" w:hAnsi="Arial;sans-serif"/>
          <w:b/>
          <w:color w:val="000000"/>
          <w:sz w:val="18"/>
        </w:rPr>
        <w:t>Detrimental Activity and Recapture/Recoupment Provisions</w:t>
      </w:r>
      <w:r>
        <w:rPr>
          <w:rFonts w:ascii="Arial;sans-serif" w:hAnsi="Arial;sans-serif"/>
          <w:b w:val="false"/>
          <w:color w:val="000000"/>
          <w:sz w:val="18"/>
        </w:rPr>
        <w:t xml:space="preserve">. </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(a)    Any Evidence of Award may provide for the cancellation or forfeiture of an award or the forfeiture and repayment to the Company of any gain related to an award, or other provisions intended to have a similar effect, upon such terms and conditions as may be determined by the Committee from time to time, if a Participant, either (a) during employment or other service with the Company or a Subsidiary, or (b) within a specified period after termination of such employment or service, engages in any detrimental activity, as described in the applicable Evidence of Award. In addition, notwithstanding anything in this Plan to the contrary, any Evidence of Award may also provide for the cancellation or forfeiture of an award or the forfeiture and repayment to the Company of any cash or Common Stock issued under and/or any other benefit related to an award, or other provisions intended to have a similar effect, including upon such terms and conditions as may be required by the Committee and any applicable rules or regulations promulgated by the Securities and Exchange Commission or any national securities exchange or national securities association on which the Common Stock may be traded.</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(b)    Any Evidence of Award (or any part thereof) may provide for the cancellation or forfeiture of an award or the forfeiture and repayment to the Company of any gain or earnings related to an award, or other provisions intended to have a similar effect, upon such terms and conditions as may be determined by the Committee in accordance with (i) any Company clawback or recoupment policy, including the ABM Industries Incorporated Amended and Restated Recoupment Policy, as may be amended from time to time, and any other policies that are adopted to comply with the requirements of any applicable laws, rules, regulations, stock exchange listing standards or otherwise, or (ii)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awards under this Plan, the Participants consent to be bound by the terms of the ABM Industries Incorporated Amended and Restated Recoupment Policy, if applicable, and agree and acknowledge that they are obligated to cooperate with, and provide any and all assistance necessary to, the Company in its efforts to recover or recoup any award, any gains or earnings related to any award, or any other amount paid under this Plan or otherwise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Participants of any such amounts, including from the Participants’ accounts or from any other compensation, to the extent permissible under Section 409A of the Code.</w:t>
      </w:r>
    </w:p>
    <w:p>
      <w:pPr>
        <w:pStyle w:val="TextBody"/>
        <w:bidi w:val="0"/>
        <w:spacing w:lineRule="auto" w:line="240" w:before="0" w:after="240"/>
        <w:ind w:left="0" w:right="0" w:firstLine="720"/>
        <w:jc w:val="both"/>
        <w:rPr/>
      </w:pPr>
      <w:r>
        <w:rPr>
          <w:rFonts w:ascii="Arial;sans-serif" w:hAnsi="Arial;sans-serif"/>
          <w:b w:val="false"/>
          <w:color w:val="000000"/>
          <w:sz w:val="18"/>
        </w:rPr>
        <w:t>14.    </w:t>
      </w:r>
      <w:r>
        <w:rPr>
          <w:rFonts w:ascii="Arial;sans-serif" w:hAnsi="Arial;sans-serif"/>
          <w:b/>
          <w:color w:val="000000"/>
          <w:sz w:val="18"/>
        </w:rPr>
        <w:t>Non-U.S. Participants.</w:t>
      </w:r>
      <w:r>
        <w:rPr>
          <w:color w:val="000000"/>
        </w:rPr>
        <w:t xml:space="preserve"> </w:t>
      </w:r>
      <w:r>
        <w:rPr>
          <w:rFonts w:ascii="Arial;sans-serif" w:hAnsi="Arial;sans-serif"/>
          <w:b w:val="false"/>
          <w:color w:val="000000"/>
          <w:sz w:val="18"/>
        </w:rPr>
        <w:t>In order to facilitate the making of any grant or combination of grants under this Plan, the Committee may provide for such special terms for awards to Participants who are foreign nationals or who are employed by the Company or any Subsidiary outside of the United States of America or who provide services to the Company or any Subsidiary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sub-plans)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p>
    <w:p>
      <w:pPr>
        <w:pStyle w:val="TextBody"/>
        <w:bidi w:val="0"/>
        <w:spacing w:lineRule="auto" w:line="240" w:before="0" w:after="240"/>
        <w:ind w:left="0" w:right="0" w:firstLine="720"/>
        <w:jc w:val="both"/>
        <w:rPr/>
      </w:pPr>
      <w:r>
        <w:rPr>
          <w:rFonts w:ascii="Arial;sans-serif" w:hAnsi="Arial;sans-serif"/>
          <w:b w:val="false"/>
          <w:color w:val="000000"/>
          <w:sz w:val="18"/>
        </w:rPr>
        <w:t>15.    </w:t>
      </w:r>
      <w:r>
        <w:rPr>
          <w:rFonts w:ascii="Arial;sans-serif" w:hAnsi="Arial;sans-serif"/>
          <w:b/>
          <w:color w:val="000000"/>
          <w:sz w:val="18"/>
        </w:rPr>
        <w:t>Transferability.</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(a)    Except as otherwise determined by the Committee, and subject to compliance with </w:t>
      </w:r>
      <w:r>
        <w:rPr>
          <w:rFonts w:ascii="Arial;sans-serif" w:hAnsi="Arial;sans-serif"/>
          <w:b/>
          <w:color w:val="000000"/>
          <w:sz w:val="18"/>
          <w:u w:val="single"/>
        </w:rPr>
        <w:t>Section 17(b)</w:t>
      </w:r>
      <w:r>
        <w:rPr>
          <w:color w:val="000000"/>
        </w:rPr>
        <w:t xml:space="preserve"> </w:t>
      </w:r>
      <w:r>
        <w:rPr>
          <w:rFonts w:ascii="Arial;sans-serif" w:hAnsi="Arial;sans-serif"/>
          <w:b w:val="false"/>
          <w:color w:val="000000"/>
          <w:sz w:val="18"/>
        </w:rPr>
        <w:t xml:space="preserve">of this Plan and Section 409A of the Code, no Option Right, Appreciation Right, Restricted Stock, Restricted Stock Unit, Performance Share, Performance Unit, Cash Incentive Award, award contemplated by </w:t>
      </w:r>
      <w:r>
        <w:rPr>
          <w:rFonts w:ascii="Arial;sans-serif" w:hAnsi="Arial;sans-serif"/>
          <w:b/>
          <w:color w:val="000000"/>
          <w:sz w:val="18"/>
          <w:u w:val="single"/>
        </w:rPr>
        <w:t>Section 9</w:t>
      </w:r>
      <w:r>
        <w:rPr>
          <w:color w:val="000000"/>
        </w:rPr>
        <w:t xml:space="preserve"> </w:t>
      </w:r>
      <w:r>
        <w:rPr>
          <w:rFonts w:ascii="Arial;sans-serif" w:hAnsi="Arial;sans-serif"/>
          <w:b w:val="false"/>
          <w:color w:val="000000"/>
          <w:sz w:val="18"/>
        </w:rPr>
        <w:t>of this Plan or dividend equivalents paid with respect to awards made under this Plan will be transferable by the Participant except by will or the laws of descent and distribution. In no event will any such award granted under this Plan be transferred for value. Where transfer is permitted, references to “Participant” shall be construed, as the Committee deems appropriate, to include any permitted transferee to whom such award is transferred. Except as otherwise determined by the Committee,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 xml:space="preserve">(b)    The Committee may specify on the Date of Grant that part or all of the shares of Common Stock that are (i) to be issued or transferred by the Company upon the exercise of Option Rights or Appreciation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Arial;sans-serif" w:hAnsi="Arial;sans-serif"/>
          <w:b w:val="false"/>
          <w:color w:val="000000"/>
          <w:sz w:val="18"/>
        </w:rPr>
        <w:t xml:space="preserve">Rights, upon the termination of the Restriction Period applicable to Restricted Stock Units or upon payment under any grant of Performance Shares or Performance Units or (ii) no longer subject to the substantial risk of forfeiture and restrictions on transfer referred to in </w:t>
      </w:r>
      <w:r>
        <w:rPr>
          <w:rFonts w:ascii="Arial;sans-serif" w:hAnsi="Arial;sans-serif"/>
          <w:b/>
          <w:color w:val="000000"/>
          <w:sz w:val="18"/>
          <w:u w:val="single"/>
        </w:rPr>
        <w:t>Section 6</w:t>
      </w:r>
      <w:r>
        <w:rPr>
          <w:color w:val="000000"/>
        </w:rPr>
        <w:t xml:space="preserve"> </w:t>
      </w:r>
      <w:r>
        <w:rPr>
          <w:rFonts w:ascii="Arial;sans-serif" w:hAnsi="Arial;sans-serif"/>
          <w:b w:val="false"/>
          <w:color w:val="000000"/>
          <w:sz w:val="18"/>
        </w:rPr>
        <w:t>of this Plan, will be subject to further restrictions on transfer, including minimum holding periods.</w:t>
      </w:r>
    </w:p>
    <w:p>
      <w:pPr>
        <w:pStyle w:val="TextBody"/>
        <w:bidi w:val="0"/>
        <w:spacing w:lineRule="auto" w:line="240" w:before="0" w:after="240"/>
        <w:ind w:left="0" w:right="0" w:firstLine="720"/>
        <w:jc w:val="both"/>
        <w:rPr/>
      </w:pPr>
      <w:r>
        <w:rPr>
          <w:rFonts w:ascii="Arial;sans-serif" w:hAnsi="Arial;sans-serif"/>
          <w:b w:val="false"/>
          <w:color w:val="000000"/>
          <w:sz w:val="18"/>
        </w:rPr>
        <w:t>16.    </w:t>
      </w:r>
      <w:r>
        <w:rPr>
          <w:rFonts w:ascii="Arial;sans-serif" w:hAnsi="Arial;sans-serif"/>
          <w:b/>
          <w:color w:val="000000"/>
          <w:sz w:val="18"/>
        </w:rPr>
        <w:t>Withholding Taxes.</w:t>
      </w:r>
      <w:r>
        <w:rPr>
          <w:color w:val="000000"/>
        </w:rPr>
        <w:t xml:space="preserve"> </w:t>
      </w:r>
      <w:r>
        <w:rPr>
          <w:rFonts w:ascii="Arial;sans-serif" w:hAnsi="Arial;sans-serif"/>
          <w:b w:val="false"/>
          <w:color w:val="000000"/>
          <w:sz w:val="18"/>
        </w:rPr>
        <w:t xml:space="preserve">To the extent that the Company is required to withhold federal, state, local or foreign taxes or other amounts in connection with any payment made or benefit realized by a Participant or other person under this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(in the discretion of the Committee) may include relinquishment of a portion of such benefit. If a Participant’s benefit is to be received in the form of Common Stock, and such Participant fails to make arrangements for the payment of taxes or other amounts, then, unless otherwise determined by the Committee, the Company will withhold shares of Common Stock having a value equal to the amount required to be withheld. Notwithstanding the foregoing, when the Participant is required to pay the Company an amount required to be withheld under applicable income, employment, tax or other laws, the Participant may elect, unless otherwise determined by the Committee, to satisfy the obligation, in whole or in part, by having withheld, from the shares of Common Stock required to be delivered to the Participant, shares of Common Stock having a value equal to the amount required to be withheld or by delivering to the Company other shares of Common Stock held by such Participant. The Committee may also provide for automatic and mandatory withholding of shares of Common Stock from an award by the Company in connection with the Participant’s satisfaction of such obligations. The Common Stock used for tax or other withholding will be valued at an amount equal to the fair market value of such Common Stock on the date the benefit is to be included in Participant’s income. In no event will the fair market value of the Common Stock to be withheld and delivered pursuant to this </w:t>
      </w:r>
      <w:r>
        <w:rPr>
          <w:rFonts w:ascii="Arial;sans-serif" w:hAnsi="Arial;sans-serif"/>
          <w:b/>
          <w:color w:val="000000"/>
          <w:sz w:val="18"/>
          <w:u w:val="single"/>
        </w:rPr>
        <w:t>Section 16</w:t>
      </w:r>
      <w:r>
        <w:rPr>
          <w:color w:val="000000"/>
        </w:rPr>
        <w:t xml:space="preserve"> </w:t>
      </w:r>
      <w:r>
        <w:rPr>
          <w:rFonts w:ascii="Arial;sans-serif" w:hAnsi="Arial;sans-serif"/>
          <w:b w:val="false"/>
          <w:color w:val="000000"/>
          <w:sz w:val="18"/>
        </w:rPr>
        <w:t>exceed the minimum amount required to be withheld, unless (i) an additional amount can be withheld and not result in adverse accounting consequences, (ii) such additional withholding amount is authorized by the Committee, and (iii) the total amount withheld does not exceed the Participant’s estimated tax obligations attributable to the applicable transaction. Participants will also make such arrangements as the Company may require for the payment of any withholding tax or other obligation that may arise in connection with the disposition of Common Stock acquired upon the exercise of Option Rights.</w:t>
      </w:r>
    </w:p>
    <w:p>
      <w:pPr>
        <w:pStyle w:val="TextBody"/>
        <w:bidi w:val="0"/>
        <w:spacing w:lineRule="auto" w:line="240" w:before="0" w:after="240"/>
        <w:ind w:left="0" w:right="0" w:firstLine="720"/>
        <w:jc w:val="both"/>
        <w:rPr/>
      </w:pPr>
      <w:r>
        <w:rPr>
          <w:rFonts w:ascii="Arial;sans-serif" w:hAnsi="Arial;sans-serif"/>
          <w:b w:val="false"/>
          <w:color w:val="000000"/>
          <w:sz w:val="18"/>
        </w:rPr>
        <w:t>17.    </w:t>
      </w:r>
      <w:r>
        <w:rPr>
          <w:rFonts w:ascii="Arial;sans-serif" w:hAnsi="Arial;sans-serif"/>
          <w:b/>
          <w:color w:val="000000"/>
          <w:sz w:val="18"/>
        </w:rPr>
        <w:t>Compliance with Section 409A of the Code.</w:t>
      </w:r>
      <w:r>
        <w:rPr>
          <w:color w:val="000000"/>
        </w:rPr>
        <w:t xml:space="preserve"> </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 xml:space="preserve">(a)    To the extent applicable, it is intended that this Plan and any grants made hereunder comply with the provisions of Section 409A of the Code, so that the income inclusion provisions of Section 409A(a)(1) of the Code do not apply to the Participants. This Plan and any grants made hereunder will be administered in a manner consistent with this intent. Any reference in this Plan to Section 409A of the Code will also include any regulations or any other formal guidance promulgated with respect to such section by the U.S. Department of the Treasury or the Internal Revenue Service. </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 xml:space="preserve">(b)    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owed by a Participant to the Company or any of its Subsidiaries. </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 xml:space="preserve">(c)    If, at the time of a Participant’s separation from service (within the meaning of Section 409A of the Code), (i) the Participant will be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tenth business day of the seventh month after such separation from service. </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(d)    Solely with respect to any award that constitutes nonqualified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of the Code, without altering the definition of Change in Control for any purpose in respect of such award.</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 xml:space="preserve">(e)    Notwithstanding any provision of this Plan and grants hereunder to the contrary, in light of the uncertainty with respect to the proper application of Section 409A of the Code, the Company reserves the right to make amendments to this Plan and grants hereunder as the Company deems necessary or desirable to avoid the imposition of taxes or penalties under Section 409A of the Code. In any case, a Participant will be solely responsible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18"/>
        </w:rPr>
      </w:pPr>
      <w:r>
        <w:rPr>
          <w:rFonts w:ascii="Arial;sans-serif" w:hAnsi="Arial;sans-serif"/>
          <w:b w:val="false"/>
          <w:color w:val="000000"/>
          <w:sz w:val="18"/>
        </w:rPr>
        <w:t>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w:t>
      </w:r>
    </w:p>
    <w:p>
      <w:pPr>
        <w:pStyle w:val="TextBody"/>
        <w:bidi w:val="0"/>
        <w:spacing w:lineRule="auto" w:line="240" w:before="0" w:after="240"/>
        <w:ind w:left="0" w:right="0" w:firstLine="720"/>
        <w:jc w:val="both"/>
        <w:rPr/>
      </w:pPr>
      <w:r>
        <w:rPr>
          <w:rFonts w:ascii="Arial;sans-serif" w:hAnsi="Arial;sans-serif"/>
          <w:b w:val="false"/>
          <w:color w:val="000000"/>
          <w:sz w:val="18"/>
        </w:rPr>
        <w:t>18.    </w:t>
      </w:r>
      <w:r>
        <w:rPr>
          <w:rFonts w:ascii="Arial;sans-serif" w:hAnsi="Arial;sans-serif"/>
          <w:b/>
          <w:color w:val="000000"/>
          <w:sz w:val="18"/>
        </w:rPr>
        <w:t>Amendments.</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(a)    The Board may at any time and from time to time amend this Plan in whole or in part; </w:t>
      </w:r>
      <w:r>
        <w:rPr>
          <w:rFonts w:ascii="Arial;sans-serif" w:hAnsi="Arial;sans-serif"/>
          <w:b w:val="false"/>
          <w:color w:val="000000"/>
          <w:sz w:val="18"/>
          <w:u w:val="single"/>
        </w:rPr>
        <w:t>provided</w:t>
      </w:r>
      <w:r>
        <w:rPr>
          <w:rFonts w:ascii="Arial;sans-serif" w:hAnsi="Arial;sans-serif"/>
          <w:b w:val="false"/>
          <w:color w:val="000000"/>
          <w:sz w:val="18"/>
        </w:rPr>
        <w:t xml:space="preserve">, </w:t>
      </w:r>
      <w:r>
        <w:rPr>
          <w:rFonts w:ascii="Arial;sans-serif" w:hAnsi="Arial;sans-serif"/>
          <w:b w:val="false"/>
          <w:color w:val="000000"/>
          <w:sz w:val="18"/>
          <w:u w:val="single"/>
        </w:rPr>
        <w:t>however</w:t>
      </w:r>
      <w:r>
        <w:rPr>
          <w:rFonts w:ascii="Arial;sans-serif" w:hAnsi="Arial;sans-serif"/>
          <w:b w:val="false"/>
          <w:color w:val="000000"/>
          <w:sz w:val="18"/>
        </w:rPr>
        <w:t xml:space="preserve">, that if an amendment to this Plan, for purposes of applicable stock exchange rules and except as permitted under </w:t>
      </w:r>
      <w:r>
        <w:rPr>
          <w:rFonts w:ascii="Arial;sans-serif" w:hAnsi="Arial;sans-serif"/>
          <w:b/>
          <w:color w:val="000000"/>
          <w:sz w:val="18"/>
          <w:u w:val="single"/>
        </w:rPr>
        <w:t>Section 11</w:t>
      </w:r>
      <w:r>
        <w:rPr>
          <w:color w:val="000000"/>
        </w:rPr>
        <w:t xml:space="preserve"> </w:t>
      </w:r>
      <w:r>
        <w:rPr>
          <w:rFonts w:ascii="Arial;sans-serif" w:hAnsi="Arial;sans-serif"/>
          <w:b w:val="false"/>
          <w:color w:val="000000"/>
          <w:sz w:val="18"/>
        </w:rPr>
        <w:t>of this Plan, (i) would materially increase the benefits accruing to Participants under this Plan, (ii) would materially increase the number of securities which may be issued under this Plan, (iii) would materially modify the requirements for participation in this Plan, or (iv) must otherwise be approved by the Stockholders in order to comply with applicable law or the rules of the New York Stock Exchange or, if the Common Stock is not traded on the New York Stock Exchange, the principal national securities exchange upon which the Common Stock is traded or quoted, all as determined by the Board, then, such amendment will be subject to approval by the Stockholders and will not be effective unless and until such approval has been obtained.</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(b)    Except in connection with a corporate transaction or event described in </w:t>
      </w:r>
      <w:r>
        <w:rPr>
          <w:rFonts w:ascii="Arial;sans-serif" w:hAnsi="Arial;sans-serif"/>
          <w:b/>
          <w:color w:val="000000"/>
          <w:sz w:val="18"/>
          <w:u w:val="single"/>
        </w:rPr>
        <w:t>Section 11</w:t>
      </w:r>
      <w:r>
        <w:rPr>
          <w:color w:val="000000"/>
        </w:rPr>
        <w:t xml:space="preserve"> </w:t>
      </w:r>
      <w:r>
        <w:rPr>
          <w:rFonts w:ascii="Arial;sans-serif" w:hAnsi="Arial;sans-serif"/>
          <w:b w:val="false"/>
          <w:color w:val="000000"/>
          <w:sz w:val="18"/>
        </w:rPr>
        <w:t xml:space="preserve">of this Plan or in connection with a Change in Control, the terms of outstanding awards may not be amended to reduce the Option Price of outstanding Option Rights or the Base Price of outstanding Appreciation Rights, or cancel outstanding “underwater” Option Rights or Appreciation Rights (including following a Participant’s voluntary surrender of “underwater” Option Rights or Appreciation Rights) in exchange for cash, other awards or Option Rights or Appreciation Rights with an Option Price or Base Price, as applicable, that is less than the Option Price of the original Option Rights or Base Price of the original Appreciation Rights, as applicable, without approval by the Stockholders. This </w:t>
      </w:r>
      <w:r>
        <w:rPr>
          <w:rFonts w:ascii="Arial;sans-serif" w:hAnsi="Arial;sans-serif"/>
          <w:b/>
          <w:color w:val="000000"/>
          <w:sz w:val="18"/>
          <w:u w:val="single"/>
        </w:rPr>
        <w:t>Section 18(b)</w:t>
      </w:r>
      <w:r>
        <w:rPr>
          <w:color w:val="000000"/>
        </w:rPr>
        <w:t xml:space="preserve"> </w:t>
      </w:r>
      <w:r>
        <w:rPr>
          <w:rFonts w:ascii="Arial;sans-serif" w:hAnsi="Arial;sans-serif"/>
          <w:b w:val="false"/>
          <w:color w:val="000000"/>
          <w:sz w:val="18"/>
        </w:rPr>
        <w:t xml:space="preserve">is intended to prohibit the repricing of “underwater” Option Rights and Appreciation Rights and will not be construed to prohibit the adjustments provided for in </w:t>
      </w:r>
      <w:r>
        <w:rPr>
          <w:rFonts w:ascii="Arial;sans-serif" w:hAnsi="Arial;sans-serif"/>
          <w:b/>
          <w:color w:val="000000"/>
          <w:sz w:val="18"/>
          <w:u w:val="single"/>
        </w:rPr>
        <w:t>Section 11</w:t>
      </w:r>
      <w:r>
        <w:rPr>
          <w:color w:val="000000"/>
        </w:rPr>
        <w:t xml:space="preserve"> </w:t>
      </w:r>
      <w:r>
        <w:rPr>
          <w:rFonts w:ascii="Arial;sans-serif" w:hAnsi="Arial;sans-serif"/>
          <w:b w:val="false"/>
          <w:color w:val="000000"/>
          <w:sz w:val="18"/>
        </w:rPr>
        <w:t xml:space="preserve">of this Plan. Notwithstanding any provision of this Plan to the contrary, this </w:t>
      </w:r>
      <w:r>
        <w:rPr>
          <w:rFonts w:ascii="Arial;sans-serif" w:hAnsi="Arial;sans-serif"/>
          <w:b/>
          <w:color w:val="000000"/>
          <w:sz w:val="18"/>
          <w:u w:val="single"/>
        </w:rPr>
        <w:t>Section 18(b)</w:t>
      </w:r>
      <w:r>
        <w:rPr>
          <w:color w:val="000000"/>
        </w:rPr>
        <w:t xml:space="preserve"> </w:t>
      </w:r>
      <w:r>
        <w:rPr>
          <w:rFonts w:ascii="Arial;sans-serif" w:hAnsi="Arial;sans-serif"/>
          <w:b w:val="false"/>
          <w:color w:val="000000"/>
          <w:sz w:val="18"/>
        </w:rPr>
        <w:t>may not be amended without approval by the Stockholders.</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(c)    If permitted by Section 409A of the Code, but subject to the paragraph that follows, including in the case of termination of employment or service, or in the case of unforeseeable emergency or other circumstances or in the event of a Change in Control, to the extent a Participant holds an Option Right or Appreciation Right not immediately exercisable in full, or any Restricted Stock as to which the substantial risk of forfeiture or the prohibition or restriction on transfer has not lapsed, or any Restricted Stock Units as to which the Restriction Period has not been completed, or any Cash Incentive Awards, Performance Shares or Performance Units which have not been fully earned, or any dividend equivalents or other awards made pursuant to </w:t>
      </w:r>
      <w:r>
        <w:rPr>
          <w:rFonts w:ascii="Arial;sans-serif" w:hAnsi="Arial;sans-serif"/>
          <w:b/>
          <w:color w:val="000000"/>
          <w:sz w:val="18"/>
          <w:u w:val="single"/>
        </w:rPr>
        <w:t>Section 9</w:t>
      </w:r>
      <w:r>
        <w:rPr>
          <w:color w:val="000000"/>
        </w:rPr>
        <w:t xml:space="preserve"> </w:t>
      </w:r>
      <w:r>
        <w:rPr>
          <w:rFonts w:ascii="Arial;sans-serif" w:hAnsi="Arial;sans-serif"/>
          <w:b w:val="false"/>
          <w:color w:val="000000"/>
          <w:sz w:val="18"/>
        </w:rPr>
        <w:t xml:space="preserve">of this Plan subject to any vesting schedule or transfer restriction, or who holds Common Stock subject to any transfer restriction imposed pursuant to </w:t>
      </w:r>
      <w:r>
        <w:rPr>
          <w:rFonts w:ascii="Arial;sans-serif" w:hAnsi="Arial;sans-serif"/>
          <w:b/>
          <w:color w:val="000000"/>
          <w:sz w:val="18"/>
          <w:u w:val="single"/>
        </w:rPr>
        <w:t>Section 15(b)</w:t>
      </w:r>
      <w:r>
        <w:rPr>
          <w:color w:val="000000"/>
        </w:rPr>
        <w:t xml:space="preserve"> </w:t>
      </w:r>
      <w:r>
        <w:rPr>
          <w:rFonts w:ascii="Arial;sans-serif" w:hAnsi="Arial;sans-serif"/>
          <w:b w:val="false"/>
          <w:color w:val="000000"/>
          <w:sz w:val="18"/>
        </w:rPr>
        <w:t>of this Plan, the Committee may, in its sole discretion, provide for continued vesting or accelerate the time at which such Option Right, Appreciation Right or other award may vest or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earned or the time when such transfer restriction will terminate or may waive any other limitation or requirement under any such award.</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(d)    Subject to </w:t>
      </w:r>
      <w:r>
        <w:rPr>
          <w:rFonts w:ascii="Arial;sans-serif" w:hAnsi="Arial;sans-serif"/>
          <w:b/>
          <w:color w:val="000000"/>
          <w:sz w:val="18"/>
          <w:u w:val="single"/>
        </w:rPr>
        <w:t>Section 18(b)</w:t>
      </w:r>
      <w:r>
        <w:rPr>
          <w:color w:val="000000"/>
        </w:rPr>
        <w:t xml:space="preserve"> </w:t>
      </w:r>
      <w:r>
        <w:rPr>
          <w:rFonts w:ascii="Arial;sans-serif" w:hAnsi="Arial;sans-serif"/>
          <w:b w:val="false"/>
          <w:color w:val="000000"/>
          <w:sz w:val="18"/>
        </w:rPr>
        <w:t xml:space="preserve">of this Plan, the Committee may amend the terms of any award theretofore granted under this Plan prospectively or retroactively. Except for adjustments made pursuant to </w:t>
      </w:r>
      <w:r>
        <w:rPr>
          <w:rFonts w:ascii="Arial;sans-serif" w:hAnsi="Arial;sans-serif"/>
          <w:b/>
          <w:color w:val="000000"/>
          <w:sz w:val="18"/>
          <w:u w:val="single"/>
        </w:rPr>
        <w:t>Section 11</w:t>
      </w:r>
      <w:r>
        <w:rPr>
          <w:color w:val="000000"/>
        </w:rPr>
        <w:t xml:space="preserve"> </w:t>
      </w:r>
      <w:r>
        <w:rPr>
          <w:rFonts w:ascii="Arial;sans-serif" w:hAnsi="Arial;sans-serif"/>
          <w:b w:val="false"/>
          <w:color w:val="000000"/>
          <w:sz w:val="18"/>
        </w:rPr>
        <w:t>of this Plan, no such amendment will materially impair the rights of any Participant without his or her consent. The Board may, in its discretion, terminate this Plan at any time. Termination of this Plan will not affect the rights of Participants or their successors under any awards outstanding hereunder and not exercised in full on the date of termination.</w:t>
      </w:r>
    </w:p>
    <w:p>
      <w:pPr>
        <w:pStyle w:val="TextBody"/>
        <w:bidi w:val="0"/>
        <w:spacing w:lineRule="auto" w:line="240" w:before="0" w:after="240"/>
        <w:ind w:left="0" w:right="0" w:firstLine="720"/>
        <w:jc w:val="both"/>
        <w:rPr/>
      </w:pPr>
      <w:r>
        <w:rPr>
          <w:rFonts w:ascii="Arial;sans-serif" w:hAnsi="Arial;sans-serif"/>
          <w:b w:val="false"/>
          <w:color w:val="000000"/>
          <w:sz w:val="18"/>
        </w:rPr>
        <w:t>19.    </w:t>
      </w:r>
      <w:r>
        <w:rPr>
          <w:rFonts w:ascii="Arial;sans-serif" w:hAnsi="Arial;sans-serif"/>
          <w:b/>
          <w:color w:val="000000"/>
          <w:sz w:val="18"/>
        </w:rPr>
        <w:t>Governing Law.</w:t>
      </w:r>
      <w:r>
        <w:rPr>
          <w:color w:val="000000"/>
        </w:rPr>
        <w:t xml:space="preserve"> </w:t>
      </w:r>
      <w:r>
        <w:rPr>
          <w:rFonts w:ascii="Arial;sans-serif" w:hAnsi="Arial;sans-serif"/>
          <w:b w:val="false"/>
          <w:color w:val="000000"/>
          <w:sz w:val="18"/>
        </w:rPr>
        <w:t>This Plan and all grants and awards and actions taken hereunder will be governed by and construed in accordance with the internal substantive laws of the State of Delaware.</w:t>
      </w:r>
    </w:p>
    <w:p>
      <w:pPr>
        <w:pStyle w:val="TextBody"/>
        <w:bidi w:val="0"/>
        <w:spacing w:lineRule="auto" w:line="240" w:before="0" w:after="240"/>
        <w:ind w:left="0" w:right="0" w:firstLine="720"/>
        <w:jc w:val="both"/>
        <w:rPr/>
      </w:pPr>
      <w:r>
        <w:rPr>
          <w:rFonts w:ascii="Arial;sans-serif" w:hAnsi="Arial;sans-serif"/>
          <w:b w:val="false"/>
          <w:color w:val="000000"/>
          <w:sz w:val="18"/>
        </w:rPr>
        <w:t>20.    </w:t>
      </w:r>
      <w:r>
        <w:rPr>
          <w:rFonts w:ascii="Arial;sans-serif" w:hAnsi="Arial;sans-serif"/>
          <w:b/>
          <w:color w:val="000000"/>
          <w:sz w:val="18"/>
        </w:rPr>
        <w:t>Effective Date/Termination.</w:t>
      </w:r>
      <w:r>
        <w:rPr>
          <w:color w:val="000000"/>
        </w:rPr>
        <w:t xml:space="preserve"> </w:t>
      </w:r>
      <w:r>
        <w:rPr>
          <w:rFonts w:ascii="Arial;sans-serif" w:hAnsi="Arial;sans-serif"/>
          <w:b w:val="false"/>
          <w:color w:val="000000"/>
          <w:sz w:val="18"/>
        </w:rPr>
        <w:t>This Plan will be effective as of the Effective Date. No grants will be made after the Effective Date under the Predecessor Plan, provided that outstanding awards granted under the Predecessor Plan will continue unaffected following the Effective Date. No grant will be made under this Plan on or after the tenth anniversary of the Effective Date, but all grants made prior to such date will continue in effect thereafter subject to the terms thereof and of this Plan. For clarification purposes, the terms and conditions of this Plan shall not apply to or otherwise impact previously granted and outstanding awards under the Predecessor Plan, as applicable.</w:t>
      </w:r>
    </w:p>
    <w:p>
      <w:pPr>
        <w:pStyle w:val="TextBody"/>
        <w:bidi w:val="0"/>
        <w:spacing w:lineRule="auto" w:line="240" w:before="0" w:after="240"/>
        <w:ind w:left="0" w:right="0" w:firstLine="720"/>
        <w:jc w:val="both"/>
        <w:rPr/>
      </w:pPr>
      <w:r>
        <w:rPr>
          <w:rFonts w:ascii="Arial;sans-serif" w:hAnsi="Arial;sans-serif"/>
          <w:b w:val="false"/>
          <w:color w:val="000000"/>
          <w:sz w:val="18"/>
        </w:rPr>
        <w:t>21.    </w:t>
      </w:r>
      <w:r>
        <w:rPr>
          <w:rFonts w:ascii="Arial;sans-serif" w:hAnsi="Arial;sans-serif"/>
          <w:b/>
          <w:color w:val="000000"/>
          <w:sz w:val="18"/>
        </w:rPr>
        <w:t>Miscellaneous Provisions.</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(a)    The Company will not be required to issue any fractional shares of Common Stock pursuant to this Plan. The Committee may provide for the elimination of fractions or for the settlement of fractions in cash.</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 xml:space="preserve">(b)    This Plan will not confer upon any Participant any right with respect to continuance of employment or other service with the Company or any Subsidiary, nor will it interfere in any way with any right the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Arial;sans-serif" w:hAnsi="Arial;sans-serif"/>
          <w:b w:val="false"/>
          <w:color w:val="000000"/>
          <w:sz w:val="18"/>
        </w:rPr>
      </w:pPr>
      <w:r>
        <w:rPr>
          <w:rFonts w:ascii="Arial;sans-serif" w:hAnsi="Arial;sans-serif"/>
          <w:b w:val="false"/>
          <w:color w:val="000000"/>
          <w:sz w:val="18"/>
        </w:rPr>
        <w:t>Company or any Subsidiary would otherwise have to terminate such Participant’s employment or other service at any time.</w:t>
      </w:r>
    </w:p>
    <w:p>
      <w:pPr>
        <w:pStyle w:val="TextBody"/>
        <w:bidi w:val="0"/>
        <w:spacing w:lineRule="auto" w:line="240" w:before="0" w:after="240"/>
        <w:ind w:left="0" w:right="0" w:firstLine="1440"/>
        <w:jc w:val="both"/>
        <w:rPr/>
      </w:pPr>
      <w:r>
        <w:rPr>
          <w:rFonts w:ascii="Arial;sans-serif" w:hAnsi="Arial;sans-serif"/>
          <w:b w:val="false"/>
          <w:color w:val="000000"/>
          <w:sz w:val="18"/>
        </w:rPr>
        <w:t xml:space="preserve">(c)    Except with respect to </w:t>
      </w:r>
      <w:r>
        <w:rPr>
          <w:rFonts w:ascii="Arial;sans-serif" w:hAnsi="Arial;sans-serif"/>
          <w:b/>
          <w:color w:val="000000"/>
          <w:sz w:val="18"/>
          <w:u w:val="single"/>
        </w:rPr>
        <w:t>Section 21(e)</w:t>
      </w:r>
      <w:r>
        <w:rPr>
          <w:color w:val="000000"/>
        </w:rPr>
        <w:t xml:space="preserve"> </w:t>
      </w:r>
      <w:r>
        <w:rPr>
          <w:rFonts w:ascii="Arial;sans-serif" w:hAnsi="Arial;sans-serif"/>
          <w:b w:val="false"/>
          <w:color w:val="000000"/>
          <w:sz w:val="18"/>
        </w:rPr>
        <w:t>of this Plan, to the extent that any provision of this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this Plan.</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(d)    No award under this Plan may be exercised by the holder thereof if such exercise, and the receipt of cash or shares thereunder, would be, in the opinion of counsel selected by the Company, contrary to law or the regulations of any duly constituted authority having jurisdiction over this Plan.</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(e)    Absence on leave approved by a duly constituted officer of the Company or any of its Subsidiaries will not be considered interruption or termination of service of any employee for any purposes of this Plan or awards granted hereunder.</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(f)    No Participant will have any rights as a Stockholder with respect to any Common Stock subject to awards granted to him or her under this Plan prior to the date as of which he or she is actually recorded as the holder of such Common Stock upon the share records of the Company.</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(g)    The Committee may condition the grant of any award or combination of awards authorized under this Plan on the surrender or deferral by the Participant of his or her right to receive a cash bonus or other compensation otherwise payable by the Company or a Subsidiary to the Participant.</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(h)    Except with respect to Option Rights and Appreciation Rights, the Committee may permit Participants to elect to defer the issuance of Common Stock under this Plan pursuant to such rules, procedures or programs as it may establish for purposes of this Plan and which are intended to comply with the requirements of Section 409A of the Code. The Committee also may provide that deferred issuances and settlements include the crediting of dividend equivalents or interest on the deferral amounts.</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 xml:space="preserve">(i)    If any provision of this Plan is or becomes invalid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w:t>
      </w:r>
    </w:p>
    <w:p>
      <w:pPr>
        <w:pStyle w:val="TextBody"/>
        <w:bidi w:val="0"/>
        <w:spacing w:lineRule="auto" w:line="240" w:before="0" w:after="240"/>
        <w:ind w:left="0" w:right="0" w:firstLine="720"/>
        <w:jc w:val="both"/>
        <w:rPr/>
      </w:pPr>
      <w:r>
        <w:rPr>
          <w:rFonts w:ascii="Arial;sans-serif" w:hAnsi="Arial;sans-serif"/>
          <w:b w:val="false"/>
          <w:color w:val="000000"/>
          <w:sz w:val="18"/>
        </w:rPr>
        <w:t>22.    </w:t>
      </w:r>
      <w:r>
        <w:rPr>
          <w:rFonts w:ascii="Arial;sans-serif" w:hAnsi="Arial;sans-serif"/>
          <w:b/>
          <w:color w:val="000000"/>
          <w:sz w:val="18"/>
        </w:rPr>
        <w:t>Share-Based Awards in Substitution for Awards Granted by Another Company.</w:t>
      </w:r>
      <w:r>
        <w:rPr>
          <w:color w:val="000000"/>
        </w:rPr>
        <w:t xml:space="preserve"> </w:t>
      </w:r>
      <w:r>
        <w:rPr>
          <w:rFonts w:ascii="Arial;sans-serif" w:hAnsi="Arial;sans-serif"/>
          <w:b w:val="false"/>
          <w:color w:val="000000"/>
          <w:sz w:val="18"/>
        </w:rPr>
        <w:t>Notwithstanding anything in this Plan to the contrary:</w:t>
      </w:r>
    </w:p>
    <w:p>
      <w:pPr>
        <w:pStyle w:val="TextBody"/>
        <w:bidi w:val="0"/>
        <w:spacing w:lineRule="auto" w:line="240" w:before="0" w:after="240"/>
        <w:ind w:left="0" w:right="0" w:firstLine="1440"/>
        <w:jc w:val="both"/>
        <w:rPr>
          <w:rFonts w:ascii="Arial;sans-serif" w:hAnsi="Arial;sans-serif"/>
          <w:b w:val="false"/>
          <w:color w:val="000000"/>
          <w:sz w:val="18"/>
        </w:rPr>
      </w:pPr>
      <w:r>
        <w:rPr>
          <w:rFonts w:ascii="Arial;sans-serif" w:hAnsi="Arial;sans-serif"/>
          <w:b w:val="false"/>
          <w:color w:val="000000"/>
          <w:sz w:val="18"/>
        </w:rPr>
        <w:t>(a)    Awards may be granted under this Plan in substitution for or in conversion of, or in connection with an assumption of, stock options, stock appreciation rights, restricted stock, restricted stock units or other share or share-based awards held by awardees of an entity engaging in a corporate acquisition or merger transaction with the Company or any Subsidiary. Any conversion, substitution or assumption will be effective as of the close of the merger or acquisition, and, to the extent applicable, will be conducted in a manner that complies with Section 409A of the Code. The awards so granted may reflect the original terms of the awards being assumed or substituted or converted for and need not comply with other specific terms of this Plan, and may account for Common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pStyle w:val="TextBody"/>
        <w:bidi w:val="0"/>
        <w:spacing w:lineRule="auto" w:line="240" w:before="0" w:after="0"/>
        <w:ind w:left="0" w:right="0" w:firstLine="1440"/>
        <w:jc w:val="both"/>
        <w:rPr/>
      </w:pPr>
      <w:r>
        <w:rPr>
          <w:rFonts w:ascii="Arial;sans-serif" w:hAnsi="Arial;sans-serif"/>
          <w:b w:val="false"/>
          <w:color w:val="000000"/>
          <w:sz w:val="18"/>
        </w:rPr>
        <w:t xml:space="preserve">(b)    Any Common Stock that is issued or transferred by, or that are subject to any awards that are granted by, or become obligations of, the Company under </w:t>
      </w:r>
      <w:r>
        <w:rPr>
          <w:rFonts w:ascii="Arial;sans-serif" w:hAnsi="Arial;sans-serif"/>
          <w:b/>
          <w:color w:val="000000"/>
          <w:sz w:val="18"/>
          <w:u w:val="single"/>
        </w:rPr>
        <w:t>Sections 22(a)</w:t>
      </w:r>
      <w:r>
        <w:rPr>
          <w:color w:val="000000"/>
        </w:rPr>
        <w:t xml:space="preserve"> </w:t>
      </w:r>
      <w:r>
        <w:rPr>
          <w:rFonts w:ascii="Arial;sans-serif" w:hAnsi="Arial;sans-serif"/>
          <w:b w:val="false"/>
          <w:color w:val="000000"/>
          <w:sz w:val="18"/>
        </w:rPr>
        <w:t xml:space="preserve">of this Plan will not reduce the shares of Common Stock available for issuance or transfer under this Plan or otherwise count against the limits contained in </w:t>
      </w:r>
      <w:r>
        <w:rPr>
          <w:rFonts w:ascii="Arial;sans-serif" w:hAnsi="Arial;sans-serif"/>
          <w:b/>
          <w:color w:val="000000"/>
          <w:sz w:val="18"/>
          <w:u w:val="single"/>
        </w:rPr>
        <w:t>Section 3</w:t>
      </w:r>
      <w:r>
        <w:rPr>
          <w:color w:val="000000"/>
        </w:rPr>
        <w:t xml:space="preserve"> </w:t>
      </w:r>
      <w:r>
        <w:rPr>
          <w:rFonts w:ascii="Arial;sans-serif" w:hAnsi="Arial;sans-serif"/>
          <w:b w:val="false"/>
          <w:color w:val="000000"/>
          <w:sz w:val="18"/>
        </w:rPr>
        <w:t xml:space="preserve">of this Plan. In addition, no shares of Common Stock subject to an award that is granted by, or becomes an obligation of, the Company under </w:t>
      </w:r>
      <w:r>
        <w:rPr>
          <w:rFonts w:ascii="Arial;sans-serif" w:hAnsi="Arial;sans-serif"/>
          <w:b/>
          <w:color w:val="000000"/>
          <w:sz w:val="18"/>
          <w:u w:val="single"/>
        </w:rPr>
        <w:t>Sections 22(a)</w:t>
      </w:r>
      <w:r>
        <w:rPr>
          <w:color w:val="000000"/>
        </w:rPr>
        <w:t xml:space="preserve"> </w:t>
      </w:r>
      <w:r>
        <w:rPr>
          <w:rFonts w:ascii="Arial;sans-serif" w:hAnsi="Arial;sans-serif"/>
          <w:b w:val="false"/>
          <w:color w:val="000000"/>
          <w:sz w:val="18"/>
        </w:rPr>
        <w:t xml:space="preserve">of this Plan, will be added to the aggregate limit contained in </w:t>
      </w:r>
      <w:r>
        <w:rPr>
          <w:rFonts w:ascii="Arial;sans-serif" w:hAnsi="Arial;sans-serif"/>
          <w:b/>
          <w:color w:val="000000"/>
          <w:sz w:val="18"/>
          <w:u w:val="single"/>
        </w:rPr>
        <w:t>Section 3(a)(i)</w:t>
      </w:r>
      <w:r>
        <w:rPr>
          <w:color w:val="000000"/>
        </w:rPr>
        <w:t xml:space="preserve"> </w:t>
      </w:r>
      <w:r>
        <w:rPr>
          <w:rFonts w:ascii="Arial;sans-serif" w:hAnsi="Arial;sans-serif"/>
          <w:b w:val="false"/>
          <w:color w:val="000000"/>
          <w:sz w:val="18"/>
        </w:rPr>
        <w:t xml:space="preserve">of this Plan pursuant to the share recycling provisions set forth in </w:t>
      </w:r>
      <w:r>
        <w:rPr>
          <w:rFonts w:ascii="Arial;sans-serif" w:hAnsi="Arial;sans-serif"/>
          <w:b/>
          <w:color w:val="000000"/>
          <w:sz w:val="18"/>
          <w:u w:val="single"/>
        </w:rPr>
        <w:t>Section 3(b)</w:t>
      </w:r>
      <w:r>
        <w:rPr>
          <w:color w:val="000000"/>
        </w:rPr>
        <w:t xml:space="preserve"> </w:t>
      </w:r>
      <w:r>
        <w:rPr>
          <w:rFonts w:ascii="Arial;sans-serif" w:hAnsi="Arial;sans-serif"/>
          <w:b w:val="false"/>
          <w:color w:val="000000"/>
          <w:sz w:val="18"/>
        </w:rPr>
        <w:t>of this Plan.</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10.19</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ABM INDUSTRIES INCORPORATED </w:t>
      </w:r>
    </w:p>
    <w:p>
      <w:pPr>
        <w:pStyle w:val="TextBody"/>
        <w:bidi w:val="0"/>
        <w:spacing w:lineRule="auto" w:line="240" w:before="0" w:after="240"/>
        <w:jc w:val="center"/>
        <w:rPr/>
      </w:pPr>
      <w:r>
        <w:rPr>
          <w:rFonts w:ascii="Times New Roman;sans-serif" w:hAnsi="Times New Roman;sans-serif"/>
          <w:b/>
          <w:color w:val="000000"/>
          <w:sz w:val="24"/>
        </w:rPr>
        <w:t xml:space="preserve">STATEMENT OF TERMS AND CONDITIONS APPLICABLE TO AWARDS </w:t>
        <w:br/>
        <w:t xml:space="preserve">GRANTED TO EMPLOYEES PURSUANT TO </w:t>
        <w:br/>
        <w:t>THE 2021 EQUITY AND INCENTIVE COMPENSATION PLAN</w:t>
        <w:br/>
      </w:r>
      <w:r>
        <w:rPr>
          <w:rFonts w:ascii="Times New Roman;sans-serif" w:hAnsi="Times New Roman;sans-serif"/>
          <w:b w:val="false"/>
          <w:i/>
          <w:color w:val="000000"/>
          <w:sz w:val="24"/>
        </w:rPr>
        <w:t>(for awards granted after October 26, 2023)</w:t>
      </w:r>
    </w:p>
    <w:p>
      <w:pPr>
        <w:pStyle w:val="TextBody"/>
        <w:bidi w:val="0"/>
        <w:spacing w:before="0" w:after="240"/>
        <w:jc w:val="center"/>
        <w:rPr/>
      </w:pPr>
      <w:r>
        <w:rPr/>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I.    INTRODUCTION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terms and conditions shall apply to each Award granted under the Plan to an Employee eligible to participate in the Plan, except as may otherwise be determined by the Administrator, as provided herein. This Statement of Terms and Conditions is subject to the terms of the Plan and of any Award made pursuant to the Plan. In the event of any inconsistency between this Statement of Terms and Conditions and the Plan, the Plan shall govern.</w:t>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II.    DEFINITIONS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Capitalized terms not otherwise defined in this Statement of Terms and Conditions shall have the meaning set forth in the Plan. When capitalized in this Statement of Terms and Conditions, the following additional terms shall have the meaning set forth below:</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Administrator</w:t>
      </w:r>
      <w:r>
        <w:rPr>
          <w:color w:val="000000"/>
        </w:rPr>
        <w:t xml:space="preserve">” </w:t>
      </w:r>
      <w:r>
        <w:rPr>
          <w:rFonts w:ascii="Times New Roman;sans-serif" w:hAnsi="Times New Roman;sans-serif"/>
          <w:b w:val="false"/>
          <w:color w:val="000000"/>
          <w:sz w:val="24"/>
        </w:rPr>
        <w:t>means the Board or the committee of the Board appointed to administer the Plan, or a delegate of the Board as provided for in the Plan.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Appreciation Right Period</w:t>
      </w:r>
      <w:r>
        <w:rPr>
          <w:color w:val="000000"/>
        </w:rPr>
        <w:t xml:space="preserve">” </w:t>
      </w:r>
      <w:r>
        <w:rPr>
          <w:rFonts w:ascii="Times New Roman;sans-serif" w:hAnsi="Times New Roman;sans-serif"/>
          <w:b w:val="false"/>
          <w:color w:val="000000"/>
          <w:sz w:val="24"/>
        </w:rPr>
        <w:t>means the period commencing on the Date of Grant of an Appreciation Right and, except as otherwise provided in Section V. E, ending on the Termination Date.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Award</w:t>
      </w:r>
      <w:r>
        <w:rPr>
          <w:color w:val="000000"/>
        </w:rPr>
        <w:t xml:space="preserve">” </w:t>
      </w:r>
      <w:r>
        <w:rPr>
          <w:rFonts w:ascii="Times New Roman;sans-serif" w:hAnsi="Times New Roman;sans-serif"/>
          <w:b w:val="false"/>
          <w:color w:val="000000"/>
          <w:sz w:val="24"/>
        </w:rPr>
        <w:t>means any award of Option Rights, Appreciation Rights, Restricted Stock, Restricted Stock Units, Cash Incentive Awards, Performance Shares and Performance Units or Other Awards under the Plan.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Beneficiary</w:t>
      </w:r>
      <w:r>
        <w:rPr>
          <w:color w:val="000000"/>
        </w:rPr>
        <w:t xml:space="preserve">” </w:t>
      </w:r>
      <w:r>
        <w:rPr>
          <w:rFonts w:ascii="Times New Roman;sans-serif" w:hAnsi="Times New Roman;sans-serif"/>
          <w:b w:val="false"/>
          <w:color w:val="000000"/>
          <w:sz w:val="24"/>
        </w:rPr>
        <w:t>means the individual identified by the Participant to whom distribution shall be made of any Award outstanding at the time of the Participant’s death.</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shall have the meaning ascribed to such term under any employment agreement between the Participant and the Company and, absent any such definition, means, with respect to a Participant: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    serious misconduct, dishonesty, disloyalty or insubordination;</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    the Participant’s conviction (or entry of a plea bargain admitting criminal guilt) of any felony or misdemeanor involving moral turpitude;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    drug or alcohol abuse that has a material or potentially material effect on the Company’s reputation and/or the performance of the Participant’s duties and responsibilities under the Participant’s employment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    failure to substantially perform the Participant’s duties or responsibilities under the Participant’s employment agreement for reasons other than death or disability;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v.    repeated inattention to duty for reasons other than death or disability; or</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vi.    any other material breach of the Participant’s employment agreement or Company Code of Business Conduct by the Participant.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Disabled</w:t>
      </w:r>
      <w:r>
        <w:rPr>
          <w:color w:val="000000"/>
        </w:rPr>
        <w:t xml:space="preserve">” </w:t>
      </w:r>
      <w:r>
        <w:rPr>
          <w:rFonts w:ascii="Times New Roman;sans-serif" w:hAnsi="Times New Roman;sans-serif"/>
          <w:b w:val="false"/>
          <w:color w:val="000000"/>
          <w:sz w:val="24"/>
        </w:rPr>
        <w:t>means, unless otherwise set forth in an Evidence of Award, that the Participant is unable to engage in any substantial gainful activity by reason of any medically determinable physical or mental impairment which can be expected to result in death or can be expected to last for a continuous period of not less than 12 months.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Employee</w:t>
      </w:r>
      <w:r>
        <w:rPr>
          <w:color w:val="000000"/>
        </w:rPr>
        <w:t xml:space="preserve">” </w:t>
      </w:r>
      <w:r>
        <w:rPr>
          <w:rFonts w:ascii="Times New Roman;sans-serif" w:hAnsi="Times New Roman;sans-serif"/>
          <w:b w:val="false"/>
          <w:color w:val="000000"/>
          <w:sz w:val="24"/>
        </w:rPr>
        <w:t>means an individual employed by the Company or an Affiliate (within the meaning of Code Section 3401 and the regulations thereunder).</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Excess Parachute Payment</w:t>
      </w:r>
      <w:r>
        <w:rPr>
          <w:color w:val="000000"/>
        </w:rPr>
        <w:t xml:space="preserve">” </w:t>
      </w:r>
      <w:r>
        <w:rPr>
          <w:rFonts w:ascii="Times New Roman;sans-serif" w:hAnsi="Times New Roman;sans-serif"/>
          <w:b w:val="false"/>
          <w:color w:val="000000"/>
          <w:sz w:val="24"/>
        </w:rPr>
        <w:t>means a payment that creates an obligation for a Participant to pay excise taxes under Code Section 280G or any successor provision thereto.</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Independent Committee</w:t>
      </w:r>
      <w:r>
        <w:rPr>
          <w:color w:val="000000"/>
        </w:rPr>
        <w:t xml:space="preserve">” </w:t>
      </w:r>
      <w:r>
        <w:rPr>
          <w:rFonts w:ascii="Times New Roman;sans-serif" w:hAnsi="Times New Roman;sans-serif"/>
          <w:b w:val="false"/>
          <w:color w:val="000000"/>
          <w:sz w:val="24"/>
        </w:rPr>
        <w:t>means any committee consisting of independent Directors designated by the independent members of the Board.</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Option Period</w:t>
      </w:r>
      <w:r>
        <w:rPr>
          <w:color w:val="000000"/>
        </w:rPr>
        <w:t xml:space="preserve">” </w:t>
      </w:r>
      <w:r>
        <w:rPr>
          <w:rFonts w:ascii="Times New Roman;sans-serif" w:hAnsi="Times New Roman;sans-serif"/>
          <w:b w:val="false"/>
          <w:color w:val="000000"/>
          <w:sz w:val="24"/>
        </w:rPr>
        <w:t>means the period commencing on the Date of Grant of Option Rights and, except as otherwise provided in Section IV. E, ending on the Termination Date.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Option Proceeds</w:t>
      </w:r>
      <w:r>
        <w:rPr>
          <w:color w:val="000000"/>
        </w:rPr>
        <w:t xml:space="preserve">” </w:t>
      </w:r>
      <w:r>
        <w:rPr>
          <w:rFonts w:ascii="Times New Roman;sans-serif" w:hAnsi="Times New Roman;sans-serif"/>
          <w:b w:val="false"/>
          <w:color w:val="000000"/>
          <w:sz w:val="24"/>
        </w:rPr>
        <w:t>means, with respect to any sale or other disposition of Shares issued or issuable upon the exercise of an Option Right, an amount determined appropriate by the independent members of the Board or the Independent Committee, in its sole judgment, to reflect the effect of a restatement of the Company’s financial statements on the Company’s stock price, up to an amount equal to the number of Shares sold or disposed of, multiplied by a number equal to the difference between (x) the Market Value per Share at the time of sale or disposition multiplied by the number of Shares underlying the Award and (y) the Exercise Price.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Retirement</w:t>
      </w:r>
      <w:r>
        <w:rPr>
          <w:color w:val="000000"/>
        </w:rPr>
        <w:t xml:space="preserve">” </w:t>
      </w:r>
      <w:r>
        <w:rPr>
          <w:rFonts w:ascii="Times New Roman;sans-serif" w:hAnsi="Times New Roman;sans-serif"/>
          <w:b w:val="false"/>
          <w:color w:val="000000"/>
          <w:sz w:val="24"/>
        </w:rPr>
        <w:t>means the termination of an Employee’s employment, other than for Cause, at (i) age 60 or (ii) age 55 or older at a time when age plus years of service equals or exceeds 65.</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Share</w:t>
      </w:r>
      <w:r>
        <w:rPr>
          <w:color w:val="000000"/>
        </w:rPr>
        <w:t xml:space="preserve">” </w:t>
      </w:r>
      <w:r>
        <w:rPr>
          <w:rFonts w:ascii="Times New Roman;sans-serif" w:hAnsi="Times New Roman;sans-serif"/>
          <w:b w:val="false"/>
          <w:color w:val="000000"/>
          <w:sz w:val="24"/>
        </w:rPr>
        <w:t>means one share of Common Stock, as may be adjusted from as a result of a recapitalization.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N.    “</w:t>
      </w:r>
      <w:r>
        <w:rPr>
          <w:rFonts w:ascii="Times New Roman;sans-serif" w:hAnsi="Times New Roman;sans-serif"/>
          <w:b w:val="false"/>
          <w:color w:val="000000"/>
          <w:sz w:val="24"/>
          <w:u w:val="single"/>
        </w:rPr>
        <w:t>Share Equivalent</w:t>
      </w:r>
      <w:r>
        <w:rPr>
          <w:color w:val="000000"/>
        </w:rPr>
        <w:t xml:space="preserve">” </w:t>
      </w:r>
      <w:r>
        <w:rPr>
          <w:rFonts w:ascii="Times New Roman;sans-serif" w:hAnsi="Times New Roman;sans-serif"/>
          <w:b w:val="false"/>
          <w:color w:val="000000"/>
          <w:sz w:val="24"/>
        </w:rPr>
        <w:t>means a bookkeeping entry representing a right to the equivalent of one Share.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O.    “</w:t>
      </w:r>
      <w:r>
        <w:rPr>
          <w:rFonts w:ascii="Times New Roman;sans-serif" w:hAnsi="Times New Roman;sans-serif"/>
          <w:b w:val="false"/>
          <w:color w:val="000000"/>
          <w:sz w:val="24"/>
          <w:u w:val="single"/>
        </w:rPr>
        <w:t>Termination Date</w:t>
      </w:r>
      <w:r>
        <w:rPr>
          <w:color w:val="000000"/>
        </w:rPr>
        <w:t xml:space="preserve">” </w:t>
      </w:r>
      <w:r>
        <w:rPr>
          <w:rFonts w:ascii="Times New Roman;sans-serif" w:hAnsi="Times New Roman;sans-serif"/>
          <w:b w:val="false"/>
          <w:color w:val="000000"/>
          <w:sz w:val="24"/>
        </w:rPr>
        <w:t>means the date that Option Rights expire as set forth in the Evidence of Award.</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 xml:space="preserve">III.    MINIMUM VESTING REQUIREMENT </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Awards granted under the Plan to Participants shall either be subject to a minimum vesting or minimum performance period, in the case of Performance Shares and Performance Units, of one year. Notwithstanding the foregoing, (i) the Committee may authorize acceleration of vesting of such awards in the event of the Participant’s death, Disability, termination of employment or service or the occurrence of a Change in Control, (ii) the Committee may grant awards without the above-described minimum requirements with respect to awards covering up to 5% of the aggregate number of shares authorized for issuance under the Plan, and (iii) with respect to awards granted to non-employee Directors, the vesting of such awards will be deemed to satisfy the minimum vesting requirement to the extent that the awards vest based on the approximate one-year period beginning on each regular annual meeting of the Company’s stockholders and ending on the date of the next regular annual meeting of the Company’s stockholders (in no case will the minimum vesting requirement be less than 50 weeks).</w:t>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 xml:space="preserve">IV.    OPTION RIGHTS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Option Notice and Evidence of Award</w:t>
      </w:r>
      <w:r>
        <w:rPr>
          <w:rFonts w:ascii="Times New Roman;sans-serif" w:hAnsi="Times New Roman;sans-serif"/>
          <w:b w:val="false"/>
          <w:color w:val="000000"/>
          <w:sz w:val="24"/>
        </w:rPr>
        <w:t>. Option Rights granted under the Plan shall be evidenced by an Evidence of Award setting forth the terms and conditions of the Option Rights, including whether the Option Rights are Incentive Stock Option Rights or nonqualified Option Rights and the number of Shares subject to the Option Rights. Each Evidence of Award shall incorporate by reference and be subject to this Statement of Terms and Conditions and the terms and conditions of the Plan, except as may otherwise be determined by the Administrator.</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Exercise Price</w:t>
      </w:r>
      <w:r>
        <w:rPr>
          <w:rFonts w:ascii="Times New Roman;sans-serif" w:hAnsi="Times New Roman;sans-serif"/>
          <w:b w:val="false"/>
          <w:color w:val="000000"/>
          <w:sz w:val="24"/>
        </w:rPr>
        <w:t>. The Exercise Price of the Option Rights, as specified in the Evidence of Award, shall be equal to or greater than the Market Value per Share of the Shares underlying the Option Rights on the Date of Grant.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Option Period</w:t>
      </w:r>
      <w:r>
        <w:rPr>
          <w:rFonts w:ascii="Times New Roman;sans-serif" w:hAnsi="Times New Roman;sans-serif"/>
          <w:b w:val="false"/>
          <w:color w:val="000000"/>
          <w:sz w:val="24"/>
        </w:rPr>
        <w:t>. Option Rights shall be exercisable only during the applicable Option Period, and during such Option Period the exercisability of the Option Rights shall be subject to the vesting provisions of Section IV. D as modified by the rules set forth in Sections III, IV. E, VII, VIII and IX. The Option Period shall be not more than ten years from the Date of Grant.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Vesting of Right to Exercise Option Rights</w:t>
      </w:r>
      <w:r>
        <w:rPr>
          <w:rFonts w:ascii="Times New Roman;sans-serif" w:hAnsi="Times New Roman;sans-serif"/>
          <w:b w:val="false"/>
          <w:color w:val="000000"/>
          <w:sz w:val="24"/>
        </w:rPr>
        <w: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    Except as provided in the last sentence of this Section IV. D. 1 and in Sections VI, VII, VIII and IX, Option Rights shall be exercisable during the Option Period in accordance with the following vesting schedule: (i) 25% of the Shares subject to the Option Rights shall vest on the first anniversary of the Date of Grant; (ii) an additional 25% of the Shares shall vest on the second anniversary of the Date of Grant; (iii) an additional 25% of the Shares shall vest on the third anniversary of the Date of Grant; and (iv) the remaining 25% of the Shares subject to the Option Rights shall vest on the fourth anniversary of the Date of Grant. Notwithstanding the foregoing, the Administrator may specify a different vesting schedule.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Any vested portion of an award of Option Rights not exercised hereunder shall accumulate and be exercisable at any time on or before the Termination Date, subject to the rules set forth in Sections IV. E, VII, VIII, and IX. No Option Right may be exercised for less than 5%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total number of Shares then available for exercise under such Option Rights. In no event shall the Company be required to issue fractional shares.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Termination of Employment</w:t>
      </w:r>
      <w:r>
        <w:rPr>
          <w:rFonts w:ascii="Times New Roman;sans-serif" w:hAnsi="Times New Roman;sans-serif"/>
          <w:b w:val="false"/>
          <w:color w:val="000000"/>
          <w:sz w:val="24"/>
        </w:rPr>
        <w:t>. In addition to the terms set forth in the Plan with respect to termination of employment: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    Except as provided in the last sentence of this Section IV. E. 1, if, during the Option Period, a Participant ceases to be a bona fide employee of the Company or an Affiliate due to his or her Retirement that occurs at least one year following the Date of Grant, or due to his or her Disability or death, then in addition to any Shares vested under the Evidence of Award prior to the date of such Retirement, Disability or death, the Option Rights shall vest in the number of Shares equal to 25% of the number of Shares originally subject to the Option Rights, multiplied by the number of whole months between the most recent anniversary date of the Option Rights grant and the date of such Retirement, Disability or death, and divided by 12. Notwithstanding the foregoing, the Administrator may specify a different provision regarding vesting upon termination of employment due to Retirement, Disability or death, or any other reason, subject to the terms of the Plan.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 xml:space="preserve">2.    If a Participant who ceases to be a bona fide employee of the Company or an Affiliate is subsequently rehired prior to the expiration of his or her Option Rights, then the Option Rights shall continue to remain outstanding until such time as the Participant subsequently terminates employment or the Option Rights otherwise terminate pursuant to this Statement of Terms and Conditions. Upon the Participant’s subsequent termination of employment, the post-termination exercise period calculated pursuant to the terms and conditions of this Section IV. E shall be reduced by the number of days between the date of the Participant’s initial termination of employment and his or her rehire date;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if the rehired Participant continues to be employed by the Company or an Affiliate for at least one year from his or her rehire date, then the post-termination exercise period for the Option Rights shall be determined in accordance with the Plan and shall not be adjusted as described above.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    In the event that a Participant who is an Employee ceases to be employed by the Company or any of its Affiliates for any reason, such Participant shall have the right (subject to the limitation that no Option Right may be exercised after its stated expiration date) to exercise the Option Rights, to the extent that, at the date of termination of employment, the Option Rights had vested pursuant to the terms of the Evidence of Award with respect to which such Option Rights were granted and had not previously been exercised, either: (i) within four months after such termination of employment; or (ii) in the case of Retirement or death within one year after the date thereof; or (iii) in the case of Disability, within one year from the date the Committee or its delegate determines that the Participant is Disabled; or (iv) on such other terms established by the Committee in the Evidence of Award or otherwise prior to 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Method of Exercise</w:t>
      </w:r>
      <w:r>
        <w:rPr>
          <w:rFonts w:ascii="Times New Roman;sans-serif" w:hAnsi="Times New Roman;sans-serif"/>
          <w:b w:val="false"/>
          <w:color w:val="000000"/>
          <w:sz w:val="24"/>
        </w:rPr>
        <w:t>. A Participant may exercise Option Rights with respect to all or any part of the exercisable Shares as follows: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    By giving the Company, or its authorized representative designated for this purpose, written notice of such exercise specifying the number of Shares as to which the Option Rights are so exercised. Such notice shall be accompanied by an amount equal to the Exercise Price of such Shares, in the form of any one or combination of the following:</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cash or certified check, bank draft, postal or express money order in lawful money of the United States;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personal check of the Participant;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a “net exercise” pursuant to which the Company will not require a payment of the Exercise Price from the Participant but will reduce the number of Shares issued upon the exercise by the largest number of whole Shares such that the Market Value per Share multiplied by the number of Shares does not exceed the aggregate Exercise Price. With respect to any remaining balance of the aggregate Exercise Price, the Company shall accept payment in a form identified in (a) or (b) of this section;</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    by tendering to the Company or its authorized representative Shares having a Market Value per Share, as determined by the Company, such that the aggregate value of the shares is equal to the Exercise Price. In the event a Participant tenders Shares to pay the Exercise Price, tender of Shares acquired through exercise of an Incentive Stock Option may result in unfavorable income tax consequences unless such Shares are held for at least two years from the Date of Grant of the Incentive Stock Option and one year from the date of exercise of the Incentive Stock Option;</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e.    delivery (including by facsimile or email transmission) to the Company or its authorized representative of an executed irrevocable option exercise form together with irrevocable instructions to an approved registered investment broker to sell Shares in an amount sufficient to pay the Exercise Price plus any minimal applicable withholding taxes and to transfer the proceeds of such sale to the Company; and</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2.    If required by the Company, by giving satisfactory assurance in writing, signed by the Participant, the Participant shall give his or her assurance that the Shares subject to the Option Rights are being purchased for investment and not with a view to the distribution thereof; provided that such assurance shall be deemed inapplicable to (i) any sale of the Shares by such Participant made in accordance with the terms of a registration statement covering such sale, which has heretofore been (or may hereafter be) filed and become effective under the Securities Act of 1933, as amended (the “</w:t>
      </w:r>
      <w:r>
        <w:rPr>
          <w:rFonts w:ascii="Times New Roman;sans-serif" w:hAnsi="Times New Roman;sans-serif"/>
          <w:b w:val="false"/>
          <w:color w:val="000000"/>
          <w:sz w:val="24"/>
          <w:u w:val="single"/>
        </w:rPr>
        <w:t>Securities Act</w:t>
      </w:r>
      <w:r>
        <w:rPr>
          <w:color w:val="000000"/>
        </w:rPr>
        <w:t>”</w:t>
      </w:r>
      <w:r>
        <w:rPr>
          <w:rFonts w:ascii="Times New Roman;sans-serif" w:hAnsi="Times New Roman;sans-serif"/>
          <w:b w:val="false"/>
          <w:color w:val="000000"/>
          <w:sz w:val="24"/>
        </w:rPr>
        <w:t>), and with respect to which no stop order suspending the effectiveness thereof has been issued, and (ii) any other sale of the Shares with respect to which, in the opinion of counsel for the Company, such assurance is not required to be given in order to comply with the provisions of the Securities Act.</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Limitations on Transfer</w:t>
      </w:r>
      <w:r>
        <w:rPr>
          <w:rFonts w:ascii="Times New Roman;sans-serif" w:hAnsi="Times New Roman;sans-serif"/>
          <w:b w:val="false"/>
          <w:color w:val="000000"/>
          <w:sz w:val="24"/>
        </w:rPr>
        <w:t>. Option Rights shall, during a Participant’s lifetime, be exercisable only by the Participant. No Option Right or any right granted thereunder shall be transferable by the Participant by operation of law or otherwise, other than as set forth in the Plan. In the event of any attempt by a Participant to alienate, assign, pledge, hypothecate, or otherwise dispose of Option Rights or of any right thereunder, except as provided herein, or in the event of the levy of any attachment, execution, or similar process upon the rights or interest hereby conferred, the Company at its election may terminate the affected Option Rights by notice to the Participant and the Option Rights shall thereupon become null and void.</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No Stockholder Rights</w:t>
      </w:r>
      <w:r>
        <w:rPr>
          <w:rFonts w:ascii="Times New Roman;sans-serif" w:hAnsi="Times New Roman;sans-serif"/>
          <w:b w:val="false"/>
          <w:color w:val="000000"/>
          <w:sz w:val="24"/>
        </w:rPr>
        <w:t>. Neither a Participant nor any person entitled to exercise a Participant’s rights in the event of the Participant’s death shall have any of the rights of a stockholder with respect to the Shares subject to Option Rights except to the extent that such Option Rights have been exercised.</w:t>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V.    APPRECIATION RIGHTS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Evidence of Award</w:t>
      </w:r>
      <w:r>
        <w:rPr>
          <w:rFonts w:ascii="Times New Roman;sans-serif" w:hAnsi="Times New Roman;sans-serif"/>
          <w:b w:val="false"/>
          <w:color w:val="000000"/>
          <w:sz w:val="24"/>
        </w:rPr>
        <w:t>. A grant of Appreciation Rights granted under the Plan shall be evidenced by an Evidence of Award to be executed by the Participant and the Company setting forth the terms and conditions of the Award. Each Evidence of Award shall incorporate by reference and be subject to this Statement of Terms and Conditions and the terms and conditions of the Plan, except as may otherwise be determined by the Administrator.</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Base Price</w:t>
      </w:r>
      <w:r>
        <w:rPr>
          <w:rFonts w:ascii="Times New Roman;sans-serif" w:hAnsi="Times New Roman;sans-serif"/>
          <w:b w:val="false"/>
          <w:color w:val="000000"/>
          <w:sz w:val="24"/>
        </w:rPr>
        <w:t>. The Base Price of an Appreciation Right, as specified in the Evidence of Award, shall be equal to or greater than the Market Value per Share of the Shares underlying the Appreciation Right on the Date of Grant.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Appreciation Right Period</w:t>
      </w:r>
      <w:r>
        <w:rPr>
          <w:rFonts w:ascii="Times New Roman;sans-serif" w:hAnsi="Times New Roman;sans-serif"/>
          <w:b w:val="false"/>
          <w:color w:val="000000"/>
          <w:sz w:val="24"/>
        </w:rPr>
        <w:t>. An Appreciation Right shall be exercisable only during the applicable Appreciation Right Period, and during such Appreciation Right Period the exercisability of the Appreciation Right shall be subject to the vesting provisions of Section V. D as modified by the rules set forth in Sections III, V. D, VII, VIII and IX. No Appreciation Right granted under this Plan may be exercised more than ten years from the Date of Grant. The Committee may provide in any Evidence of Award for the automatic exercise of an Appreciation Right upon such terms and conditions as established by the Committee.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Vesting of Right to Exercise Appreciation Rights</w:t>
      </w:r>
      <w:r>
        <w:rPr>
          <w:rFonts w:ascii="Times New Roman;sans-serif" w:hAnsi="Times New Roman;sans-serif"/>
          <w:b w:val="false"/>
          <w:color w:val="000000"/>
          <w:sz w:val="24"/>
        </w:rPr>
        <w: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    Except as provided in Sections VII, VIII and IX, Appreciation Rights shall be exercisable during the Appreciation Right Period in accordance with the following vesting schedule: (i) 25% of the Shares subject to the Appreciation Right shall vest on the first anniversary of the Date of Grant; (ii) an additional 25% of the Shares shall vest on the second anniversary of the Date of Grant; (iii) an additional 25% of the Shares shall vest on the third anniversary of the Date of Grant; and (iv) the remaining 25% of the Shares subject to the Appreciation Right shall vest on the fourth anniversary of the Date of Grant. Notwithstanding the foregoing, the Administrator may specify a different vesting schedule.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    Any vested portion of an Appreciation Right not exercised hereunder shall accumulate and be exercisable at any time on or before the Termination Date, subject to the rules set forth in Sections VII, VIII and IX.</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Termination of Employment</w:t>
      </w:r>
      <w:r>
        <w:rPr>
          <w:rFonts w:ascii="Times New Roman;sans-serif" w:hAnsi="Times New Roman;sans-serif"/>
          <w:b w:val="false"/>
          <w:color w:val="000000"/>
          <w:sz w:val="24"/>
        </w:rPr>
        <w:t>. In addition to the terms set forth in the Plan with respect to termination of employment: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Except as provided in the last sentence of this Section IV. E. 1, if, during the Appreciation Right Period, a Participant ceases to be a bona fide employee of the Company or an Affiliate due to his or her Retirement that occurs at least one year following the Date of Grant, or due to his or her Disability or death, then in addition to any Shares vested under the Evidence of Award prior to the date of such Retirement, Disability or death, the Appreciation Rights shall vest in the number of Shares equal to 25% of the number of Shares originally subject to the Appreciation Rights, multiplied by the number of whole months between the most recent anniversary date of the Appreciation Rights grant and the date of such Retirement, Disability or death, and divided by 12. Notwithstanding the foregoing, the Administrator may specify a different provision regarding vesting upon termination of employment due to Retirement, Disability or death, or any other reason, subject to the terms of the Plan.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 xml:space="preserve">2.    If a Participant who ceases to be a bona fide employee of the Company or an Affiliate is subsequently rehired prior to the expiration of his or her Appreciation Rights, then the Appreciation Rights shall continue to remain outstanding until such time as the Participant subsequently terminates employment or the Appreciation Rights otherwise terminate pursuant to this Statement of Terms and Conditions. Upon the Participant’s subsequent termination of employment, the post-termination exercise period calculated pursuant to the terms and conditions of this Section V. E shall be reduced by the number of days between the date of the Participant’s initial termination of employment and his or her rehire date;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if the rehired Participant continues to be employed by the Company or an Affiliate for at least one year from his or her rehire date, then the post-termination exercise period for the Appreciation Rights shall be determined in accordance with the Plan and shall not be adjusted as described above. </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    In the event that a Participant who is an Employee ceases to be employed by the Company or any of its Affiliates for any reason, such Participant shall have the right (subject to the limitation that no Appreciation Right may be exercised after its stated expiration date) to exercise the Appreciation Rights, to the extent that, at the date of termination of employment, the Appreciation Rights had vested pursuant to the terms of the Evidence of Award with respect to which such Appreciation Rights were granted and had not previously been exercised, either: (i) within four months after such termination of employment; or (ii) in the case of Retirement or death within one year after the date thereof; or (iii) in the case of Disability, within one year from the date the Committee or its delegate determines that the Participant is Disabled; or (iv) on such other terms established by the Committee in the Evidence of Award or otherwise prior to termination.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Limitations on Transfer</w:t>
      </w:r>
      <w:r>
        <w:rPr>
          <w:rFonts w:ascii="Times New Roman;sans-serif" w:hAnsi="Times New Roman;sans-serif"/>
          <w:b w:val="false"/>
          <w:color w:val="000000"/>
          <w:sz w:val="24"/>
        </w:rPr>
        <w:t xml:space="preserve">. Appreciation Rights shall, during a Participant’s lifetime, be exercisable only by the Participant. No Appreciation Right or any right granted thereunder shall be transferable by the Participant by operation of law or otherwise, other than as set forth in the Plan. In the event of any attempt by a Participant to alienate, assign, pledge, hypothecate, or otherwise dispose of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Appreciation Rights or of any right thereunder, except as provided herein, or in the event of the levy of any attachment, execution, or similar process upon the rights or interest hereby conferred, the Company at its election may terminate the affected Appreciation Rights by notice to the Participant and the Appreciation Rights shall thereupon become null and void.</w:t>
      </w:r>
    </w:p>
    <w:p>
      <w:pPr>
        <w:pStyle w:val="TextBody"/>
        <w:bidi w:val="0"/>
        <w:spacing w:lineRule="auto" w:line="240" w:before="0" w:after="240"/>
        <w:ind w:left="0" w:right="0" w:hanging="720"/>
        <w:jc w:val="left"/>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No Stockholder Rights</w:t>
      </w:r>
      <w:r>
        <w:rPr>
          <w:rFonts w:ascii="Times New Roman;sans-serif" w:hAnsi="Times New Roman;sans-serif"/>
          <w:b w:val="false"/>
          <w:color w:val="000000"/>
          <w:sz w:val="24"/>
        </w:rPr>
        <w:t>. Neither a Participant nor any person entitled to exercise a Participant’s rights in the event of the Participant’s death shall have any of the rights of a stockholder with respect to the Shares subject to Appreciation Rights except to the extent that such Appreciation Rights have been exercised.</w:t>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VI.    RESTRICTED STOCK, RESTRICTED STOCK UNITS, PERFORMANCE SHARES AND PERFORMANCE UNITS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Evidence of Award</w:t>
      </w:r>
      <w:r>
        <w:rPr>
          <w:rFonts w:ascii="Times New Roman;sans-serif" w:hAnsi="Times New Roman;sans-serif"/>
          <w:b w:val="false"/>
          <w:color w:val="000000"/>
          <w:sz w:val="24"/>
        </w:rPr>
        <w:t>. A grant of Restricted Stock, Restricted Stock Units, Performance Shares or Performance Units granted under the Plan shall be evidenced by an Evidence of Award to be executed by the Participant and the Company setting forth the terms and conditions of the Award. Each Evidence of Award shall incorporate by reference and be subject to this Statement of Terms and Conditions and the terms and conditions of the Plan, except as may otherwise be determined by the Administrator.</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Special Restrictions</w:t>
      </w:r>
      <w:r>
        <w:rPr>
          <w:rFonts w:ascii="Times New Roman;sans-serif" w:hAnsi="Times New Roman;sans-serif"/>
          <w:b w:val="false"/>
          <w:color w:val="000000"/>
          <w:sz w:val="24"/>
        </w:rPr>
        <w:t>. Each grant of Restricted Stock, Restricted Stock Units, Performance Shares or Performance Units made under the Plan shall contain the following terms, conditions and restrictions, except as may otherwise be determined by the Administrator.</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Restrictions</w:t>
      </w:r>
      <w:r>
        <w:rPr>
          <w:rFonts w:ascii="Times New Roman;sans-serif" w:hAnsi="Times New Roman;sans-serif"/>
          <w:b w:val="false"/>
          <w:color w:val="000000"/>
          <w:sz w:val="24"/>
        </w:rPr>
        <w:t xml:space="preserve">. Until the restrictions imposed on any grant of Restricted Stock shall lapse, shares of Restricted Stock granted to a Participant: (a) shall not be sold, assigned, transferred, pledged, hypothecated, or otherwise disposed of, and (b) shall, if the Participant experiences a “separation from service” (within the meaning of Section 409A of the Code) from the Company or an Affiliate for any reason (except as otherwise provided in the Plan or in Section VI. B. 2) be returned to the Company forthwith, and all the rights of the Participant to such Shares shall immediately terminate. A Participant shall not be permitted to sell, transfer, pledge, assign or encumber such Restricted Stock Units or Performance Shares. If a Participant experiences a “separation from service” (within the meaning of Section 409A of the Code) from the Company or an Affiliate (except as otherwise provided in the Plan or in Section VI. B. 2) prior to the lapse of the restrictions imposed on an award of Restricted Stock Units, Performance Shares or Performance Units, the unvested portion of the award of Restricted Stock Units, Performance Shares or Performance Units shall be forfeited to the Company, and all the rights of the Participant to such Award shall immediately terminate. If a Participant is absent from work with the Company or an Affiliate because of his or her short-term disability or because the Participant is on an approved leave of absence, if the period of such leave does not exceed six months (or if longer, so long as the individual retains a right to reemployment with the Company under an applicable statute or by contract), the Participant shall not be deemed during the period of any such absence, by virtue of such absence alone, to have experienced a “separation from service” (within the meaning of Section 409A of the Code) from the Company or an Affiliate except as the Administrator may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otherwise expressly determine. Notwithstanding the foregoing, if the Participant is on a voluntary leave of absence for the purpose of serving the government of the country of which the Participant is a citizen or in which the Participant’s principal place of employment is located, such leave shall be considered an approved leave of absence.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Certain Terminations of Employment</w:t>
      </w:r>
      <w:r>
        <w:rPr>
          <w:rFonts w:ascii="Times New Roman;sans-serif" w:hAnsi="Times New Roman;sans-serif"/>
          <w:b w:val="false"/>
          <w:color w:val="000000"/>
          <w:sz w:val="24"/>
        </w:rPr>
        <w: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Restricted Stock and Restricted Stock Units</w:t>
      </w:r>
      <w:r>
        <w:rPr>
          <w:rFonts w:ascii="Times New Roman;sans-serif" w:hAnsi="Times New Roman;sans-serif"/>
          <w:b w:val="false"/>
          <w:color w:val="000000"/>
          <w:sz w:val="24"/>
        </w:rPr>
        <w:t>. Notwithstanding any provision contained in the Plan to the contrary, and except as provided in the last sentence of this Section VI. B. 2. a, if a Participant who has been in the continuous employment of the Company or an Affiliate since the Date of Grant of an award of Restricted Stock or Restricted Stock Units that remains outstanding ceases to be a bona fide employee of the Company or an Affiliate, which cessation constitutes a “separation from service” under Section 409A of the Code and which is a result of Retirement that occurs at least one year following the Date of Grant or a result of Disability or death, then the restrictions shall lapse as to the number of Shares or Share Equivalents equal to: (i) the number of Shares or Share Equivalents originally subject to the Award, multiplied by (ii) a fraction (x) the number of whole months between the Date of Grant and the date of such separation from service, divided by (y) the number of whole months between the Date of Grant and the final vesting date contemplated in the Award, less (iii) the number of Shares or Share Equivalents originally subject to the Award that have already become vested. Notwithstanding the foregoing, the Administrator may specify a different provision regarding vesting upon termination of employment due to Retirement, Disability or death, or any other reason, subject to the terms of the Plan and Code Section 409A.</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Performance Shares and Performance Units</w:t>
      </w:r>
      <w:r>
        <w:rPr>
          <w:rFonts w:ascii="Times New Roman;sans-serif" w:hAnsi="Times New Roman;sans-serif"/>
          <w:b w:val="false"/>
          <w:color w:val="000000"/>
          <w:sz w:val="24"/>
        </w:rPr>
        <w:t xml:space="preserve">. Notwithstanding any provision contained in the Plan to the contrary, and except as provided in the last sentence of this Section VI. B. 2. b, if a Participant who has been in the continuous employment of the Company or an Affiliate since the Date of Grant of a grant of Performance Shares or Performance Units that remains outstanding ceases to be a bona fide employee of the Company or an Affiliate as a result of Retirement that occurs at least one year following the Date of Grant, or as a result of Disability or death, or whose employment is terminated by the Company or an Affiliate without Cause at least one year following the Date of Grant, then at the end of the performance period the restrictions shall lapse as to the number of Share Equivalents equal to: (i) the number of Performance Shares or Performance Units vested in accordance with the performance objectives established by the Administrator for the Award, multiplied by a fraction (x) the number of whole months between the Date of Grant and the date of such Retirement, Disability, death or termination without Cause, divided by (y) the number of months in the performance period. Notwithstanding the foregoing, (A) the Administrator may specify a different provision regarding vesting upon termination of employment due to Retirement, Disability or death, or any other reason, subject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terms of the Plan, and (B) in the event of a Participant whose employment is terminated by the Company or an Affiliate without Cause at least one year following the Date of Grant, the foregoing vesting will be subject to the Participant signing (and not revoking) a release in the form specified by the Company not later than the date specified by the Company but in no event later than sixty days following termination of employment that constitutes a “separation from service.”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Dividends, Dividend Equivalents, and Business Transactions</w:t>
      </w:r>
      <w:r>
        <w:rPr>
          <w:rFonts w:ascii="Times New Roman;sans-serif" w:hAnsi="Times New Roman;sans-serif"/>
          <w:b w:val="false"/>
          <w:color w:val="000000"/>
          <w:sz w:val="24"/>
        </w:rPr>
        <w:t>. Upon cash dividends being paid on outstanding shares of the Company’s Common Stock, dividends shall be paid with respect to Restricted Stock during the Restriction Period and shall be converted to additional shares of Restricted Stock, which shall be subject to the same restrictions as the original Award for the duration of the Restricted Period. Upon cash dividends being paid on outstanding shares of the Company’s Common Stock, dividend equivalents shall be credited in respect of Restricted Stock Units, Performance Shares and Performance Units (if applicable), which shall be converted into additional Restricted Stock Units, Performance Shares or Performance Units (as applicable), which will be subject to all of the terms and conditions of the underlying Restricted Stock Units, Performance Shares or Performance Units including the same vesting restrictions as the underlying Evidence of Award. Upon stock dividends being paid on outstanding shares of the Company’s Common Stock or a Change in Control, the Administrator is authorized to take such actions and make such changes with respect to outstanding Awards, including the performance criteria for the termination of restrictions on Awards, as are consistent with the Plan and this Statement of Terms and Conditions to effect the terms of the Awards.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Election to Recognize Gross Income in the Year of Grant</w:t>
      </w:r>
      <w:r>
        <w:rPr>
          <w:rFonts w:ascii="Times New Roman;sans-serif" w:hAnsi="Times New Roman;sans-serif"/>
          <w:b w:val="false"/>
          <w:color w:val="000000"/>
          <w:sz w:val="24"/>
        </w:rPr>
        <w:t>. If any Participant validly elects within thirty days of the Date of Grant to include in gross income for federal income tax purposes an amount equal to the Market Value per Share multiplied by the number of Shares of Restricted Stock granted on the Date of Grant, such Participant shall pay to the Company, or make arrangements satisfactory to the Administrator to pay to the Company in the year of such grant, any federal, state or local taxes required to be withheld with respect to such shares in accordance with Section X. F.</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No Stockholder Rights for Restricted Stock Units or Performance Shares</w:t>
      </w:r>
      <w:r>
        <w:rPr>
          <w:rFonts w:ascii="Times New Roman;sans-serif" w:hAnsi="Times New Roman;sans-serif"/>
          <w:b w:val="false"/>
          <w:color w:val="000000"/>
          <w:sz w:val="24"/>
        </w:rPr>
        <w:t>. Neither a Participant nor any person entitled to exercise a Participant’s rights in the event of the Participant’s death shall have any of the rights of a stockholder with respect to the Share Equivalents subject to an award of Restricted Stock Units, Performance Shares or Performance Units except to the extent that a stock certificate (or other evidence of ownership) has been issued by the Company with respect to such Shares upon the payment of any vested Restricted Stock Units, Performance Shares or Performance Units (if applicable).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Time of Payment of Restricted Stock Units, Performance Shares or Performance Units</w:t>
      </w:r>
      <w:r>
        <w:rPr>
          <w:rFonts w:ascii="Times New Roman;sans-serif" w:hAnsi="Times New Roman;sans-serif"/>
          <w:b w:val="false"/>
          <w:color w:val="000000"/>
          <w:sz w:val="24"/>
        </w:rPr>
        <w: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Subject to Section VI. F. 2 below, upon the lapse of the restriction imposed on Restricted Stock Units, Performance Shares or Performance Units, all Restricted Stock Units, Performance Shares and Performance Units that were not forfeited pursuant to Sections VI. B. 1, VII, VIII or IX shall be paid to the Participant as soon as reasonably practicable after the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restrictions lapse but not later than 60 days following the date on which the restrictions lapse. Notwithstanding the foregoing or any other provision of the Statement of Terms and Conditions or the Plan, payment in the case of Performance Shares and Performance Units shall be made within the short-term deferral period specified in Code Section 409A. Payment shall be made in Shares in the form of a stock certificate (or other evidence of ownership as determined by the Company, or cash or Shares in the case of Performance Units). The foregoing notwithstanding, the Participant may elect to defer payment of the Restricted Stock Units and Performance Units in the manner described in Section VI. G.</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    To the extent required in order to avoid accelerated taxation and/or tax penalties under Code Section 409A, amounts that would otherwise be payable pursuant to Section VI. F of this Statement of Terms and Conditions during the six-month period immediately following a Participant’s termination of employment shall instead be paid on the first business day after the date that is six months following the Participant’s “separation from service” (within the meaning of Section 409A of the Code) or upon the Participant’s death, if earlier.</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Deferral Election</w:t>
      </w:r>
      <w:r>
        <w:rPr>
          <w:rFonts w:ascii="Times New Roman;sans-serif" w:hAnsi="Times New Roman;sans-serif"/>
          <w:b w:val="false"/>
          <w:color w:val="000000"/>
          <w:sz w:val="24"/>
        </w:rPr>
        <w:t>. Each Participant, pursuant to rules established by the Administrator, may be entitled to elect to defer all or a percentage of any payment in respect of a Restricted Stock Units, Performance Shares or Performance Units that he or she may be entitled to receive as determined pursuant to Section VI. F. This election shall be made by giving notice in a manner and within the time prescribed by the Administrator and in compliance with Code Section 409A. Each Participant must indicate the percentage (expressed in whole percentages) he or she chooses to defer of any payment he or she may be entitled to receive. If no notice is given, the Participant shall be deemed to have made no deferral election. Each deferral election filed with the Company shall become irrevocable in accordance with the terms and conditions of the Company’s Deferred Compensation Plan (or any successor plan) and in compliance with Code Section 409A.</w:t>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VII.    SPECIAL FORFEITURE AND REPAYMENT RULES IN THE EVENT OF CONDUCT CONSTITUTING CAUSE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other provision of this Statement of Terms and Conditions to the contrary notwithstanding, if the independent members of the Board or the Independent Committee determines that a Participant has engaged in conduct which constitutes Cause, the following provisions shall apply: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Any outstanding Option Rights or Appreciation Rights shall immediately and automatically terminate, be forfeited and shall cease to be exercisable, without limitation. In addition, any Shares of Restricted Stock, Restricted Stock Units, Performance Shares or Performance Units as to which the restrictions have not lapsed shall immediately and automatically be forfeited, all of the rights of the Participant to such Shares, Share Equivalents, cash or other property shall immediately terminate, and any Restricted Stock shall be returned to the Company.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The lapse of restrictions on or vesting of Restricted Stock, Restricted Stock Units, Performance Shares or Performance Units that have vested or upon which the restrictions have lapsed within the 36-month period immediately prior to the date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pPr>
      <w:r>
        <w:rPr>
          <w:rFonts w:ascii="Times New Roman;sans-serif" w:hAnsi="Times New Roman;sans-serif"/>
          <w:b w:val="false"/>
          <w:color w:val="000000"/>
          <w:sz w:val="24"/>
        </w:rPr>
        <w:t>it is determined that the Participant engaged in conduct constituting Cause (the “</w:t>
      </w:r>
      <w:r>
        <w:rPr>
          <w:rFonts w:ascii="Times New Roman;sans-serif" w:hAnsi="Times New Roman;sans-serif"/>
          <w:b w:val="false"/>
          <w:color w:val="000000"/>
          <w:sz w:val="24"/>
          <w:u w:val="single"/>
        </w:rPr>
        <w:t>Determination Date</w:t>
      </w:r>
      <w:r>
        <w:rPr>
          <w:color w:val="000000"/>
        </w:rPr>
        <w:t>”</w:t>
      </w:r>
      <w:r>
        <w:rPr>
          <w:rFonts w:ascii="Times New Roman;sans-serif" w:hAnsi="Times New Roman;sans-serif"/>
          <w:b w:val="false"/>
          <w:color w:val="000000"/>
          <w:sz w:val="24"/>
        </w:rPr>
        <w:t>) shall be rescinded and all outstanding Awards shall be cancelled. The Participant shall deliver to the Company the Shares, cash and any other property delivered upon vesting or lapse of restrictions if such vesting or lapse of restrictions has been rescinded and the Shares, cash or other property retained by the Participant.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The independent members of the Board or the Independent Committee may, to the extent permitted by applicable law, rescind any awards made to the Participant within the 36-month period immediately prior to the Determination Date.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    The independent members of the Board or the Independent Committee may, to the extent permitted by applicable law, recover any gains realized from the sale of vested Shares or the sale or other disposition of any Shares issued or issuable upon the exercise of an Option Right, in the case of any such sale or other disposition during the 36-month period immediately prior to the Determination Date.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independent members of the Board or the Independent Committee shall determine in such body’s sole discretion whether the Participant has engaged in conduct that constitutes Cause.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provision of this Section VII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VII.</w:t>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VIII.    RECOUPMENT IN THE EVENT OF AN ACCOUNTING RESTATEMENT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Participant acknowledges and agrees that the terms and conditions set forth in the ABM Industries Incorporated Amended and Restated Recoupment Policy (as may be further amended and restated, the “Recoupment Policy”) are incorporated in this Statement of Terms and Conditions by reference. To the extent the Recoupment Policy is applicable to the Participant, it creates additional rights for the Company with respect to certain Awards and other applicable compensation provided to the Participant under the Plan, including, without limitation, Cash Incentive Awards. Notwithstanding any provisions in this Agreement to the contrary, any Award granted under the Plan and such other applicable compensation, including, without limitation, Cash Incentive Awards, will be subject to potential mandatory cancellation, forfeiture and/or repayment by the Participant to the Company to the extent the Participant is, or in the future becomes, subject to (A) any Company clawback or recoupment policy, including the Recoupment Policy, and any other policies that are adopted to comply with the requirements of any applicable laws, rules, regulations, stock exchange listing standards or otherwise, or (B)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an Award under the Plan and pursuant to this Statement of Terms and Conditions, the Participant consents to be bound by the terms of the Recoupment Policy, if applicable, and agrees and acknowledges that the Participant is obligated to cooperate with, and provide any and all assistance necessary to, the Company in its efforts to recover or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recoup an Award, any gains or earnings related to an Award, or any other applicable compensation, including, without limitation, Cash Incentive Awards,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 of the Code.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provision of this Section VIII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VIII.</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rights of the Company pursuant this Section VIII are in addition to, and not in limitation of, the rights of the Company set forth in Section VII hereof, in other provisions of this Statement of Terms and Conditions and under the Plan.</w:t>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IX.    CHANGE IN CONTROL</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Effect of Change in Control on Option Rights</w:t>
      </w:r>
      <w:r>
        <w:rPr>
          <w:rFonts w:ascii="Times New Roman;sans-serif" w:hAnsi="Times New Roman;sans-serif"/>
          <w:b w:val="false"/>
          <w:color w:val="000000"/>
          <w:sz w:val="24"/>
        </w:rPr>
        <w:t>. Subject to the limitations set forth in Section IX. C, in the event of a Change in Control, the surviving, continuing, successor, or purchasing Company or other business entity or parent thereof, as the case may be (the “</w:t>
      </w:r>
      <w:r>
        <w:rPr>
          <w:rFonts w:ascii="Times New Roman;sans-serif" w:hAnsi="Times New Roman;sans-serif"/>
          <w:b w:val="false"/>
          <w:color w:val="000000"/>
          <w:sz w:val="24"/>
          <w:u w:val="single"/>
        </w:rPr>
        <w:t>Acquiror</w:t>
      </w:r>
      <w:r>
        <w:rPr>
          <w:color w:val="000000"/>
        </w:rPr>
        <w:t>”</w:t>
      </w:r>
      <w:r>
        <w:rPr>
          <w:rFonts w:ascii="Times New Roman;sans-serif" w:hAnsi="Times New Roman;sans-serif"/>
          <w:b w:val="false"/>
          <w:color w:val="000000"/>
          <w:sz w:val="24"/>
        </w:rPr>
        <w:t>) may, without the consent of any Participant, either assume or continue the Company’s rights and obligations under outstanding Option Rights or substitute for outstanding Option Rights substantially equivalent options covering the Acquiror’s stock. All Option Rights assumed or continued by the Acquiror in connection with a Change in Control will become fully vested and exercisable if the Participant’s employment is terminated without Cause at any time during the 12-month period following the Change in Control.</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Option Rights granted one year or more prior to the Change in Control that is neither assumed nor continued by the Acquiror in connection with the Change in Control shall, contingent on the Change in Control, become fully vested and exercisable immediately prior to the Change in Control. Any Option Right granted less than one year prior to the Change in Control that is neither assumed nor continued by the Acquiror in connection with the Change in Control shall, to the extent not previously vested and exercisable, immediately prior to the Change in Control become vested and exercisable as to the number of Shares subject to such Option Rights equal to (i) the number of Shares originally subject to such Option Rights, multiplied by a fraction (ii) the number of whole months between the Date of Grant and the Change in Control, divided by (iii) the number of months between the Date of Grant and the date on which all Shares originally subject to such Option Rights would have been fully vested and exercisable; and such Option Rights shall terminate with respect to all remaining Shares subject to such Option Rights.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Effect of Change in Control on Awards Other than Option Rights</w:t>
      </w:r>
      <w:r>
        <w:rPr>
          <w:rFonts w:ascii="Times New Roman;sans-serif" w:hAnsi="Times New Roman;sans-serif"/>
          <w:b w:val="false"/>
          <w:color w:val="000000"/>
          <w:sz w:val="24"/>
        </w:rPr>
        <w:t xml:space="preserve">. Subject to the limitations set forth in Section IX. C, in the event of a Change in Control, the Acquiror may, without the consent of any Participant, either assume or continue the Company’s rights and obligations under outstanding Awards other than Option Rights or substitute for such Awards substantially equivalent awards covering the Acquiror’s stock. All Awards other than Option Rights assumed or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pPr>
      <w:r>
        <w:rPr>
          <w:rFonts w:ascii="Times New Roman;sans-serif" w:hAnsi="Times New Roman;sans-serif"/>
          <w:b w:val="false"/>
          <w:color w:val="000000"/>
          <w:sz w:val="24"/>
        </w:rPr>
        <w:t>continued by the Acquiror in connection with a Change in Control will become fully vested (in the case of performance awards, with performance equal to the greater of target performance and projected actual performance as determined by the Administrator) and all restrictions on such Awards will lapse if the Participant’s employment is terminated without Cause at any time during the 12-month period following the Change in Control. Any Award that is neither assumed nor continued by the Acquiror in connection with the Change in Control (or, with respect to any Award that constitutes deferred compensation within the meaning of Code Section 409A, any Award which at the time of the Change in Control is otherwise considered to be vested for purposes of Code Section 409A) shall, upon the Change-in- Control, become fully vested (in the case of performance awards, with performance equal to the greater of target performance and projected actual performance as determined by the Administrator) and all restrictions shall be released immediately prior to the Change in Control, and such Award shall become immediately payable. Notwithstanding anything in this Section IX. B to the contrary, with respect to any Award that constitutes deferred compensation within the meaning of Code Section 409A, if the Change in Control does not constitute a “change in control event” of the Company within the meaning of Code Section 409A, such Award will vest as provided for in the preceding sentence, but will be payable to the Participant in accordance with the provisions of Section VI within 60 days of the fixed date or dates pursuant to a fixed schedule determined under Section VI. F. 1 or the earlier of the Participant’s separation from service, subject to Section VI. F. 2, or a Change in Control which constitutes a “change in control event” of the Company within the meaning of Code Section 409A (a “</w:t>
      </w:r>
      <w:r>
        <w:rPr>
          <w:rFonts w:ascii="Times New Roman;sans-serif" w:hAnsi="Times New Roman;sans-serif"/>
          <w:b w:val="false"/>
          <w:color w:val="000000"/>
          <w:sz w:val="24"/>
          <w:u w:val="single"/>
        </w:rPr>
        <w:t>409A Change in Control</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Excess Parachute Payments</w:t>
      </w:r>
      <w:r>
        <w:rPr>
          <w:rFonts w:ascii="Times New Roman;sans-serif" w:hAnsi="Times New Roman;sans-serif"/>
          <w:b w:val="false"/>
          <w:color w:val="000000"/>
          <w:sz w:val="24"/>
        </w:rPr>
        <w:t xml:space="preserve">. Subject to a Severance Agreement between the Participant and the Company approved by the Board or the Committee, if any amount or benefit to be paid or provided under an Award or any other agreement between a Participant and the Company would be an Excess Parachute Payment but for the application of this sentence, then the payments and benefits to be paid or provided under the Award and any other agreement will be reduced to the minimum extent necessary (but in no event to less than zero) so that no portion of any such payment or benefit, as so reduced, constitutes an Excess Parachute Payment. The determination of whether any reduction in such payments or benefits to be provided under the Award or any other agreement or otherwise is required pursuant to the preceding sentence will be made at the expense of the Company by independent accountants or the Company’s benefits consultant. The fact that the Participant’s right to payments or benefits may be reduced by reason of the limitations contained in this paragraph will not of itself limit or otherwise affect any other rights of the Participant under any other agreement. In the event that any payment or benefit intended to be provided is required to be reduced pursuant to this paragraph, a Participant will be entitled to designate the payments and/or benefits to be so reduced in order to give effect to this paragraph, provided, however, if any such payments and/or benefits constitute deferred compensation within the meaning of Section 409A, the following rules shall apply: first a pro rata reduction of (i) cash payments subject to Section 409A of the Code as deferred compensation and (ii) cash payments not subject to Section 409A of the Code, and second a pro rata cancellation of (x) equity-based compensation subject to Section 409A of the Code as deferred compensation and (y) equity-based compensation not subject to Section 409A of the Code. The Company will provide Participant with all information reasonably requested by Participant to permit Participant to make such designation. In the event that the Participant fails to make such designation within 10 business days after receiving notice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of a reduction under this paragraph, the Company may effect such reduction in any manner it deems appropriate.</w:t>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X.     CODE SECTION 409A</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To the extent applicable, it is intended that all Awards comply with, or be exempt from, Code Section 409A, so that the income inclusion provisions of Code Section 409A(a)(1) do not apply to any Participants. All Awards are to be interpreted and administered in a manner consistent with this intent.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Notwithstanding any provision in this Statement of Terms and Conditions or in any other agreement to the contrary, payment in the case of an Award that constitutes deferred compensation within the meaning of Code Section 409A which specifically contemplates payment in a year after the Participant’s separation from service shall be paid within 60 days of the fixed date or dates pursuant to a fixed schedule determined under Section VI. F or, to the extent the Award is otherwise considered to be vested for purposes of Code Section 409A, the earlier of: (i) a Change in Control which constitutes a 409A Change in Control, (ii) the Participant’s separation from service, subject to Section VI. F. 2, within two years after a Change in Control which constitutes a 409A Change in Control or (iii) the Participant’s death </w:t>
      </w:r>
    </w:p>
    <w:p>
      <w:pPr>
        <w:pStyle w:val="TextBody"/>
        <w:bidi w:val="0"/>
        <w:spacing w:lineRule="auto" w:line="240"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XI.    MISCELLANEOUS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No Effect on Terms of Employment</w:t>
      </w:r>
      <w:r>
        <w:rPr>
          <w:rFonts w:ascii="Times New Roman;sans-serif" w:hAnsi="Times New Roman;sans-serif"/>
          <w:b w:val="false"/>
          <w:color w:val="000000"/>
          <w:sz w:val="24"/>
        </w:rPr>
        <w:t>. Subject to the terms of any employment contract entered into by the Company and a Participant to the contrary, the Company (or an Affiliate which employs him or her) shall have the right to terminate or change the terms of employment of a Participant at any time and for any reason whatsoever.</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Grants to Participants in Foreign Countries</w:t>
      </w:r>
      <w:r>
        <w:rPr>
          <w:rFonts w:ascii="Times New Roman;sans-serif" w:hAnsi="Times New Roman;sans-serif"/>
          <w:b w:val="false"/>
          <w:color w:val="000000"/>
          <w:sz w:val="24"/>
        </w:rPr>
        <w:t>. In making grants to Participants in foreign countries, the Administrator has the full discretion to deviate from this Statement of Terms and Conditions in order to adjust Awards under the Plan to prevailing local conditions, including custom and legal and tax requirements.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Information Notification</w:t>
      </w:r>
      <w:r>
        <w:rPr>
          <w:rFonts w:ascii="Times New Roman;sans-serif" w:hAnsi="Times New Roman;sans-serif"/>
          <w:b w:val="false"/>
          <w:color w:val="000000"/>
          <w:sz w:val="24"/>
        </w:rPr>
        <w:t>. Any information required to be given under the terms of an Evidence of Award shall be addressed to the Company in writing by mail, overnight delivery service, or by electronic transmission to the Executive Vice President, Chief Human Resources Officer and the Vice President, Total Rewards. Any notice to be given to a Participant shall be given in writing by mail, overnight delivery service, or by electronic transmission.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Administrator Decisions Conclusive</w:t>
      </w:r>
      <w:r>
        <w:rPr>
          <w:rFonts w:ascii="Times New Roman;sans-serif" w:hAnsi="Times New Roman;sans-serif"/>
          <w:b w:val="false"/>
          <w:color w:val="000000"/>
          <w:sz w:val="24"/>
        </w:rPr>
        <w:t>. All decisions of the Administrator administering the Plan upon any questions arising under the Plan, under this Statement of Terms and Conditions, or under an Evidence of Award, shall be conclusive.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No Effect on Other Benefit Plans</w:t>
      </w:r>
      <w:r>
        <w:rPr>
          <w:rFonts w:ascii="Times New Roman;sans-serif" w:hAnsi="Times New Roman;sans-serif"/>
          <w:b w:val="false"/>
          <w:color w:val="000000"/>
          <w:sz w:val="24"/>
        </w:rPr>
        <w:t>. Nothing herein contained shall affect a Participant’s right to participate in and receive benefits from and in accordance with the then current provisions of any pensions, insurance or other employment welfare plan or program offered by the Company.</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 xml:space="preserve">. Each Participant shall agree to make appropriate arrangements with the Company and his or her employer for satisfaction of any applicable federal,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state or local income tax withholding requirements or payroll tax requirements. If approved by the Company at the time of exercise, such arrangements may include an election by a Participant to have the Company retain some portion of the Stock acquired pursuant to exercise of Option Rights to satisfy such withholding requirements. The election must be made prior to the date on which the amount to be withheld is determined. If a qualifying election is made, then upon exercise of an award of Option Rights, in whole or in part, the Company will retain the number of Shares having a value equal to the amount necessary to satisfy any withholding requirements. Calculation of the number of Shares to be withheld shall be made based on the Market Value per Share of Common Stock. In no event, however, shall the Company be required to issue fractional shares of Stock. The Administrator shall be authorized to establish such rules, forms and procedures as it deems necessary to implement the foregoing.</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 respect to the vesting of an Award other than Option Rights, the Company shall retain the number of Shares (that otherwise would have been payable to the Participant) having a value equal to the amount necessary to satisfy any withholding requirements. Calculation of the number of such Shares shall be as described above.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Successors</w:t>
      </w:r>
      <w:r>
        <w:rPr>
          <w:rFonts w:ascii="Times New Roman;sans-serif" w:hAnsi="Times New Roman;sans-serif"/>
          <w:b w:val="false"/>
          <w:color w:val="000000"/>
          <w:sz w:val="24"/>
        </w:rPr>
        <w:t>. This Statement of Terms and Conditions and the Evidence of Award shall be binding upon and inure to the benefit of any successor or successors of the Company. “Participant” as used herein shall include the Participant’s Beneficiary.</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The interpretation, performance, and enforcement of this Statement of Terms and Conditions and each Evidence of Award shall be governed by the laws of the State of Delaware.</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10.29</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ABM DEFERRED COMPENSATION PLAN</w: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(Amended and Restated Effective October 2,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628650"/>
                <wp:effectExtent l="0" t="0" r="0" b="0"/>
                <wp:wrapNone/>
                <wp:docPr id="137" name="Frame12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before="0" w:after="480"/>
        <w:jc w:val="center"/>
        <w:rPr/>
      </w:pPr>
      <w:r>
        <w:rPr/>
      </w:r>
    </w:p>
    <w:p>
      <w:pPr>
        <w:pStyle w:val="TextBody"/>
        <w:bidi w:val="0"/>
        <w:spacing w:lineRule="auto" w:line="240" w:before="0" w:after="120"/>
        <w:ind w:left="0" w:right="0" w:hanging="1800"/>
        <w:jc w:val="left"/>
        <w:rPr>
          <w:rFonts w:ascii="Times New Roman;sans-serif" w:hAnsi="Times New Roman;sans-serif"/>
          <w:b w:val="false"/>
          <w:color w:val="000000"/>
          <w:sz w:val="24"/>
        </w:rPr>
      </w:pPr>
      <w:r>
        <w:rPr>
          <w:rFonts w:ascii="Times New Roman;sans-serif" w:hAnsi="Times New Roman;sans-serif"/>
          <w:b w:val="false"/>
          <w:color w:val="000000"/>
          <w:sz w:val="24"/>
        </w:rPr>
        <w:t>ARTICLE I DEFINITIONS    1</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1.01    “401(k) Plan”    1</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1.02    “Account”    1</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1.03    “Administrative Committee” or “Committee”    1</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1.04    “Beneficiary”    1</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1.05    “Board”    1</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1.06    “Change in Control”    1</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1.07    “Code”    1</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1.08    “Company”    1</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1.09    “Compensation”    1</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1.10    “Deferral”    1</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1.11    “Disabled” or “Disability”    1</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1.12    “Effective Date”    2</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1.13    “Eligible Employee”    2</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1.14    “Employer”    2</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1.15    “ERISA”    2</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1.16    “Highly Paid Participant”    2</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1.17    “Identification Date”    2</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1.18    “Key Employee”    2</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1.19    “Participant”    2</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1.20    “Performance-Based Bonus”    2</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1.21    “Performance Shares”    2</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1.22    “Person”    3</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1.23    “Plan”    3</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1.24    “Plan Year”    3</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1.25    “Restricted Stock Units”    3</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1.26    “Scheduled Withdrawal Date”    3</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1.27    “Separation from Service”    3</w:t>
      </w:r>
    </w:p>
    <w:p>
      <w:pPr>
        <w:pStyle w:val="TextBody"/>
        <w:bidi w:val="0"/>
        <w:spacing w:lineRule="auto" w:line="240" w:before="0" w:after="12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1.28    “Valuation Date”    3</w:t>
      </w:r>
    </w:p>
    <w:p>
      <w:pPr>
        <w:pStyle w:val="TextBody"/>
        <w:bidi w:val="0"/>
        <w:spacing w:lineRule="auto" w:line="240" w:before="240" w:after="120"/>
        <w:ind w:left="0" w:right="0" w:hanging="1800"/>
        <w:jc w:val="left"/>
        <w:rPr>
          <w:rFonts w:ascii="Times New Roman;sans-serif" w:hAnsi="Times New Roman;sans-serif"/>
          <w:b w:val="false"/>
          <w:color w:val="000000"/>
          <w:sz w:val="24"/>
        </w:rPr>
      </w:pPr>
      <w:r>
        <w:rPr>
          <w:rFonts w:ascii="Times New Roman;sans-serif" w:hAnsi="Times New Roman;sans-serif"/>
          <w:b w:val="false"/>
          <w:color w:val="000000"/>
          <w:sz w:val="24"/>
        </w:rPr>
        <w:t>ARTICLE II ELIGIBILITY FOR PARTICIPATION    3</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2.01    Eligibility Requirements    3</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2.02    Change in Employment Status    3</w:t>
      </w:r>
    </w:p>
    <w:p>
      <w:pPr>
        <w:pStyle w:val="TextBody"/>
        <w:bidi w:val="0"/>
        <w:spacing w:lineRule="auto" w:line="240" w:before="0" w:after="12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2.03    Determination of Eligibility    4</w:t>
      </w:r>
    </w:p>
    <w:p>
      <w:pPr>
        <w:pStyle w:val="TextBody"/>
        <w:bidi w:val="0"/>
        <w:spacing w:lineRule="auto" w:line="240" w:before="240" w:after="120"/>
        <w:ind w:left="0" w:right="0" w:hanging="1800"/>
        <w:jc w:val="left"/>
        <w:rPr>
          <w:rFonts w:ascii="Times New Roman;sans-serif" w:hAnsi="Times New Roman;sans-serif"/>
          <w:b w:val="false"/>
          <w:color w:val="000000"/>
          <w:sz w:val="24"/>
        </w:rPr>
      </w:pPr>
      <w:r>
        <w:rPr>
          <w:rFonts w:ascii="Times New Roman;sans-serif" w:hAnsi="Times New Roman;sans-serif"/>
          <w:b w:val="false"/>
          <w:color w:val="000000"/>
          <w:sz w:val="24"/>
        </w:rPr>
        <w:t>ARTICLE III DEFERRALS    4</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3.01    Deferrals    4</w:t>
      </w:r>
    </w:p>
    <w:p>
      <w:pPr>
        <w:pStyle w:val="TextBody"/>
        <w:bidi w:val="0"/>
        <w:spacing w:lineRule="auto" w:line="240" w:before="0" w:after="12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3.02    Deferral Election    4</w:t>
      </w:r>
    </w:p>
    <w:p>
      <w:pPr>
        <w:pStyle w:val="TextBody"/>
        <w:bidi w:val="0"/>
        <w:spacing w:lineRule="auto" w:line="240" w:before="240" w:after="120"/>
        <w:ind w:left="0" w:right="0" w:hanging="1800"/>
        <w:jc w:val="left"/>
        <w:rPr>
          <w:rFonts w:ascii="Times New Roman;sans-serif" w:hAnsi="Times New Roman;sans-serif"/>
          <w:b w:val="false"/>
          <w:color w:val="000000"/>
          <w:sz w:val="24"/>
        </w:rPr>
      </w:pPr>
      <w:r>
        <w:rPr>
          <w:rFonts w:ascii="Times New Roman;sans-serif" w:hAnsi="Times New Roman;sans-serif"/>
          <w:b w:val="false"/>
          <w:color w:val="000000"/>
          <w:sz w:val="24"/>
        </w:rPr>
        <w:t>ARTICLE IV ACCOUNTS, FUNDING AND VALUATION    5</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4.01    Establishment of Account    5</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4.02    Valuation of Account Prior to the Implementation of a Supplemental Plan    6</w:t>
      </w:r>
    </w:p>
    <w:p>
      <w:pPr>
        <w:pStyle w:val="TextBody"/>
        <w:bidi w:val="0"/>
        <w:spacing w:lineRule="auto" w:line="240" w:before="0" w:after="12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4.03    Investment Elections After Implementation of a Supplemental 401(k) Plan    6</w:t>
      </w:r>
    </w:p>
    <w:p>
      <w:pPr>
        <w:pStyle w:val="TextBody"/>
        <w:bidi w:val="0"/>
        <w:spacing w:lineRule="auto" w:line="240" w:before="240" w:after="120"/>
        <w:ind w:left="0" w:right="0" w:hanging="1800"/>
        <w:jc w:val="left"/>
        <w:rPr>
          <w:rFonts w:ascii="Times New Roman;sans-serif" w:hAnsi="Times New Roman;sans-serif"/>
          <w:b w:val="false"/>
          <w:color w:val="000000"/>
          <w:sz w:val="24"/>
        </w:rPr>
      </w:pPr>
      <w:r>
        <w:rPr>
          <w:rFonts w:ascii="Times New Roman;sans-serif" w:hAnsi="Times New Roman;sans-serif"/>
          <w:b w:val="false"/>
          <w:color w:val="000000"/>
          <w:sz w:val="24"/>
        </w:rPr>
        <w:t>ARTICLE V PARTICIPANTS’ VESTED INTERESTS    7</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50520"/>
                <wp:effectExtent l="0" t="0" r="0" b="0"/>
                <wp:wrapNone/>
                <wp:docPr id="138" name="Frame1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5.01    Vesting    7</w:t>
      </w:r>
    </w:p>
    <w:p>
      <w:pPr>
        <w:pStyle w:val="TextBody"/>
        <w:bidi w:val="0"/>
        <w:spacing w:lineRule="auto" w:line="240" w:before="240" w:after="120"/>
        <w:ind w:left="0" w:right="0" w:hanging="1800"/>
        <w:jc w:val="left"/>
        <w:rPr>
          <w:rFonts w:ascii="Times New Roman;sans-serif" w:hAnsi="Times New Roman;sans-serif"/>
          <w:b w:val="false"/>
          <w:color w:val="000000"/>
          <w:sz w:val="24"/>
        </w:rPr>
      </w:pPr>
      <w:r>
        <w:rPr>
          <w:rFonts w:ascii="Times New Roman;sans-serif" w:hAnsi="Times New Roman;sans-serif"/>
          <w:b w:val="false"/>
          <w:color w:val="000000"/>
          <w:sz w:val="24"/>
        </w:rPr>
        <w:t>ARTICLE VI DISTRIBUTION OF BENEFITS    7</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6.01    Distribution of Benefits    7</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6.02    Unforeseeable Emergency Withdrawals    9</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6.03    Special Distribution Election on or before December 31, 2007    10</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6.04    Prohibition on Acceleration    10</w:t>
      </w:r>
    </w:p>
    <w:p>
      <w:pPr>
        <w:pStyle w:val="TextBody"/>
        <w:bidi w:val="0"/>
        <w:spacing w:lineRule="auto" w:line="240" w:before="0" w:after="12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6.05    Distributions to Key Employees    11</w:t>
      </w:r>
    </w:p>
    <w:p>
      <w:pPr>
        <w:pStyle w:val="TextBody"/>
        <w:bidi w:val="0"/>
        <w:spacing w:lineRule="auto" w:line="240" w:before="240" w:after="120"/>
        <w:ind w:left="0" w:right="0" w:hanging="1800"/>
        <w:jc w:val="left"/>
        <w:rPr>
          <w:rFonts w:ascii="Times New Roman;sans-serif" w:hAnsi="Times New Roman;sans-serif"/>
          <w:b w:val="false"/>
          <w:color w:val="000000"/>
          <w:sz w:val="24"/>
        </w:rPr>
      </w:pPr>
      <w:r>
        <w:rPr>
          <w:rFonts w:ascii="Times New Roman;sans-serif" w:hAnsi="Times New Roman;sans-serif"/>
          <w:b w:val="false"/>
          <w:color w:val="000000"/>
          <w:sz w:val="24"/>
        </w:rPr>
        <w:t>ARTICLE VII DEATH    11</w:t>
      </w:r>
    </w:p>
    <w:p>
      <w:pPr>
        <w:pStyle w:val="TextBody"/>
        <w:bidi w:val="0"/>
        <w:spacing w:lineRule="auto" w:line="240" w:before="0" w:after="12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7.01    Death    11</w:t>
      </w:r>
    </w:p>
    <w:p>
      <w:pPr>
        <w:pStyle w:val="TextBody"/>
        <w:bidi w:val="0"/>
        <w:spacing w:lineRule="auto" w:line="240" w:before="240" w:after="120"/>
        <w:ind w:left="0" w:right="0" w:hanging="1800"/>
        <w:jc w:val="left"/>
        <w:rPr>
          <w:rFonts w:ascii="Times New Roman;sans-serif" w:hAnsi="Times New Roman;sans-serif"/>
          <w:b w:val="false"/>
          <w:color w:val="000000"/>
          <w:sz w:val="24"/>
        </w:rPr>
      </w:pPr>
      <w:r>
        <w:rPr>
          <w:rFonts w:ascii="Times New Roman;sans-serif" w:hAnsi="Times New Roman;sans-serif"/>
          <w:b w:val="false"/>
          <w:color w:val="000000"/>
          <w:sz w:val="24"/>
        </w:rPr>
        <w:t>ARTICLE VIII THE ADMINISTRATIVE COMMITTEE    11</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8.01    Appointment of Administrative Committee    11</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8.02    Committee Operating Rules    11</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8.03    Allocation and Delegation of Responsibilities    12</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8.04    Duties and Responsibilities    12</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8.05    Expenses and Compensation    13</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8.06    Information from Employer    13</w:t>
      </w:r>
    </w:p>
    <w:p>
      <w:pPr>
        <w:pStyle w:val="TextBody"/>
        <w:bidi w:val="0"/>
        <w:spacing w:lineRule="auto" w:line="240" w:before="0" w:after="12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8.07    Administrative Committee; Signature    13</w:t>
      </w:r>
    </w:p>
    <w:p>
      <w:pPr>
        <w:pStyle w:val="TextBody"/>
        <w:bidi w:val="0"/>
        <w:spacing w:lineRule="auto" w:line="240" w:before="240" w:after="120"/>
        <w:ind w:left="0" w:right="0" w:hanging="1800"/>
        <w:jc w:val="left"/>
        <w:rPr>
          <w:rFonts w:ascii="Times New Roman;sans-serif" w:hAnsi="Times New Roman;sans-serif"/>
          <w:b w:val="false"/>
          <w:color w:val="000000"/>
          <w:sz w:val="24"/>
        </w:rPr>
      </w:pPr>
      <w:r>
        <w:rPr>
          <w:rFonts w:ascii="Times New Roman;sans-serif" w:hAnsi="Times New Roman;sans-serif"/>
          <w:b w:val="false"/>
          <w:color w:val="000000"/>
          <w:sz w:val="24"/>
        </w:rPr>
        <w:t>ARTICLE IX PARTICIPANTS’ AND COMPANY’S RIGHTS    13</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9.01    Special Disclosures    13</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9.02    Filing a Claim for Benefits    13</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9.03    Denial of a Claim    14</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9.04    Recoupment in the Event of an Accounting Restatement    14</w:t>
      </w:r>
    </w:p>
    <w:p>
      <w:pPr>
        <w:pStyle w:val="TextBody"/>
        <w:bidi w:val="0"/>
        <w:spacing w:lineRule="auto" w:line="240" w:before="0" w:after="12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9.05    Limitation of Rights    15</w:t>
      </w:r>
    </w:p>
    <w:p>
      <w:pPr>
        <w:pStyle w:val="TextBody"/>
        <w:bidi w:val="0"/>
        <w:spacing w:lineRule="auto" w:line="240" w:before="240" w:after="120"/>
        <w:ind w:left="0" w:right="0" w:hanging="1800"/>
        <w:jc w:val="left"/>
        <w:rPr>
          <w:rFonts w:ascii="Times New Roman;sans-serif" w:hAnsi="Times New Roman;sans-serif"/>
          <w:b w:val="false"/>
          <w:color w:val="000000"/>
          <w:sz w:val="24"/>
        </w:rPr>
      </w:pPr>
      <w:r>
        <w:rPr>
          <w:rFonts w:ascii="Times New Roman;sans-serif" w:hAnsi="Times New Roman;sans-serif"/>
          <w:b w:val="false"/>
          <w:color w:val="000000"/>
          <w:sz w:val="24"/>
        </w:rPr>
        <w:t>ARTICLE X AMENDMENT AND TERMINATION    15</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10.01    Amendment    15</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10.02    Termination of the Plan    15</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10.03    Termination upon a Change in Control    15</w:t>
      </w:r>
    </w:p>
    <w:p>
      <w:pPr>
        <w:pStyle w:val="TextBody"/>
        <w:bidi w:val="0"/>
        <w:spacing w:lineRule="auto" w:line="240" w:before="0" w:after="12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10.04    Termination upon Dissolution or Bankruptcy    16</w:t>
      </w:r>
    </w:p>
    <w:p>
      <w:pPr>
        <w:pStyle w:val="TextBody"/>
        <w:bidi w:val="0"/>
        <w:spacing w:lineRule="auto" w:line="240" w:before="240" w:after="120"/>
        <w:ind w:left="0" w:right="0" w:hanging="1800"/>
        <w:jc w:val="left"/>
        <w:rPr>
          <w:rFonts w:ascii="Times New Roman;sans-serif" w:hAnsi="Times New Roman;sans-serif"/>
          <w:b w:val="false"/>
          <w:color w:val="000000"/>
          <w:sz w:val="24"/>
        </w:rPr>
      </w:pPr>
      <w:r>
        <w:rPr>
          <w:rFonts w:ascii="Times New Roman;sans-serif" w:hAnsi="Times New Roman;sans-serif"/>
          <w:b w:val="false"/>
          <w:color w:val="000000"/>
          <w:sz w:val="24"/>
        </w:rPr>
        <w:t>ARTICLE XI MISCELLANEOUS    16</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11.01    Execution of Receipts and Releases    16</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11.02    Notice and Unclaimed Benefits    16</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11.03    Non-Alienation of Benefits    17</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11.04    Loans to Participants    17</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11.05    Benefits Payable to Incompetents    17</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11.06    Applicable Law    17</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11.07    Headings as Guide    18</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11.08    Pronouns    18</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11.09    Reference to Laws    18</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11.10    Agent Designated for Service of Process    18</w:t>
      </w:r>
    </w:p>
    <w:p>
      <w:pPr>
        <w:pStyle w:val="TextBody"/>
        <w:bidi w:val="0"/>
        <w:spacing w:lineRule="auto" w:line="240" w:before="0" w:after="0"/>
        <w:ind w:left="0" w:right="0" w:hanging="748"/>
        <w:jc w:val="left"/>
        <w:rPr>
          <w:rFonts w:ascii="Times New Roman;sans-serif" w:hAnsi="Times New Roman;sans-serif"/>
          <w:b w:val="false"/>
          <w:color w:val="000000"/>
          <w:sz w:val="24"/>
        </w:rPr>
      </w:pPr>
      <w:r>
        <w:rPr>
          <w:rFonts w:ascii="Times New Roman;sans-serif" w:hAnsi="Times New Roman;sans-serif"/>
          <w:b w:val="false"/>
          <w:color w:val="000000"/>
          <w:sz w:val="24"/>
        </w:rPr>
        <w:t>11.11    Participant’s Rights Unsecured    18</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0520"/>
                <wp:effectExtent l="0" t="0" r="0" b="0"/>
                <wp:wrapNone/>
                <wp:docPr id="139" name="Frame1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ABM DEFERRED COMPENSATION PLAN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(Amended and Restated Effective October 2, 2023)</w:t>
      </w:r>
    </w:p>
    <w:p>
      <w:pPr>
        <w:pStyle w:val="TextBody"/>
        <w:bidi w:val="0"/>
        <w:spacing w:lineRule="auto" w:line="240" w:before="480" w:after="240"/>
        <w:jc w:val="center"/>
        <w:rPr>
          <w:rFonts w:ascii="Times New Roman;sans-serif" w:hAnsi="Times New Roman;sans-serif"/>
          <w:b/>
          <w:color w:val="000000"/>
          <w:sz w:val="24"/>
        </w:rPr>
      </w:pPr>
      <w:r>
        <w:rPr>
          <w:rFonts w:ascii="Times New Roman;sans-serif" w:hAnsi="Times New Roman;sans-serif"/>
          <w:b/>
          <w:color w:val="000000"/>
          <w:sz w:val="24"/>
        </w:rPr>
        <w:t>ARTICLE I    </w:t>
        <w:br/>
        <w:br/>
        <w:t>DEFINITIONS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terms as used herein shall have the meaning hereinafter set forth unless the context clearly indicates a different meaning is required. Whenever in these definitions a word or phrase not previously defined is used, such word or phrase shall have the meaning thereafter given to it in Article I unless otherwise specified.</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1.01    “</w:t>
      </w:r>
      <w:r>
        <w:rPr>
          <w:rFonts w:ascii="Times New Roman;sans-serif" w:hAnsi="Times New Roman;sans-serif"/>
          <w:b w:val="false"/>
          <w:color w:val="000000"/>
          <w:sz w:val="24"/>
          <w:u w:val="single"/>
        </w:rPr>
        <w:t>401(k) Plan</w:t>
      </w:r>
      <w:r>
        <w:rPr>
          <w:color w:val="000000"/>
        </w:rPr>
        <w:t xml:space="preserve">” </w:t>
      </w:r>
      <w:r>
        <w:rPr>
          <w:rFonts w:ascii="Times New Roman;sans-serif" w:hAnsi="Times New Roman;sans-serif"/>
          <w:b w:val="false"/>
          <w:color w:val="000000"/>
          <w:sz w:val="24"/>
        </w:rPr>
        <w:t>means the ABM Industries Incorporated 401(k) Employee Savings Plan.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1.02    “</w:t>
      </w:r>
      <w:r>
        <w:rPr>
          <w:rFonts w:ascii="Times New Roman;sans-serif" w:hAnsi="Times New Roman;sans-serif"/>
          <w:b w:val="false"/>
          <w:color w:val="000000"/>
          <w:sz w:val="24"/>
          <w:u w:val="single"/>
        </w:rPr>
        <w:t>Account</w:t>
      </w:r>
      <w:r>
        <w:rPr>
          <w:color w:val="000000"/>
        </w:rPr>
        <w:t xml:space="preserve">” </w:t>
      </w:r>
      <w:r>
        <w:rPr>
          <w:rFonts w:ascii="Times New Roman;sans-serif" w:hAnsi="Times New Roman;sans-serif"/>
          <w:b w:val="false"/>
          <w:color w:val="000000"/>
          <w:sz w:val="24"/>
        </w:rPr>
        <w:t>means the account established and maintained by the Administrative Committee for each Participant.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1.03    “</w:t>
      </w:r>
      <w:r>
        <w:rPr>
          <w:rFonts w:ascii="Times New Roman;sans-serif" w:hAnsi="Times New Roman;sans-serif"/>
          <w:b w:val="false"/>
          <w:color w:val="000000"/>
          <w:sz w:val="24"/>
          <w:u w:val="single"/>
        </w:rPr>
        <w:t>Administrative Committee</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Committee</w:t>
      </w:r>
      <w:r>
        <w:rPr>
          <w:color w:val="000000"/>
        </w:rPr>
        <w:t xml:space="preserve">” </w:t>
      </w:r>
      <w:r>
        <w:rPr>
          <w:rFonts w:ascii="Times New Roman;sans-serif" w:hAnsi="Times New Roman;sans-serif"/>
          <w:b w:val="false"/>
          <w:color w:val="000000"/>
          <w:sz w:val="24"/>
        </w:rPr>
        <w:t>means those individuals designated by the Board to administer the Plan, and any successors appointed in accordance with Section 8.02.</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1.04    “</w:t>
      </w:r>
      <w:r>
        <w:rPr>
          <w:rFonts w:ascii="Times New Roman;sans-serif" w:hAnsi="Times New Roman;sans-serif"/>
          <w:b w:val="false"/>
          <w:color w:val="000000"/>
          <w:sz w:val="24"/>
          <w:u w:val="single"/>
        </w:rPr>
        <w:t>Beneficiary</w:t>
      </w:r>
      <w:r>
        <w:rPr>
          <w:color w:val="000000"/>
        </w:rPr>
        <w:t xml:space="preserve">” </w:t>
      </w:r>
      <w:r>
        <w:rPr>
          <w:rFonts w:ascii="Times New Roman;sans-serif" w:hAnsi="Times New Roman;sans-serif"/>
          <w:b w:val="false"/>
          <w:color w:val="000000"/>
          <w:sz w:val="24"/>
        </w:rPr>
        <w:t>means the Person last designated by a Participant on a form provided by the Administrative Committee or by the terms of the Plan to receive any amounts payable under the Plan following the death of the Participant. A Participant may change the Beneficiary from time to time on a form provided by the Administrative Committee.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1.05    “</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1.06    “</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shall have the meaning given that term in Section 10.03.</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1.07    “</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amended from time to time.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1.08    “</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means ABM Industries Incorporated.</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1.09    “</w:t>
      </w:r>
      <w:r>
        <w:rPr>
          <w:rFonts w:ascii="Times New Roman;sans-serif" w:hAnsi="Times New Roman;sans-serif"/>
          <w:b w:val="false"/>
          <w:color w:val="000000"/>
          <w:sz w:val="24"/>
          <w:u w:val="single"/>
        </w:rPr>
        <w:t>Compensation</w:t>
      </w:r>
      <w:r>
        <w:rPr>
          <w:color w:val="000000"/>
        </w:rPr>
        <w:t xml:space="preserve">” </w:t>
      </w:r>
      <w:r>
        <w:rPr>
          <w:rFonts w:ascii="Times New Roman;sans-serif" w:hAnsi="Times New Roman;sans-serif"/>
          <w:b w:val="false"/>
          <w:color w:val="000000"/>
          <w:sz w:val="24"/>
        </w:rPr>
        <w:t>means all cash amounts (including base salary, Performance-Based Bonuses and other bonuses) paid by the Employer to the Employee while a Participant with respect to services rendered during the Plan Year, including all Deferrals elected by the Participant during the Plan Year, but excluding compensation derived from awards made under any equity incentive, change in control, or severance plans or arrangements that the Company adopts.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1.10    “</w:t>
      </w:r>
      <w:r>
        <w:rPr>
          <w:rFonts w:ascii="Times New Roman;sans-serif" w:hAnsi="Times New Roman;sans-serif"/>
          <w:b w:val="false"/>
          <w:color w:val="000000"/>
          <w:sz w:val="24"/>
          <w:u w:val="single"/>
        </w:rPr>
        <w:t>Deferral</w:t>
      </w:r>
      <w:r>
        <w:rPr>
          <w:color w:val="000000"/>
        </w:rPr>
        <w:t xml:space="preserve">” </w:t>
      </w:r>
      <w:r>
        <w:rPr>
          <w:rFonts w:ascii="Times New Roman;sans-serif" w:hAnsi="Times New Roman;sans-serif"/>
          <w:b w:val="false"/>
          <w:color w:val="000000"/>
          <w:sz w:val="24"/>
        </w:rPr>
        <w:t>means an amount that a Participant has elected to defer under Article III.</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1.11    “</w:t>
      </w:r>
      <w:r>
        <w:rPr>
          <w:rFonts w:ascii="Times New Roman;sans-serif" w:hAnsi="Times New Roman;sans-serif"/>
          <w:b w:val="false"/>
          <w:color w:val="000000"/>
          <w:sz w:val="24"/>
          <w:u w:val="single"/>
        </w:rPr>
        <w:t>Disabled</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means that an individual is determined to be totally disabled by the Social Security Administration.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1.12    “</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means March 13, 2008.</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1.13    “</w:t>
      </w:r>
      <w:r>
        <w:rPr>
          <w:rFonts w:ascii="Times New Roman;sans-serif" w:hAnsi="Times New Roman;sans-serif"/>
          <w:b w:val="false"/>
          <w:color w:val="000000"/>
          <w:sz w:val="24"/>
          <w:u w:val="single"/>
        </w:rPr>
        <w:t>Eligible Employee</w:t>
      </w:r>
      <w:r>
        <w:rPr>
          <w:color w:val="000000"/>
        </w:rPr>
        <w:t xml:space="preserve">” </w:t>
      </w:r>
      <w:r>
        <w:rPr>
          <w:rFonts w:ascii="Times New Roman;sans-serif" w:hAnsi="Times New Roman;sans-serif"/>
          <w:b w:val="false"/>
          <w:color w:val="000000"/>
          <w:sz w:val="24"/>
        </w:rPr>
        <w:t xml:space="preserve">means any individual, including an officer of the Employer, who is (a) employed (other than as a director) by the Employer, (b) not either an hourly manual employee or in a unit of employees covered by a collective bargaining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0520"/>
                <wp:effectExtent l="0" t="0" r="0" b="0"/>
                <wp:wrapNone/>
                <wp:docPr id="140" name="Frame1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and (c) determined to be a Highly Paid Participant as defined in Section 1.16 during the Plan Year.</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1.14    “</w:t>
      </w:r>
      <w:r>
        <w:rPr>
          <w:rFonts w:ascii="Times New Roman;sans-serif" w:hAnsi="Times New Roman;sans-serif"/>
          <w:b w:val="false"/>
          <w:color w:val="000000"/>
          <w:sz w:val="24"/>
          <w:u w:val="single"/>
        </w:rPr>
        <w:t>Employer</w:t>
      </w:r>
      <w:r>
        <w:rPr>
          <w:color w:val="000000"/>
        </w:rPr>
        <w:t xml:space="preserve">” </w:t>
      </w:r>
      <w:r>
        <w:rPr>
          <w:rFonts w:ascii="Times New Roman;sans-serif" w:hAnsi="Times New Roman;sans-serif"/>
          <w:b w:val="false"/>
          <w:color w:val="000000"/>
          <w:sz w:val="24"/>
        </w:rPr>
        <w:t>means the Company, its subsidiaries (within the meaning of sections 414(b) and (c) of the Code), and its successors or assigns.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1.15    “</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means the Employee Retirement Income Security Act of 1974, as amended from time to time.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1.16    “</w:t>
      </w:r>
      <w:r>
        <w:rPr>
          <w:rFonts w:ascii="Times New Roman;sans-serif" w:hAnsi="Times New Roman;sans-serif"/>
          <w:b w:val="false"/>
          <w:color w:val="000000"/>
          <w:sz w:val="24"/>
          <w:u w:val="single"/>
        </w:rPr>
        <w:t>Highly Paid Participant</w:t>
      </w:r>
      <w:r>
        <w:rPr>
          <w:color w:val="000000"/>
        </w:rPr>
        <w:t xml:space="preserve">” </w:t>
      </w:r>
      <w:r>
        <w:rPr>
          <w:rFonts w:ascii="Times New Roman;sans-serif" w:hAnsi="Times New Roman;sans-serif"/>
          <w:b w:val="false"/>
          <w:color w:val="000000"/>
          <w:sz w:val="24"/>
        </w:rPr>
        <w:t>effective January 1, 2008, means any Participant whose base rate of pay is at least $25,000 per year more than the amount established by the Internal Revenue Service under Section 414(q)(1)(B) of the Internal Revenue Code of 1986 as amended.</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1.17    “</w:t>
      </w:r>
      <w:r>
        <w:rPr>
          <w:rFonts w:ascii="Times New Roman;sans-serif" w:hAnsi="Times New Roman;sans-serif"/>
          <w:b w:val="false"/>
          <w:color w:val="000000"/>
          <w:sz w:val="24"/>
          <w:u w:val="single"/>
        </w:rPr>
        <w:t>Identification Date</w:t>
      </w:r>
      <w:r>
        <w:rPr>
          <w:color w:val="000000"/>
        </w:rPr>
        <w:t xml:space="preserve">” </w:t>
      </w:r>
      <w:r>
        <w:rPr>
          <w:rFonts w:ascii="Times New Roman;sans-serif" w:hAnsi="Times New Roman;sans-serif"/>
          <w:b w:val="false"/>
          <w:color w:val="000000"/>
          <w:sz w:val="24"/>
        </w:rPr>
        <w:t>means each December 31.</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1.18    “</w:t>
      </w:r>
      <w:r>
        <w:rPr>
          <w:rFonts w:ascii="Times New Roman;sans-serif" w:hAnsi="Times New Roman;sans-serif"/>
          <w:b w:val="false"/>
          <w:color w:val="000000"/>
          <w:sz w:val="24"/>
          <w:u w:val="single"/>
        </w:rPr>
        <w:t>Key Employee</w:t>
      </w:r>
      <w:r>
        <w:rPr>
          <w:color w:val="000000"/>
        </w:rPr>
        <w:t xml:space="preserve">” </w:t>
      </w:r>
      <w:r>
        <w:rPr>
          <w:rFonts w:ascii="Times New Roman;sans-serif" w:hAnsi="Times New Roman;sans-serif"/>
          <w:b w:val="false"/>
          <w:color w:val="000000"/>
          <w:sz w:val="24"/>
        </w:rPr>
        <w:t>means a Participant who, on an Identification Date, is: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An officer of the Employer having annual compensation greater than the compensation limit in section 416(i)(1)(A)(i) of the Code, provided that no more than 50 officers of the Company shall be determined to be Key Employees as of any Identification Date;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A 5% owner of the Employer; or</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A 1% owner of the Employer having annual compensation from the Company of more than $150,000.</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a Participant is identified as a Key Employee on an Identification Date, then such Participant shall be considered a Key Employee for purposes of the Plan during the period beginning on the first April 1 following the Identification Date and ending on the next March 31.</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1.19    “</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rPr>
        <w:t>means any Eligible Employee or former Employee who has satisfied the eligibility requirements of Section 2.01 who is, or may become, eligible to receive a benefit or whose Beneficiary may be eligible to receive a benefit under the Plan.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1.20    “</w:t>
      </w:r>
      <w:r>
        <w:rPr>
          <w:rFonts w:ascii="Times New Roman;sans-serif" w:hAnsi="Times New Roman;sans-serif"/>
          <w:b w:val="false"/>
          <w:color w:val="000000"/>
          <w:sz w:val="24"/>
          <w:u w:val="single"/>
        </w:rPr>
        <w:t>Performance-Based Bonus</w:t>
      </w:r>
      <w:r>
        <w:rPr>
          <w:color w:val="000000"/>
        </w:rPr>
        <w:t xml:space="preserve">” </w:t>
      </w:r>
      <w:r>
        <w:rPr>
          <w:rFonts w:ascii="Times New Roman;sans-serif" w:hAnsi="Times New Roman;sans-serif"/>
          <w:b w:val="false"/>
          <w:color w:val="000000"/>
          <w:sz w:val="24"/>
        </w:rPr>
        <w:t>means the definition of performance-based compensation, as defined in section 409A of the Code and the regulations promulgated thereunder.</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1.21    “</w:t>
      </w:r>
      <w:r>
        <w:rPr>
          <w:rFonts w:ascii="Times New Roman;sans-serif" w:hAnsi="Times New Roman;sans-serif"/>
          <w:b w:val="false"/>
          <w:color w:val="000000"/>
          <w:sz w:val="24"/>
          <w:u w:val="single"/>
        </w:rPr>
        <w:t>Performance Shares</w:t>
      </w:r>
      <w:r>
        <w:rPr>
          <w:color w:val="000000"/>
        </w:rPr>
        <w:t xml:space="preserve">” </w:t>
      </w:r>
      <w:r>
        <w:rPr>
          <w:rFonts w:ascii="Times New Roman;sans-serif" w:hAnsi="Times New Roman;sans-serif"/>
          <w:b w:val="false"/>
          <w:color w:val="000000"/>
          <w:sz w:val="24"/>
        </w:rPr>
        <w:t xml:space="preserve">means grants of Company stock which vest after a fixed time period provided the Company achieves predetermined performance goals during the specific performance period.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1.22     “</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individual, partnership, joint venture, corporation, mutual company, joint stock company, trust, estate, unincorporated organization, association, or employee organization, and shall, where appropriate, include two or more of the above.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1.23     “</w:t>
      </w:r>
      <w:r>
        <w:rPr>
          <w:rFonts w:ascii="Times New Roman;sans-serif" w:hAnsi="Times New Roman;sans-serif"/>
          <w:b w:val="false"/>
          <w:color w:val="000000"/>
          <w:sz w:val="24"/>
          <w:u w:val="single"/>
        </w:rPr>
        <w:t>Plan</w:t>
      </w:r>
      <w:r>
        <w:rPr>
          <w:color w:val="000000"/>
        </w:rPr>
        <w:t xml:space="preserve">” </w:t>
      </w:r>
      <w:r>
        <w:rPr>
          <w:rFonts w:ascii="Times New Roman;sans-serif" w:hAnsi="Times New Roman;sans-serif"/>
          <w:b w:val="false"/>
          <w:color w:val="000000"/>
          <w:sz w:val="24"/>
        </w:rPr>
        <w:t>means this ABM Deferred Compensation Plan, as amended and restated effective March 13, 2008. The Plan is intended to be an unfunded plan for the benefit of a select group of management or highly compensated employees, as such are defined in ERISA.</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0520"/>
                <wp:effectExtent l="0" t="0" r="0" b="0"/>
                <wp:wrapNone/>
                <wp:docPr id="141" name="Frame1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1.24    “</w:t>
      </w:r>
      <w:r>
        <w:rPr>
          <w:rFonts w:ascii="Times New Roman;sans-serif" w:hAnsi="Times New Roman;sans-serif"/>
          <w:b w:val="false"/>
          <w:color w:val="000000"/>
          <w:sz w:val="24"/>
          <w:u w:val="single"/>
        </w:rPr>
        <w:t>Plan Year</w:t>
      </w:r>
      <w:r>
        <w:rPr>
          <w:color w:val="000000"/>
        </w:rPr>
        <w:t xml:space="preserve">” </w:t>
      </w:r>
      <w:r>
        <w:rPr>
          <w:rFonts w:ascii="Times New Roman;sans-serif" w:hAnsi="Times New Roman;sans-serif"/>
          <w:b w:val="false"/>
          <w:color w:val="000000"/>
          <w:sz w:val="24"/>
        </w:rPr>
        <w:t>means the 12-month period commencing January 1 and ending on the following December 31.</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1.25    “</w:t>
      </w:r>
      <w:r>
        <w:rPr>
          <w:rFonts w:ascii="Times New Roman;sans-serif" w:hAnsi="Times New Roman;sans-serif"/>
          <w:b w:val="false"/>
          <w:color w:val="000000"/>
          <w:sz w:val="24"/>
          <w:u w:val="single"/>
        </w:rPr>
        <w:t>Restricted Stock Units</w:t>
      </w:r>
      <w:r>
        <w:rPr>
          <w:color w:val="000000"/>
        </w:rPr>
        <w:t xml:space="preserve">” </w:t>
      </w:r>
      <w:r>
        <w:rPr>
          <w:rFonts w:ascii="Times New Roman;sans-serif" w:hAnsi="Times New Roman;sans-serif"/>
          <w:b w:val="false"/>
          <w:color w:val="000000"/>
          <w:sz w:val="24"/>
        </w:rPr>
        <w:t xml:space="preserve">means grants of Company stock which vest after a fixed time period. The person to whom the grant cannot sell the shares or realize compensation value until the vesting requirement has been met, at which time restrictions are removed.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1.26    “</w:t>
      </w:r>
      <w:r>
        <w:rPr>
          <w:rFonts w:ascii="Times New Roman;sans-serif" w:hAnsi="Times New Roman;sans-serif"/>
          <w:b w:val="false"/>
          <w:color w:val="000000"/>
          <w:sz w:val="24"/>
          <w:u w:val="single"/>
        </w:rPr>
        <w:t>Scheduled Withdrawal Date</w:t>
      </w:r>
      <w:r>
        <w:rPr>
          <w:color w:val="000000"/>
        </w:rPr>
        <w:t xml:space="preserve">” </w:t>
      </w:r>
      <w:r>
        <w:rPr>
          <w:rFonts w:ascii="Times New Roman;sans-serif" w:hAnsi="Times New Roman;sans-serif"/>
          <w:b w:val="false"/>
          <w:color w:val="000000"/>
          <w:sz w:val="24"/>
        </w:rPr>
        <w:t>means the month and year that the Participant elects; provided, however, that a Scheduled Withdrawal Date must be no less than three years after the Plan Year to which the election is made.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1.27    “</w:t>
      </w:r>
      <w:r>
        <w:rPr>
          <w:rFonts w:ascii="Times New Roman;sans-serif" w:hAnsi="Times New Roman;sans-serif"/>
          <w:b w:val="false"/>
          <w:color w:val="000000"/>
          <w:sz w:val="24"/>
          <w:u w:val="single"/>
        </w:rPr>
        <w:t>Separation from Service</w:t>
      </w:r>
      <w:r>
        <w:rPr>
          <w:color w:val="000000"/>
        </w:rPr>
        <w:t xml:space="preserve">” </w:t>
      </w:r>
      <w:r>
        <w:rPr>
          <w:rFonts w:ascii="Times New Roman;sans-serif" w:hAnsi="Times New Roman;sans-serif"/>
          <w:b w:val="false"/>
          <w:color w:val="000000"/>
          <w:sz w:val="24"/>
        </w:rPr>
        <w:t xml:space="preserve">means termination of employment with the Company, other than by reason of Disability or death, as defined under the regulations promulgated under section 409A of the Code.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1.28    “</w:t>
      </w:r>
      <w:r>
        <w:rPr>
          <w:rFonts w:ascii="Times New Roman;sans-serif" w:hAnsi="Times New Roman;sans-serif"/>
          <w:b w:val="false"/>
          <w:color w:val="000000"/>
          <w:sz w:val="24"/>
          <w:u w:val="single"/>
        </w:rPr>
        <w:t>Valuation Date</w:t>
      </w:r>
      <w:r>
        <w:rPr>
          <w:color w:val="000000"/>
        </w:rPr>
        <w:t xml:space="preserve">” </w:t>
      </w:r>
      <w:r>
        <w:rPr>
          <w:rFonts w:ascii="Times New Roman;sans-serif" w:hAnsi="Times New Roman;sans-serif"/>
          <w:b w:val="false"/>
          <w:color w:val="000000"/>
          <w:sz w:val="24"/>
        </w:rPr>
        <w:t>means March 31, June 30, September 30 and December 31 of each Plan Year; provided, however, that after implementation of a supplemental 401(k) Plan, “Valuation Date” shall mean any business day.</w:t>
      </w:r>
    </w:p>
    <w:p>
      <w:pPr>
        <w:pStyle w:val="TextBody"/>
        <w:bidi w:val="0"/>
        <w:spacing w:lineRule="auto" w:line="240" w:before="480" w:after="240"/>
        <w:jc w:val="center"/>
        <w:rPr>
          <w:rFonts w:ascii="Times New Roman;sans-serif" w:hAnsi="Times New Roman;sans-serif"/>
          <w:b/>
          <w:color w:val="000000"/>
          <w:sz w:val="24"/>
        </w:rPr>
      </w:pPr>
      <w:r>
        <w:rPr>
          <w:rFonts w:ascii="Times New Roman;sans-serif" w:hAnsi="Times New Roman;sans-serif"/>
          <w:b/>
          <w:color w:val="000000"/>
          <w:sz w:val="24"/>
        </w:rPr>
        <w:t>ARTICLE II    </w:t>
        <w:br/>
        <w:br/>
        <w:t>ELIGIBILITY FOR PARTICIPATION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2.01    </w:t>
      </w:r>
      <w:r>
        <w:rPr>
          <w:rFonts w:ascii="Times New Roman;sans-serif" w:hAnsi="Times New Roman;sans-serif"/>
          <w:b w:val="false"/>
          <w:color w:val="000000"/>
          <w:sz w:val="24"/>
          <w:u w:val="single"/>
        </w:rPr>
        <w:t>Eligibility Requirements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Section 2.02, each Eligible Employee of the Employer, other than employees of subsidiaries designated by the Committee as ineligible subsidiaries, shall become eligible to participate in the Plan on the later of (a) July 1, 1993, or (b) January 1 of the first Plan Year on or after he or she becomes (or becomes again) an Eligible Employee.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2.02    </w:t>
      </w:r>
      <w:r>
        <w:rPr>
          <w:rFonts w:ascii="Times New Roman;sans-serif" w:hAnsi="Times New Roman;sans-serif"/>
          <w:b w:val="false"/>
          <w:color w:val="000000"/>
          <w:sz w:val="24"/>
          <w:u w:val="single"/>
        </w:rPr>
        <w:t>Change in Employment Status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Participant’s participation in the Plan shall terminate in the next Plan Year following the date on which he or she ceases to be an Eligible Employee as defined under the terms of the Plan, except that the Participant shall retain the right to receive his or her Account in accordance with the terms and conditions of the Plan. He or she shall again become eligible to participate in the Plan as of the January 1 coincident with or immediately following the date on which he or she regains the status of an Eligible Employee under the Plan.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2.03    </w:t>
      </w:r>
      <w:r>
        <w:rPr>
          <w:rFonts w:ascii="Times New Roman;sans-serif" w:hAnsi="Times New Roman;sans-serif"/>
          <w:b w:val="false"/>
          <w:color w:val="000000"/>
          <w:sz w:val="24"/>
          <w:u w:val="single"/>
        </w:rPr>
        <w:t>Determination of Eligibility</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Committee shall determine whether each Eligible Employee has satisfied the eligibility requirements for participation in the Plan. The Committee’s determination shall be conclusive and binding upon all persons.</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0520"/>
                <wp:effectExtent l="0" t="0" r="0" b="0"/>
                <wp:wrapNone/>
                <wp:docPr id="142" name="Frame1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480" w:after="240"/>
        <w:jc w:val="center"/>
        <w:rPr>
          <w:rFonts w:ascii="Times New Roman;sans-serif" w:hAnsi="Times New Roman;sans-serif"/>
          <w:b/>
          <w:color w:val="000000"/>
          <w:sz w:val="24"/>
        </w:rPr>
      </w:pPr>
      <w:r>
        <w:rPr>
          <w:rFonts w:ascii="Times New Roman;sans-serif" w:hAnsi="Times New Roman;sans-serif"/>
          <w:b/>
          <w:color w:val="000000"/>
          <w:sz w:val="24"/>
        </w:rPr>
        <w:t>ARTICLE III    </w:t>
        <w:br/>
        <w:br/>
        <w:t>DEFERRALS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3.01    </w:t>
      </w:r>
      <w:r>
        <w:rPr>
          <w:rFonts w:ascii="Times New Roman;sans-serif" w:hAnsi="Times New Roman;sans-serif"/>
          <w:b w:val="false"/>
          <w:color w:val="000000"/>
          <w:sz w:val="24"/>
          <w:u w:val="single"/>
        </w:rPr>
        <w:t>Deferrals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Deferral of Compensation</w:t>
      </w:r>
      <w:r>
        <w:rPr>
          <w:rFonts w:ascii="Times New Roman;sans-serif" w:hAnsi="Times New Roman;sans-serif"/>
          <w:b w:val="false"/>
          <w:color w:val="000000"/>
          <w:sz w:val="24"/>
        </w:rPr>
        <w:t xml:space="preserve">. For each Plan Year, a Participant may elect to defer receipt of a portion of his or her Compensation that he or she would otherwise receive from the Employer. The amount of the Deferral must equal a whole percentage not exceeding 50% of the amount of the Participant’s Compensation. The elections described in this Article III shall specify the form and time of distribution of benefits as described in Section 6.01. Unless otherwise provided, an election must be made each year in order to participate in this Plan.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Deferral of Performance Shares and Restricted Stock Units</w:t>
      </w:r>
      <w:r>
        <w:rPr>
          <w:rFonts w:ascii="Times New Roman;sans-serif" w:hAnsi="Times New Roman;sans-serif"/>
          <w:b w:val="false"/>
          <w:color w:val="000000"/>
          <w:sz w:val="24"/>
        </w:rPr>
        <w:t>. Each Participant who receives a grant of Performance Shares or a grant of Restricted Stock Units in a Plan Year may elect to defer all or any percentage of the Performance Shares or Restricted Stock Units he or she may be entitled to receive (including dividend equivalents credited to such shares) upon the achievement of any performance requirements or lapse of the vesting period to which the grant is subject. This election shall be made by giving notice in a manner and within the time prescribed by the Administrator and in compliance with Section 409A of the Code.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3.02    </w:t>
      </w:r>
      <w:r>
        <w:rPr>
          <w:rFonts w:ascii="Times New Roman;sans-serif" w:hAnsi="Times New Roman;sans-serif"/>
          <w:b w:val="false"/>
          <w:color w:val="000000"/>
          <w:sz w:val="24"/>
          <w:u w:val="single"/>
        </w:rPr>
        <w:t>Deferral Election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Elections to Defer Compensation</w:t>
      </w:r>
      <w:r>
        <w:rPr>
          <w:rFonts w:ascii="Times New Roman;sans-serif" w:hAnsi="Times New Roman;sans-serif"/>
          <w:b w:val="false"/>
          <w:color w:val="000000"/>
          <w:sz w:val="24"/>
        </w:rPr>
        <w:t xml:space="preserve">. For each Plan Year, a Participant (or any Eligible Employee who is expected to become eligible to participate in the Plan) may make an election to defer his or her salary by filing an election form with the Administrative Committee within a reasonable period of time, as specified by the Committee, before the beginning of the Plan Year to which the Deferral election applies. Except as provided in this Plan, a Deferral election shall be irrevocable on the December 31 preceding the Plan Year, or at such earlier time as the Committee prescribes, and may not be changed or revoked during the Plan Year that it is effective; provided, however, that a Participant’s election shall terminate if such Participant receives a distribution on account of an Unforeseeable Emergency or hardship withdrawal from the 401(k) Plan and thereafter the Participant must submit a new election during the next enrollment period to resume participation in the Plan.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Elections to Defer Performance-Based Bonuses</w:t>
      </w:r>
      <w:r>
        <w:rPr>
          <w:rFonts w:ascii="Times New Roman;sans-serif" w:hAnsi="Times New Roman;sans-serif"/>
          <w:b w:val="false"/>
          <w:color w:val="000000"/>
          <w:sz w:val="24"/>
        </w:rPr>
        <w:t>. The Company, in its discretion, may permit a separate election to defer a Performance-Based Bonus, and such election may be made and be irrevocable no later than six months prior to the end of the applicable performance period; provided, however, that such election shall be made prior to the date that the Performance-Based Bonus is readily ascertainable.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Elections to Defer Performance Shares and Restricted Stock Units</w:t>
      </w:r>
      <w:r>
        <w:rPr>
          <w:rFonts w:ascii="Times New Roman;sans-serif" w:hAnsi="Times New Roman;sans-serif"/>
          <w:b w:val="false"/>
          <w:color w:val="000000"/>
          <w:sz w:val="24"/>
        </w:rPr>
        <w:t>. The Company, in its discretion, may permit a separate election to defer distribution of Performance Share awards and Restricted Stock Unit awards, and such election may be made and be irrevocable no later than thirty days following the grant date of the awards.</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0520"/>
                <wp:effectExtent l="0" t="0" r="0" b="0"/>
                <wp:wrapNone/>
                <wp:docPr id="143" name="Frame1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Deferral of Distribution of Performance Share Awards and Restricted Stock Unit Awards Granted Prior to March 13, 2008</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in this Plan to the contrary, for the purposes of Performance Share awards and Restricted Stock Unit awards granted prior to March 13, 2008, a Participant may defer the time of distribution of any unvested portion of such Performance Share awards and Restricted Stock Unit awards (including dividend equivalents credited to such shares); provided that: (1) such deferral shall not become effective for 12 months and (2) the date of payment is at least five years subsequent to the originally scheduled payment date, and (3) the form is accepted by the Committee, in its sole and absolute discretion. The election may be modified or revoked until twelve months prior to the originally scheduled vesting date or such earlier time that the Committee determines in its discretion, at which time such change shall become irrevocable. The last valid form accepted by the Committee shall govern the payout of a Participant’s deferred shares subject to Performance Share awards and Restricted Stock Unit awards granted prior to March 13, 2008, (including dividend equivalents credited to such shares), as applicable.</w:t>
      </w:r>
    </w:p>
    <w:p>
      <w:pPr>
        <w:pStyle w:val="TextBody"/>
        <w:bidi w:val="0"/>
        <w:spacing w:lineRule="auto" w:line="240" w:before="480" w:after="240"/>
        <w:jc w:val="center"/>
        <w:rPr>
          <w:rFonts w:ascii="Times New Roman;sans-serif" w:hAnsi="Times New Roman;sans-serif"/>
          <w:b/>
          <w:color w:val="000000"/>
          <w:sz w:val="24"/>
        </w:rPr>
      </w:pPr>
      <w:r>
        <w:rPr>
          <w:rFonts w:ascii="Times New Roman;sans-serif" w:hAnsi="Times New Roman;sans-serif"/>
          <w:b/>
          <w:color w:val="000000"/>
          <w:sz w:val="24"/>
        </w:rPr>
        <w:t>ARTICLE IV    </w:t>
        <w:br/>
        <w:br/>
        <w:t>ACCOUNTS, FUNDING AND VALUATION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4.01    </w:t>
      </w:r>
      <w:r>
        <w:rPr>
          <w:rFonts w:ascii="Times New Roman;sans-serif" w:hAnsi="Times New Roman;sans-serif"/>
          <w:b w:val="false"/>
          <w:color w:val="000000"/>
          <w:sz w:val="24"/>
          <w:u w:val="single"/>
        </w:rPr>
        <w:t>Establishment of Account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Committee shall open and maintain a separate Account for each Participant. Such Account shall be credited with all Deferrals for the Participant. As soon as reasonably practicable after each Valuation Date, each Participant shall be notified of the value of his or her Account.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4.02    </w:t>
      </w:r>
      <w:r>
        <w:rPr>
          <w:rFonts w:ascii="Times New Roman;sans-serif" w:hAnsi="Times New Roman;sans-serif"/>
          <w:b w:val="false"/>
          <w:color w:val="000000"/>
          <w:sz w:val="24"/>
          <w:u w:val="single"/>
        </w:rPr>
        <w:t xml:space="preserve">Valuation of Account Prior to the Implementation of a Supplemental Plan </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Until the date designated by the Administrative Committee for implementation of a supplemental 401(k) Plan, as described in Section 4.03, interest shall be credited to each Participant’s Account as of each Valuation Date equal to the product of</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    the amount credited to the Participant’s Account as of the last preceding Valuation Date, less any distributions or withdrawals and plus one-half of Deferrals, if any, since the last preceding Valuation Date, multiplied by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    the applicable interest rate.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On each Valuation Date, each Participant’s Account will be credited with interest. The amount of interest will be derived from the prime interest rate published in The Wall Street Journal on the last business day coinciding with or next preceding the Valuation Date. Any prime rate up to 6% will be considered in full, and one-half of any prime rate over 6% will be considered; provided, however, that effective April 1, 2007, the interest rate will not exceed 120% of the long-term applicable federal rate (compounded quarterly), as published by the Internal Revenue Service for the applicable Plan Year. The amount credited will be a proration of the interest rate applied taking into consideration the period of time elapsed since the last Valuation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0520"/>
                <wp:effectExtent l="0" t="0" r="0" b="0"/>
                <wp:wrapNone/>
                <wp:docPr id="144" name="Frame1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4.03    </w:t>
      </w:r>
      <w:r>
        <w:rPr>
          <w:rFonts w:ascii="Times New Roman;sans-serif" w:hAnsi="Times New Roman;sans-serif"/>
          <w:b w:val="false"/>
          <w:color w:val="000000"/>
          <w:sz w:val="24"/>
          <w:u w:val="single"/>
        </w:rPr>
        <w:t xml:space="preserve">Investment Elections After Implementation of a Supplemental 401(k) Plan </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Effective upon the date selected for implementation of a supplemental 401(k) Plan by the Administrative Committee, each Participant shall make an investment election in the manner prescribed by the Administrative Committee, indicating the Participant’s election to have the value of his or her Account determined by crediting it with such earnings, gains and losses as would have accrued to the Participant’s Account had such funds actually been invested in one or more of the investment funds maintained in the 401(k) Plan. Such investment election may be changed from time to time by the Participant with respect to both past and future deferrals by following the procedures prescribed by the Committee.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If an investment fund is eliminated from the 401(k) Plan, the value of the portion of the Participant’s Account that the Participant previously had elected be determined with reference to such investment fund shall thereafter be determined in the manner determined by the Committee in its sole discretion.</w:t>
      </w:r>
    </w:p>
    <w:p>
      <w:pPr>
        <w:pStyle w:val="TextBody"/>
        <w:bidi w:val="0"/>
        <w:spacing w:lineRule="auto" w:line="240" w:before="480" w:after="240"/>
        <w:jc w:val="center"/>
        <w:rPr>
          <w:rFonts w:ascii="Times New Roman;sans-serif" w:hAnsi="Times New Roman;sans-serif"/>
          <w:b/>
          <w:color w:val="000000"/>
          <w:sz w:val="24"/>
        </w:rPr>
      </w:pPr>
      <w:r>
        <w:rPr>
          <w:rFonts w:ascii="Times New Roman;sans-serif" w:hAnsi="Times New Roman;sans-serif"/>
          <w:b/>
          <w:color w:val="000000"/>
          <w:sz w:val="24"/>
        </w:rPr>
        <w:t>ARTICLE V    </w:t>
        <w:br/>
        <w:br/>
        <w:t>PARTICIPANTS’ VESTED INTERESTS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5.01    </w:t>
      </w:r>
      <w:r>
        <w:rPr>
          <w:rFonts w:ascii="Times New Roman;sans-serif" w:hAnsi="Times New Roman;sans-serif"/>
          <w:b w:val="false"/>
          <w:color w:val="000000"/>
          <w:sz w:val="24"/>
          <w:u w:val="single"/>
        </w:rPr>
        <w:t>Vesting</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Each Participant shall always be 100% vested in the portion of his or her Account attributable to Deferrals and interest or earnings credited pursuant to Section 4. Notwithstanding anything to the contrary in this Article V, the vesting of shares subject to a Restricted Stock Unit award or to a Performance Share award granted to a participant shall always be subject to the vesting schedules and performance requirements set forth in the equity award’s applicable plan or agreement.</w:t>
      </w:r>
    </w:p>
    <w:p>
      <w:pPr>
        <w:pStyle w:val="TextBody"/>
        <w:bidi w:val="0"/>
        <w:spacing w:lineRule="auto" w:line="240" w:before="480" w:after="240"/>
        <w:jc w:val="center"/>
        <w:rPr>
          <w:rFonts w:ascii="Times New Roman;sans-serif" w:hAnsi="Times New Roman;sans-serif"/>
          <w:b/>
          <w:color w:val="000000"/>
          <w:sz w:val="24"/>
        </w:rPr>
      </w:pPr>
      <w:r>
        <w:rPr>
          <w:rFonts w:ascii="Times New Roman;sans-serif" w:hAnsi="Times New Roman;sans-serif"/>
          <w:b/>
          <w:color w:val="000000"/>
          <w:sz w:val="24"/>
        </w:rPr>
        <w:t>ARTICLE VI    </w:t>
        <w:br/>
        <w:br/>
        <w:t>DISTRIBUTION OF BENEFITS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6.01    </w:t>
      </w:r>
      <w:r>
        <w:rPr>
          <w:rFonts w:ascii="Times New Roman;sans-serif" w:hAnsi="Times New Roman;sans-serif"/>
          <w:b w:val="false"/>
          <w:color w:val="000000"/>
          <w:sz w:val="24"/>
          <w:u w:val="single"/>
        </w:rPr>
        <w:t>Distribution of Benefits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Except as otherwise provided in Article VI of the Plan, a Participant’s Account may not be distributed to a Participant or his or her Beneficiary before the dates chosen pursuant to the election made by the Participant.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Form of Distribution</w:t>
      </w:r>
      <w:r>
        <w:rPr>
          <w:rFonts w:ascii="Times New Roman;sans-serif" w:hAnsi="Times New Roman;sans-serif"/>
          <w:b w:val="false"/>
          <w:color w:val="000000"/>
          <w:sz w:val="24"/>
        </w:rPr>
        <w:t>.    A Participant will elect, in writing, on a form prescribed by the Administrative Committee, which of the distribution options described below will govern the payment of the Participant’s Account upon a Separation from Service. The Participant’s Account will be distributed to him (subject to the timing requirements outlined in paragraphs (b) - (e) below) on any of the following schedules: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    A single lump sum,</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    Four annual installments, or</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    Ten annual installments.</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0520"/>
                <wp:effectExtent l="0" t="0" r="0" b="0"/>
                <wp:wrapNone/>
                <wp:docPr id="145" name="Frame1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the Participant made no election at the time specified in Section 3.02, his or her benefit shall be paid as a single lump sum upon a Separation from Service. For purposes of this Plan, installment payments shall be treated as a single distribution under section 409A of the Code.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Time of Distribution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Separation from Service</w:t>
      </w:r>
      <w:r>
        <w:rPr>
          <w:rFonts w:ascii="Times New Roman;sans-serif" w:hAnsi="Times New Roman;sans-serif"/>
          <w:b w:val="false"/>
          <w:color w:val="000000"/>
          <w:sz w:val="24"/>
        </w:rPr>
        <w:t>. If a Participant Separates from Service, his or her Account shall be distributed in the form elected by the Participant pursuant to paragraph (a) above. Subject to the timing requirements of paragraphs (c), a Participant’s Account shall be distributed on the seventh month following his or her Separation from Service. The amount in the Participant’s Account shall be determined as of the Valuation Date that last precedes the date of distribution, plus Deferrals and less any withdrawals or distributions, if any, for the period from the last preceding Valuation Date to the date of distribution.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anything in this Article VI to the contrary, if a Participant elects to defer the receipt of Performance Shares or Restricted Stock Units granted prior to March 13, 2008, then such shares (including dividend equivalents credited to such shares) shall be distributed in the year in which the Participant elects; provided that such distribution shall not occur at any time prior to the five-year anniversary of the originally scheduled payment date of such shares; provided further that if the Participant experiences a Separation from Service at any time prior to such elected distribution date, the vested portion of any shares subject to such Performance Share award or Restricted Stock Unit award granted prior to March 13, 2008, shall be distributed on the seventh month following his or her Separation from Service.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Disability</w:t>
      </w:r>
      <w:r>
        <w:rPr>
          <w:rFonts w:ascii="Times New Roman;sans-serif" w:hAnsi="Times New Roman;sans-serif"/>
          <w:b w:val="false"/>
          <w:color w:val="000000"/>
          <w:sz w:val="24"/>
        </w:rPr>
        <w:t>. Effective January 1, 2007, if a Participant becomes Disabled, his or her Account shall be distributed or begin to be distributed, in the manner elected by the Participant pursuant to paragraph (a) above, as soon as administratively feasible, but no later than 90 days, after the Participant becomes Disabled. The amount in the Participant’s Account shall be determined as of the Valuation Date that last precedes the date of distribution, plus Deferrals and less any withdrawals or distributions, if any, for the period from the last preceding Valuation Date to the date of distribution.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Scheduled Withdrawal Date</w:t>
      </w:r>
      <w:r>
        <w:rPr>
          <w:rFonts w:ascii="Times New Roman;sans-serif" w:hAnsi="Times New Roman;sans-serif"/>
          <w:b w:val="false"/>
          <w:color w:val="000000"/>
          <w:sz w:val="24"/>
        </w:rPr>
        <w:t>. A Participant may elect to have all or a portion of his or her Account distributed to him or her on up to three Scheduled Withdrawal Dates, while such Participant is an employee.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timing requirements outlined in paragraphs (c) below, a Participant shall receive his or her distribution under this subparagraph (3) as soon as administratively feasible after the Scheduled Withdrawal Date. If a Participant elects a Scheduled Withdrawal Date, his or her Account valued as of the last Valuation Date preceding the elected Scheduled Withdrawal Date shall be distributed as elected in this subparagraph (3). Any subsequent Deferrals, including interest or earnings credited thereon, shall be distributed pursuant to subparagraph (1) above.</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0520"/>
                <wp:effectExtent l="0" t="0" r="0" b="0"/>
                <wp:wrapNone/>
                <wp:docPr id="146" name="Frame1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 election pursuant to this subparagraph (3), if a Participant Separates from Service prior to the Scheduled Withdrawal Date, the Participant’s Account shall be distributed pursuant to his or her election under subparagraph (1) above.</w:t>
      </w:r>
    </w:p>
    <w:p>
      <w:pPr>
        <w:pStyle w:val="TextBody"/>
        <w:bidi w:val="0"/>
        <w:spacing w:before="0" w:after="24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upon a distribution of a Participant’s Account in subparagraphs (1), (2) and (3) above, and after January 1, 2007 but prior to the implementation of a supplemental 401(k) Plan as described in Section 4.03, the Company shall credit to a Participant’s Account interest on the amount that is the difference of the value of the Participant’s Account as of the last Valuation Date preceding the scheduled distribution date. Interest shall be calculated using the principles set forth in Section 4.02.</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Changes to Distribution Elections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Participant may change his or her form of distribution of his or her Account upon a Separation from Service or Scheduled Withdrawal Date by submitting a form, as the Committee prescribes; provided that (1) any such change is not effective for 12 months and (2) the date of payment is at least five years subsequent to the originally scheduled date of payment, and (3) the form is accepted by the Committee, in its sole and absolute discretion. The change may be modified or revoked until twelve months prior to the time a Participant is originally scheduled to receive a payment, at which time such change shall become irrevocable. The last valid form accepted by the Committee shall govern the payout of a Participant’s Account, as applicable.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Distributions made pursuant to this paragraph (c) will be made as soon as administratively practicable, but no later than 90 days, after the newly scheduled date of distribution.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No Cessation of Distribution for Rehired Participants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if a Participant Separates from Service and is later rehired by an Employer, distributions shall not cease, but continue to be distributed as elected.</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6.02    </w:t>
      </w:r>
      <w:r>
        <w:rPr>
          <w:rFonts w:ascii="Times New Roman;sans-serif" w:hAnsi="Times New Roman;sans-serif"/>
          <w:b w:val="false"/>
          <w:color w:val="000000"/>
          <w:sz w:val="24"/>
          <w:u w:val="single"/>
        </w:rPr>
        <w:t>Unforeseeable Emergency Withdrawals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A Participant may withdraw up to 100% of the amount in his or her Deferral Account in the event of an unforeseeable emergency to the extent provided in this Section 6.02.</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For purposes of this Section 6.02, unforeseeable emergency means a severe financial hardship to the Participant resulting from a sudden and unexpected illness or accident of the Participant or a dependent (as defined in section 152(a) of the Code) of the Participant, loss of the Participant’s property due to casualty, or other similar extraordinary and unforeseeable circumstances arising as a result of events beyond the Participant’s control.</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The withdrawal under this Section 6.02 may not exceed the amount reasonably necessary to satisfy the financial need (including the amount of any federal, state or local income taxes or penalties reasonably anticipated to result from the withdrawal). The withdrawal may not be made to the extent the need may be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0520"/>
                <wp:effectExtent l="0" t="0" r="0" b="0"/>
                <wp:wrapNone/>
                <wp:docPr id="147" name="Frame1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satisfied (1) through reimbursement or compensation by insurance or otherwise, (2) by liquidation of the Participant’s assets, to the extent the liquidation of the assets would not itself cause severe financial hardship, or (3) by ceasing Deferrals under the Plan.</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    A Participant who wishes to withdraw any amount pursuant to this Section 6.02 must submit, on a form provided by the Administrative Committee, a written request by the Participant that states: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    The unforeseeable emergency for which the withdrawal is requested;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    The amount needed to satisfy the financial need, which amount may include any federal, state, or local income taxes or penalties reasonably anticipated to result from the withdrawal;</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    A representation that the need cannot be satisfied in any of the ways stated in the second sentence of paragraph (c);</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    The date the funds are required; and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(5)    Any other information the Administrative Committee deems necessary.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(e)    The Administrative Committee will determine if an unforeseeable emergency withdrawal will be allowed by applying the standards set forth in paragraphs (b) and (c).</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(f)    A withdrawal from a Participant’s Account under this Section 6.02 shall be paid in a lump sum.</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6.03    </w:t>
      </w:r>
      <w:r>
        <w:rPr>
          <w:rFonts w:ascii="Times New Roman;sans-serif" w:hAnsi="Times New Roman;sans-serif"/>
          <w:b w:val="false"/>
          <w:color w:val="000000"/>
          <w:sz w:val="24"/>
          <w:u w:val="single"/>
        </w:rPr>
        <w:t>Special Distribution Election on or before December 31, 2007</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Participants who are identified by the Administrative Committee, in its sole discretion, may make a special distribution election to receive a distribution of their Accounts in calendar year 2008 or later, provided that the distribution election is made at least twelve months in advance of the newly elected distribution date (and the previously scheduled distribution date, if any) and the election is made no later than December 31, 2007. An election made pursuant to this Section 6.03 shall be subject to any special administrative rules imposed by the Committee including rules intended to comply with section 409A of the Code. No election under this Section 6.03 shall (a) change the payment date of any distribution otherwise scheduled to be paid in 2007 or cause a payment to be paid in 2007, or (b) be permitted after December 31, 2007.</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6.04    </w:t>
      </w:r>
      <w:r>
        <w:rPr>
          <w:rFonts w:ascii="Times New Roman;sans-serif" w:hAnsi="Times New Roman;sans-serif"/>
          <w:b w:val="false"/>
          <w:color w:val="000000"/>
          <w:sz w:val="24"/>
          <w:u w:val="single"/>
        </w:rPr>
        <w:t>Prohibition on Acceleration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 other provision of the Plan to the contrary, no distribution will be made from the Plan that would constitute an impermissible acceleration of payment as defined in section 409A(a)(3) of the Code and the regulations promulgated thereunder.</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6.05    </w:t>
      </w:r>
      <w:r>
        <w:rPr>
          <w:rFonts w:ascii="Times New Roman;sans-serif" w:hAnsi="Times New Roman;sans-serif"/>
          <w:b w:val="false"/>
          <w:color w:val="000000"/>
          <w:sz w:val="24"/>
          <w:u w:val="single"/>
        </w:rPr>
        <w:t>Distributions to Key Employees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any other provision of the Plan to the contrary, distributions to a Key Employee may not be made before the date that is six months after the date of his or her Separation from Service.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0520"/>
                <wp:effectExtent l="0" t="0" r="0" b="0"/>
                <wp:wrapNone/>
                <wp:docPr id="148" name="Frame1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480" w:after="240"/>
        <w:ind w:left="0" w:right="0" w:firstLine="187"/>
        <w:jc w:val="center"/>
        <w:rPr>
          <w:rFonts w:ascii="Times New Roman;sans-serif" w:hAnsi="Times New Roman;sans-serif"/>
          <w:b/>
          <w:color w:val="000000"/>
          <w:sz w:val="24"/>
        </w:rPr>
      </w:pPr>
      <w:r>
        <w:rPr>
          <w:rFonts w:ascii="Times New Roman;sans-serif" w:hAnsi="Times New Roman;sans-serif"/>
          <w:b/>
          <w:color w:val="000000"/>
          <w:sz w:val="24"/>
        </w:rPr>
        <w:t>ARTICLE VII    </w:t>
        <w:br/>
        <w:br/>
        <w:t>DEATH</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7.01    </w:t>
      </w:r>
      <w:r>
        <w:rPr>
          <w:rFonts w:ascii="Times New Roman;sans-serif" w:hAnsi="Times New Roman;sans-serif"/>
          <w:b w:val="false"/>
          <w:color w:val="000000"/>
          <w:sz w:val="24"/>
          <w:u w:val="single"/>
        </w:rPr>
        <w:t>Death</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a Participant dies before distribution of his or her Account has begun or been completed, the remaining portion of the Participant’s Account shall be payable in a single lump sum to the Participant’s Beneficiary no later than 90 days after the date of the Participant’s death. The value of the Participant’s Account shall be determined in accordance with the rules set forth in Section 4.</w:t>
      </w:r>
    </w:p>
    <w:p>
      <w:pPr>
        <w:pStyle w:val="TextBody"/>
        <w:bidi w:val="0"/>
        <w:spacing w:lineRule="auto" w:line="240" w:before="480" w:after="240"/>
        <w:jc w:val="center"/>
        <w:rPr>
          <w:rFonts w:ascii="Times New Roman;sans-serif" w:hAnsi="Times New Roman;sans-serif"/>
          <w:b/>
          <w:color w:val="000000"/>
          <w:sz w:val="24"/>
        </w:rPr>
      </w:pPr>
      <w:r>
        <w:rPr>
          <w:rFonts w:ascii="Times New Roman;sans-serif" w:hAnsi="Times New Roman;sans-serif"/>
          <w:b/>
          <w:color w:val="000000"/>
          <w:sz w:val="24"/>
        </w:rPr>
        <w:t>ARTICLE VIII    </w:t>
        <w:br/>
        <w:br/>
        <w:t>THE ADMINISTRATIVE COMMITTEE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8.01    </w:t>
      </w:r>
      <w:r>
        <w:rPr>
          <w:rFonts w:ascii="Times New Roman;sans-serif" w:hAnsi="Times New Roman;sans-serif"/>
          <w:b w:val="false"/>
          <w:color w:val="000000"/>
          <w:sz w:val="24"/>
          <w:u w:val="single"/>
        </w:rPr>
        <w:t>Appointment of Administrative Committee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designate the persons to serve as the Administrative Committee to manage and administer this Plan in accordance with the provisions hereof, each member to serve for such term as the Company may designate or until a successor member has been appointed or until removed by the Company. Vacancies due to resignation, death, removal or other cause shall be filled by the Company. In the event no successor is appointed, the remaining member(s) or, if none, the Board will function as the Administrative Committee until vacancies have been filled. Members shall serve without compensation for Committee service. All reasonable expenses of the Committee shall be paid by the Company.</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8.02    </w:t>
      </w:r>
      <w:r>
        <w:rPr>
          <w:rFonts w:ascii="Times New Roman;sans-serif" w:hAnsi="Times New Roman;sans-serif"/>
          <w:b w:val="false"/>
          <w:color w:val="000000"/>
          <w:sz w:val="24"/>
          <w:u w:val="single"/>
        </w:rPr>
        <w:t>Committee Operating Rules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shall act by agreement of a majority of its members, consistent with its charter and the Company’s bylaws, either by vote at a meeting or in writing without a meeting. The signature of one member of the Administrative Committee may be accepted by any interested party as conclusive evidence that the Administrative Committee has duly authorized the action therein set forth. No person receiving documents or written instructions and acting in good faith and in reliance thereon shall be obliged to ascertain the validity of such action under the terms of this Agreement. A member of the Committee, who is also a Participant hereunder, shall not vote or act upon any matter relating solely to him. In the event of a deadlock or other situation which prevents agreement of a majority of the Committee members, the matter shall be decided by the Compensation Committee of the Board.</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0520"/>
                <wp:effectExtent l="0" t="0" r="0" b="0"/>
                <wp:wrapNone/>
                <wp:docPr id="149" name="Frame1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8.03    </w:t>
      </w:r>
      <w:r>
        <w:rPr>
          <w:rFonts w:ascii="Times New Roman;sans-serif" w:hAnsi="Times New Roman;sans-serif"/>
          <w:b w:val="false"/>
          <w:color w:val="000000"/>
          <w:sz w:val="24"/>
          <w:u w:val="single"/>
        </w:rPr>
        <w:t>Allocation and Delegation of Responsibilities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Committee may engage agents to assist in carrying out the Administrative Committee’s functions hereunder. The Committee shall administer the Plan and shall have full discretionary authority to construe this Plan and to determine all questions of interpretation or policy in a manner not inconsistent with the Plan and the Administrative Committee’s construction or determination in good faith shall be final and conclusive and binding on all parties including but not limited to the Employer and any Participant or Beneficiary, except as otherwise provided by law. The Administrative Committee may correct any defect, supply any omission, or reconcile any inconsistency in such manner and to such extent as shall be deemed necessary or advisable to carry out the purpose of the Plan, provided, however, that any interpretation or construction shall be done in a nondiscriminatory manner and shall be consistent with the intent that the Plan shall be for the benefit of a select group of management or highly compensated employees. The Administrative Committee shall have all powers necessary or appropriate to accomplish its duties under this Plan.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8.04    </w:t>
      </w:r>
      <w:r>
        <w:rPr>
          <w:rFonts w:ascii="Times New Roman;sans-serif" w:hAnsi="Times New Roman;sans-serif"/>
          <w:b w:val="false"/>
          <w:color w:val="000000"/>
          <w:sz w:val="24"/>
          <w:u w:val="single"/>
        </w:rPr>
        <w:t>Duties and Responsibilities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Committee shall be charged with the duties of the general administration of the Plan, including but not limited to, the following:</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To determine all questions relating to the eligibility of employees to participate in or remain a Participant hereunder;</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To maintain all the necessary records for the administration of the Plan;</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(c)    To interpret the provisions of the Plan and to make and publish such rules for regulation of the Plan as are not inconsistent with the terms hereof;</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(d)    To make any adjustments in the allocations to Accounts under the Plan necessary to comply with any provision of law;</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(e)    To compute and certify to the Employer initially and from time to time the sums of money necessary to be contributed to the trust; and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(f)    To advise, counsel and assist any Participant regarding any rights, benefits or elections available under the Plan.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Committee shall also be responsible for preparing and filing such annual disclosure reports as may be required by law.</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Whenever it is determined by the Administrative Committee to be in the best interest of the Plan and its Participants and Beneficiaries, the Administrative Committee may request such variances, deferrals, extensions, or exemptions or make such elections for the Plan as may be available under the law.</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8.05    </w:t>
      </w:r>
      <w:r>
        <w:rPr>
          <w:rFonts w:ascii="Times New Roman;sans-serif" w:hAnsi="Times New Roman;sans-serif"/>
          <w:b w:val="false"/>
          <w:color w:val="000000"/>
          <w:sz w:val="24"/>
          <w:u w:val="single"/>
        </w:rPr>
        <w:t>Expenses and Compensation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expenses necessary to administer the Plan and the expenses incurred by the Administrative Committee shall be paid by the Employer.</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8.06    </w:t>
      </w:r>
      <w:r>
        <w:rPr>
          <w:rFonts w:ascii="Times New Roman;sans-serif" w:hAnsi="Times New Roman;sans-serif"/>
          <w:b w:val="false"/>
          <w:color w:val="000000"/>
          <w:sz w:val="24"/>
          <w:u w:val="single"/>
        </w:rPr>
        <w:t>Information from Employer</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0520"/>
                <wp:effectExtent l="0" t="0" r="0" b="0"/>
                <wp:wrapNone/>
                <wp:docPr id="150" name="Frame1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Employer shall supply full and timely information to the Administrative Committee on all matters relating to the Compensation of all Participants, their continuous regular employment, their retirement, death, the fact of their Disability or Separation from Service, and such other pertinent facts as the Administrative Committee may require.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8.07    </w:t>
      </w:r>
      <w:r>
        <w:rPr>
          <w:rFonts w:ascii="Times New Roman;sans-serif" w:hAnsi="Times New Roman;sans-serif"/>
          <w:b w:val="false"/>
          <w:color w:val="000000"/>
          <w:sz w:val="24"/>
          <w:u w:val="single"/>
        </w:rPr>
        <w:t>Administrative Committee; Signature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Committee shall act by agreement of a majority of its members, either by vote at a meeting or in writing without a meeting. The signature of one member of the Administrative Committee may be accepted by any interested party as conclusive evidence that the Administrative Committee has duly authorized the action therein set forth. No person receiving documents or written instructions and acting in good faith and in reliance thereon shall be obliged to ascertain the validity of such action under the terms of this Agreement. </w:t>
      </w:r>
    </w:p>
    <w:p>
      <w:pPr>
        <w:pStyle w:val="TextBody"/>
        <w:bidi w:val="0"/>
        <w:spacing w:lineRule="auto" w:line="240" w:before="480" w:after="240"/>
        <w:jc w:val="center"/>
        <w:rPr/>
      </w:pPr>
      <w:r>
        <w:rPr>
          <w:rFonts w:ascii="Times New Roman;sans-serif" w:hAnsi="Times New Roman;sans-serif"/>
          <w:b/>
          <w:color w:val="000000"/>
          <w:sz w:val="24"/>
        </w:rPr>
        <w:t>ARTICLE IX    </w:t>
        <w:br/>
        <w:br/>
        <w:t>PARTICIPANTS’ AND COMPANY’S</w:t>
      </w:r>
      <w:r>
        <w:rPr>
          <w:color w:val="0000FF"/>
        </w:rPr>
        <w:t xml:space="preserve"> </w:t>
      </w:r>
      <w:r>
        <w:rPr>
          <w:rFonts w:ascii="Times New Roman;sans-serif" w:hAnsi="Times New Roman;sans-serif"/>
          <w:b/>
          <w:color w:val="000000"/>
          <w:sz w:val="24"/>
        </w:rPr>
        <w:t>RIGHTS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9.01    </w:t>
      </w:r>
      <w:r>
        <w:rPr>
          <w:rFonts w:ascii="Times New Roman;sans-serif" w:hAnsi="Times New Roman;sans-serif"/>
          <w:b w:val="false"/>
          <w:color w:val="000000"/>
          <w:sz w:val="24"/>
          <w:u w:val="single"/>
        </w:rPr>
        <w:t>Special Disclosures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furnish at least every six months each Participant or Beneficiary with a written statement, based on the latest available information, indicating his or her total benefits accrued.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Upon a Separation from Service, a Participant in the Plan is entitled to a written explanation of and accounting for his or her Account and of any applicable options regarding the disposition of such Account.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9.02    </w:t>
      </w:r>
      <w:r>
        <w:rPr>
          <w:rFonts w:ascii="Times New Roman;sans-serif" w:hAnsi="Times New Roman;sans-serif"/>
          <w:b w:val="false"/>
          <w:color w:val="000000"/>
          <w:sz w:val="24"/>
          <w:u w:val="single"/>
        </w:rPr>
        <w:t>Filing a Claim for Benefits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Participant or Beneficiary or the Employer acting in his or her behalf shall notify the Administrative Committee of a claim for benefits under the Plan. Such request may be in any form acceptable to the Administrative Committee and shall set forth the basis of such claim and shall authorize the Administrative Committee to conduct such examinations as may be necessary to determine the validity of the claim and to take such steps as may be necessary to facilitate the payment of any benefits to which the Participant or Beneficiary may be entitled under the terms of the Plan. The Administrative Committee shall review the claim and may require additional information if necessary to process the claim. The Administrative Committee shall issue its decision, in writing, no later than 90 days after the date the claim is received, unless circumstances require an extension of time. If such an extension is required, written notice of the extension shall be furnished to the person making the claim within the initial 90-day period, and the notice shall state the circumstances requiring the extension and the date by which the Administrative Committee expects to reach a decision on the claim. In no event shall the extension exceed a period of 90 days from the end of the initial period.</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9.03    </w:t>
      </w:r>
      <w:r>
        <w:rPr>
          <w:rFonts w:ascii="Times New Roman;sans-serif" w:hAnsi="Times New Roman;sans-serif"/>
          <w:b w:val="false"/>
          <w:color w:val="000000"/>
          <w:sz w:val="24"/>
          <w:u w:val="single"/>
        </w:rPr>
        <w:t>Denial of a Claim</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Whenever a claim for benefits by any Participant or Beneficiary has been denied, in whole or in part, a written notice of the denial will be provided to the Participant or Beneficiary within the period specified in Section 9.02 above. The notice shall set forth, in a manner calculated to be understood by the claimant, (i) the specific reason or reasons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50520"/>
                <wp:effectExtent l="0" t="0" r="0" b="0"/>
                <wp:wrapNone/>
                <wp:docPr id="151" name="Frame1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the denial; (ii) reference to the specific Plan provisions upon which the denial is based; (iii) a description of any additional material or information necessary for the claimant to perfect the claim and an explanation of why such information is necessary; and (iv) an explanation of the Plan’s appeal procedures and the time limits applicable to such procedures, including a statement of the claimant’s right to bring a civil action under Section 502(a) of ERISA following an adverse benefit determination on review.</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9.04    Recoupment in the Event of an Accounting Restatement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the ABM Industries Incorporated Amended and Restated Recoupment Policy (as may be further amended and restated hereafter, the “Recoupment Policy”) is applicable to the Participant, it creates additional rights for the Company with respect to Compensation, Performance Shares and Restricted Stock Units and other applicable compensation subject to Deferrals made under this Plan. Notwithstanding any provisions in this Plan to the contrary, any Compensation, Performance Shares and Restricted Stock Units deferred under this Plan, including any notional amounts, interest or earnings relating thereto, will be subject to potential mandatory cancellation, forfeiture and/or repayment by the Participant to the Company to the extent the Participant is, or in the future becomes, subject to (a) any Company clawback or recoupment policy, including the Recoupment Policy, and any other policies that are adopted to comply with the requirements of any applicable laws, rules, regulations, stock exchange listing standards or otherwise or (b)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deferring Compensation, Performance Shares and/or Restricted Stock Units under this Plan, the Participant consents to be bound by the terms of the Recoupment Policy, if applicable, and agrees and acknowledges that the Participant is obligated to cooperate with, and provide any and all assistance necessary to, the Company in its efforts to recover or recoup the Compensation, Performance Shares, Restricted Stock Units or any other applicable compensation, paid or payable under this Plan,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Participant of any such amounts, including from the Participant’s accounts or from any other compensation, to the extent permissible under Section 409A of the Code.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9.05    </w:t>
      </w:r>
      <w:r>
        <w:rPr>
          <w:rFonts w:ascii="Times New Roman;sans-serif" w:hAnsi="Times New Roman;sans-serif"/>
          <w:b w:val="false"/>
          <w:color w:val="000000"/>
          <w:sz w:val="24"/>
          <w:u w:val="single"/>
        </w:rPr>
        <w:t>Limitation of Rights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Participation hereunder shall not grant any Participant the right to be retained in the service of the Employer or any rights or interest other than those specifically herein set forth.</w:t>
      </w:r>
    </w:p>
    <w:p>
      <w:pPr>
        <w:pStyle w:val="TextBody"/>
        <w:bidi w:val="0"/>
        <w:spacing w:lineRule="auto" w:line="240" w:before="480" w:after="240"/>
        <w:jc w:val="center"/>
        <w:rPr>
          <w:rFonts w:ascii="Times New Roman;sans-serif" w:hAnsi="Times New Roman;sans-serif"/>
          <w:b/>
          <w:color w:val="000000"/>
          <w:sz w:val="24"/>
        </w:rPr>
      </w:pPr>
      <w:r>
        <w:rPr>
          <w:rFonts w:ascii="Times New Roman;sans-serif" w:hAnsi="Times New Roman;sans-serif"/>
          <w:b/>
          <w:color w:val="000000"/>
          <w:sz w:val="24"/>
        </w:rPr>
        <w:t>ARTICLE X    </w:t>
        <w:br/>
        <w:br/>
        <w:t>AMENDMENT AND TERMINATION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10.01    </w:t>
      </w:r>
      <w:r>
        <w:rPr>
          <w:rFonts w:ascii="Times New Roman;sans-serif" w:hAnsi="Times New Roman;sans-serif"/>
          <w:b w:val="false"/>
          <w:color w:val="000000"/>
          <w:sz w:val="24"/>
          <w:u w:val="single"/>
        </w:rPr>
        <w:t>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50520"/>
                <wp:effectExtent l="0" t="0" r="0" b="0"/>
                <wp:wrapNone/>
                <wp:docPr id="152" name="Frame1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Board may at any time and from time to time amend this Plan in whole or in part (including retroactively). The Board shall promptly deliver to the Administrative Committee a written copy of the document amending the Plan. The Board shall not have the right to amend the Plan retroactively in such a manner as to deprive any Participant or Beneficiary of any benefit to which he or she was entitled under the Plan by reason of Deferrals credited prior to the amendment.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may amend the Plan to bring the Plan into compliance with applicable law (including changes required in order to avoid penalty taxes applied to Participants under Section 409A of the Code), to admit additional employees to the Plan in connection with the acquisition of assets or additional business operations by the Employer, or to make such other changes as the Committee deems desirable; provided that such changes do not materially increase the cost of the Plan to the Employer or take the Plan out of compliance with applicable law, and provided further that the Committee may not amend this Article X.</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10.02    </w:t>
      </w:r>
      <w:r>
        <w:rPr>
          <w:rFonts w:ascii="Times New Roman;sans-serif" w:hAnsi="Times New Roman;sans-serif"/>
          <w:b w:val="false"/>
          <w:color w:val="000000"/>
          <w:sz w:val="24"/>
          <w:u w:val="single"/>
        </w:rPr>
        <w:t>Termination of the Plan</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xml:space="preserve">. The Board may terminate the Plan at any time and in the Board’s discretion the Accounts of Participants may be distributed within the period beginning twelve months after the date the Plan was terminated and ending twenty-four months after the date the Plan was terminated. If the Plan is terminated and Accounts are distributed, the Company shall terminate all account balance non-qualified deferred compensation plans with respect to all participants and shall not adopt a new account balance non-qualified deferred compensation plan for at least three years after the date the Plan was terminated. </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10.03    </w:t>
      </w:r>
      <w:r>
        <w:rPr>
          <w:rFonts w:ascii="Times New Roman;sans-serif" w:hAnsi="Times New Roman;sans-serif"/>
          <w:b w:val="false"/>
          <w:color w:val="000000"/>
          <w:sz w:val="24"/>
          <w:u w:val="single"/>
        </w:rPr>
        <w:t>Termination upon a Change in Control</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shall be deemed to have occurred upon a change in the ownership or effective control of the Company or a change in the ownership of a substantial portion of the assets of the Company as defined in the regulations promulgated under section 409A of the Code.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Discretionary Distribution of Accounts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Board, in its discretion may terminate the Plan 30 days prior to, or twelve months following, a Change in Control and distribute the Accounts of the Participants within the 12-month period following the termination of the Plan. If the Plan is terminated and Accounts are distributed, the Company shall terminate all substantially similar non-qualified deferred compensation plans sponsored by the Company and all of the benefits of the terminated plans shall be distributed within twelve months following the termination of the plans.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10.04    </w:t>
      </w:r>
      <w:r>
        <w:rPr>
          <w:rFonts w:ascii="Times New Roman;sans-serif" w:hAnsi="Times New Roman;sans-serif"/>
          <w:b w:val="false"/>
          <w:color w:val="000000"/>
          <w:sz w:val="24"/>
          <w:u w:val="single"/>
        </w:rPr>
        <w:t>Termination upon Dissolution or Bankruptcy</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Board, in its discretion, may terminate the Plan upon a corporate dissolution of the Company that is taxed under section 331 of the Code or with the approval of a bankruptcy court pursuant to 11 U.S.C. section 503(b)(1)(A), provided that the Participants’ Accounts are distributed and included in the gross income of the Participants by the latest of (i) the calendar year in which the Plan terminates or (ii) the first calendar year in which payment of the Accounts is administratively practicable.</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50520"/>
                <wp:effectExtent l="0" t="0" r="0" b="0"/>
                <wp:wrapNone/>
                <wp:docPr id="153" name="Frame1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480" w:after="240"/>
        <w:jc w:val="center"/>
        <w:rPr>
          <w:rFonts w:ascii="Times New Roman;sans-serif" w:hAnsi="Times New Roman;sans-serif"/>
          <w:b/>
          <w:color w:val="000000"/>
          <w:sz w:val="24"/>
        </w:rPr>
      </w:pPr>
      <w:r>
        <w:rPr>
          <w:rFonts w:ascii="Times New Roman;sans-serif" w:hAnsi="Times New Roman;sans-serif"/>
          <w:b/>
          <w:color w:val="000000"/>
          <w:sz w:val="24"/>
        </w:rPr>
        <w:t>ARTICLE XI    </w:t>
        <w:br/>
        <w:br/>
        <w:t>MISCELLANEOUS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11.01    </w:t>
      </w:r>
      <w:r>
        <w:rPr>
          <w:rFonts w:ascii="Times New Roman;sans-serif" w:hAnsi="Times New Roman;sans-serif"/>
          <w:b w:val="false"/>
          <w:color w:val="000000"/>
          <w:sz w:val="24"/>
          <w:u w:val="single"/>
        </w:rPr>
        <w:t>Execution of Receipts and Releases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payment to any Participant or Beneficiary, in accordance with the provisions of this Plan, shall, to the extent thereof, be in full satisfaction of all claims hereunder against the Plan, and the Administrative Committee may require such Participant or Beneficiary, as a condition precedent to such payment, to execute a receipt and release therefor in such form as the Administrative Committee shall determine.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11.02    </w:t>
      </w:r>
      <w:r>
        <w:rPr>
          <w:rFonts w:ascii="Times New Roman;sans-serif" w:hAnsi="Times New Roman;sans-serif"/>
          <w:b w:val="false"/>
          <w:color w:val="000000"/>
          <w:sz w:val="24"/>
          <w:u w:val="single"/>
        </w:rPr>
        <w:t>Notice and Unclaimed Benefits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Each Participant and Beneficiary must file with the Employer from time to time in writing his or her post office address and each change of post office address. Any communication, statement, or notice addressed to a Participant or Beneficiary at his or her last post office address filed with the Employer (or if no address was filed with the Employer, then at his or her last post office address shown on his or her “Employer’s Records”) will be binding on the Participant and his or her Beneficiary for all purposes of the Plan. Neither the Employer, Administrative Committee, nor any insurance company providing annuity contracts under the Plan shall be obliged to search for or ascertain the whereabouts of any Participant or Beneficiary. For the purpose of this Section, “Employer Records” means the payroll records maintained by an Employer. Such records shall be conclusive, unless shown to the Employer’s satisfaction to be incorrect.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shall notify any Participant or Beneficiary when a distribution is required under the Plan. The Committee may also request the Social Security Administration to notify the Participant or Beneficiary in accordance with any procedures the Administration has established for this purpose. In the event that the Participant or Beneficiary shall fail to respond to any notice from the Committee, the amount in his or her Account shall be forfeited.</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11.03    </w:t>
      </w:r>
      <w:r>
        <w:rPr>
          <w:rFonts w:ascii="Times New Roman;sans-serif" w:hAnsi="Times New Roman;sans-serif"/>
          <w:b w:val="false"/>
          <w:color w:val="000000"/>
          <w:sz w:val="24"/>
          <w:u w:val="single"/>
        </w:rPr>
        <w:t>Non-Alienation of Benefits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Except in the case of a qualified domestic relations order, as defined in section 414(p) of the Code: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No Participant or Beneficiary, and no creditor of a Participant or Beneficiary shall have any right to assign, pledge, sell, hypothecate, anticipate or in any way create a lien upon his or her benefits under the Plan by operation of law or otherwise, and any attempt to do so shall be void; nor shall any such benefits in any manner be liable for or subject to the debts, contracts, liabilities, engagements or torts of the person entitled to such benefits.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No interest in the Plan shall be subject to assignment or transfer or otherwise be alienable, either by voluntary or involuntary act or by operation of law or equity, or subject to attachment, execution, garnishment, sequestration, levy or other seizure under any legal, equitable or other process, or be liable in any way for the debts or defaults of Participants and Beneficiaries.</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11.04    </w:t>
      </w:r>
      <w:r>
        <w:rPr>
          <w:rFonts w:ascii="Times New Roman;sans-serif" w:hAnsi="Times New Roman;sans-serif"/>
          <w:b w:val="false"/>
          <w:color w:val="000000"/>
          <w:sz w:val="24"/>
          <w:u w:val="single"/>
        </w:rPr>
        <w:t>Loans to Participants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Participant may not receive a loan from the Plan of any portion of his or her Account.</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50520"/>
                <wp:effectExtent l="0" t="0" r="0" b="0"/>
                <wp:wrapNone/>
                <wp:docPr id="154" name="Frame1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11.05    </w:t>
      </w:r>
      <w:r>
        <w:rPr>
          <w:rFonts w:ascii="Times New Roman;sans-serif" w:hAnsi="Times New Roman;sans-serif"/>
          <w:b w:val="false"/>
          <w:color w:val="000000"/>
          <w:sz w:val="24"/>
          <w:u w:val="single"/>
        </w:rPr>
        <w:t>Benefits Payable to Incompetents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Each individual receiving benefit payments under the Plan shall be conclusively presumed to have been legally competent until the date upon which the Administrative Committee shall have received written notice in the form and manner acceptable to it that such individual is an incompetent for whom a guardian or other person legally vested with his or her care shall have been appointed. From and after the date of receipt of such notice by the Administrative Committee, all future benefit payments to which such individual is entitled under the Plan shall be payable to his or her guardian or other person legally vested with his or her care, until such time as the Administrative Committee shall be furnished with evidence satisfactory to it that such individual is legally competent.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11.06    </w:t>
      </w:r>
      <w:r>
        <w:rPr>
          <w:rFonts w:ascii="Times New Roman;sans-serif" w:hAnsi="Times New Roman;sans-serif"/>
          <w:b w:val="false"/>
          <w:color w:val="000000"/>
          <w:sz w:val="24"/>
          <w:u w:val="single"/>
        </w:rPr>
        <w:t>Applicable Law</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Plan shall be governed and construed under Federal laws, the laws of the State of California and, to the extent applicable, ERISA and regulations thereunder.</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11.07    </w:t>
      </w:r>
      <w:r>
        <w:rPr>
          <w:rFonts w:ascii="Times New Roman;sans-serif" w:hAnsi="Times New Roman;sans-serif"/>
          <w:b w:val="false"/>
          <w:color w:val="000000"/>
          <w:sz w:val="24"/>
          <w:u w:val="single"/>
        </w:rPr>
        <w:t>Headings as Guide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headings of this Plan are inserted for convenience of reference only and are not to be considered in construction of the provisions hereof.</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11.08    </w:t>
      </w:r>
      <w:r>
        <w:rPr>
          <w:rFonts w:ascii="Times New Roman;sans-serif" w:hAnsi="Times New Roman;sans-serif"/>
          <w:b w:val="false"/>
          <w:color w:val="000000"/>
          <w:sz w:val="24"/>
          <w:u w:val="single"/>
        </w:rPr>
        <w:t>Pronouns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When necessary to the meaning hereof, either the masculine or the neuter pronoun shall be deemed to include the masculine, the feminine, and the neuter, and the singular shall be deemed to include the plural.</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11.09    </w:t>
      </w:r>
      <w:r>
        <w:rPr>
          <w:rFonts w:ascii="Times New Roman;sans-serif" w:hAnsi="Times New Roman;sans-serif"/>
          <w:b w:val="false"/>
          <w:color w:val="000000"/>
          <w:sz w:val="24"/>
          <w:u w:val="single"/>
        </w:rPr>
        <w:t>Reference to Laws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reference to any section or regulation under the Code or ERISA or to any other statute or law shall be deemed to include any successor law of similar import.</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11.10    </w:t>
      </w:r>
      <w:r>
        <w:rPr>
          <w:rFonts w:ascii="Times New Roman;sans-serif" w:hAnsi="Times New Roman;sans-serif"/>
          <w:b w:val="false"/>
          <w:color w:val="000000"/>
          <w:sz w:val="24"/>
          <w:u w:val="single"/>
        </w:rPr>
        <w:t>Agent Designated for Service of Process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designated person upon whom service of process may be made in any action involving the Plan shall be any current member of the Administrative Committee.</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11.11    </w:t>
      </w:r>
      <w:r>
        <w:rPr>
          <w:rFonts w:ascii="Times New Roman;sans-serif" w:hAnsi="Times New Roman;sans-serif"/>
          <w:b w:val="false"/>
          <w:color w:val="000000"/>
          <w:sz w:val="24"/>
          <w:u w:val="single"/>
        </w:rPr>
        <w:t>Participant’s Rights Unsecured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right of the Participant or his or her designated Beneficiary to receive a distribution hereunder shall be an unsecured claim against the general assets of the Company, and neither the Participant nor his or her designated Beneficiary shall have any rights in or against any amount credited to his or her Account or any other specific assets of the Company. All amounts credited to an Account shall constitute general assets of the Company and may be disposed of by the Company at such time and for such purposes as it may deem appropriate. An Account may not be encumbered or assigned by a Participant or any Beneficiary, as provided in Section 11.03.</w:t>
      </w:r>
    </w:p>
    <w:p>
      <w:pPr>
        <w:pStyle w:val="TextBody"/>
        <w:bidi w:val="0"/>
        <w:spacing w:lineRule="auto" w:line="240" w:before="0" w:after="240"/>
        <w:jc w:val="both"/>
        <w:rPr/>
      </w:pPr>
      <w:r>
        <w:rPr>
          <w:rFonts w:ascii="Times New Roman;sans-serif" w:hAnsi="Times New Roman;sans-serif"/>
          <w:b w:val="false"/>
          <w:color w:val="000000"/>
          <w:sz w:val="24"/>
        </w:rPr>
        <w:t>Executed and effective on this 27</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October, 2023.</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50520"/>
                <wp:effectExtent l="0" t="0" r="0" b="0"/>
                <wp:wrapNone/>
                <wp:docPr id="155" name="Frame1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ABM INDUSTRIES INCORPORATED</w:t>
      </w:r>
    </w:p>
    <w:p>
      <w:pPr>
        <w:pStyle w:val="TextBody"/>
        <w:bidi w:val="0"/>
        <w:spacing w:lineRule="auto" w:line="240" w:before="0" w:after="480"/>
        <w:jc w:val="left"/>
        <w:rPr/>
      </w:pPr>
      <w:r>
        <w:rPr>
          <w:rFonts w:ascii="Times New Roman;sans-serif" w:hAnsi="Times New Roman;sans-serif"/>
          <w:b w:val="false"/>
          <w:color w:val="000000"/>
          <w:sz w:val="24"/>
        </w:rPr>
        <w:t>By:_</w:t>
      </w:r>
      <w:r>
        <w:rPr>
          <w:rFonts w:ascii="Times New Roman;sans-serif" w:hAnsi="Times New Roman;sans-serif"/>
          <w:b w:val="false"/>
          <w:color w:val="000000"/>
          <w:sz w:val="24"/>
          <w:u w:val="single"/>
        </w:rPr>
        <w:t>/s/ Raul Valentin</w:t>
      </w:r>
      <w:r>
        <w:rPr>
          <w:rFonts w:ascii="Times New Roman;sans-serif" w:hAnsi="Times New Roman;sans-serif"/>
          <w:b w:val="false"/>
          <w:color w:val="000000"/>
          <w:sz w:val="24"/>
        </w:rPr>
        <w:t>_______________________</w:t>
        <w:br/>
        <w:t>Raul Valentin</w:t>
        <w:br/>
        <w:t>Executive Vice President and Chief Human</w:t>
        <w:br/>
        <w:t>Resources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50520"/>
                <wp:effectExtent l="0" t="0" r="0" b="0"/>
                <wp:wrapNone/>
                <wp:docPr id="156" name="Frame1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right"/>
        <w:rPr>
          <w:rFonts w:ascii="Times New Roman;sans-serif" w:hAnsi="Times New Roman;sans-serif"/>
          <w:b/>
          <w:color w:val="000000"/>
          <w:sz w:val="24"/>
        </w:rPr>
      </w:pPr>
      <w:r>
        <w:rPr>
          <w:rFonts w:ascii="Times New Roman;sans-serif" w:hAnsi="Times New Roman;sans-serif"/>
          <w:b/>
          <w:color w:val="000000"/>
          <w:sz w:val="24"/>
        </w:rPr>
        <w:t>Exhibit 21.1</w: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SUBSIDIARIES OF ABM INDUSTRIES INCORPORATED</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subsidiaries of the company as of October 31, 2023, omitting subsidiaries which, considered in the aggregate, would not constitute a significant subsidiary.</w:t>
      </w:r>
    </w:p>
    <w:p>
      <w:pPr>
        <w:pStyle w:val="TextBody"/>
        <w:bidi w:val="0"/>
        <w:spacing w:before="0" w:after="140"/>
        <w:jc w:val="left"/>
        <w:rPr/>
      </w:pPr>
      <w:r>
        <w:rPr/>
      </w:r>
    </w:p>
    <w:tbl>
      <w:tblPr>
        <w:tblW w:w="8396" w:type="dxa"/>
        <w:jc w:val="left"/>
        <w:tblInd w:w="0" w:type="dxa"/>
        <w:tblLayout w:type="fixed"/>
        <w:tblCellMar>
          <w:top w:w="28" w:type="dxa"/>
          <w:left w:w="28" w:type="dxa"/>
          <w:bottom w:w="28" w:type="dxa"/>
          <w:right w:w="28" w:type="dxa"/>
        </w:tblCellMar>
      </w:tblPr>
      <w:tblGrid>
        <w:gridCol w:w="628"/>
        <w:gridCol w:w="554"/>
        <w:gridCol w:w="554"/>
        <w:gridCol w:w="1192"/>
        <w:gridCol w:w="1192"/>
        <w:gridCol w:w="1201"/>
        <w:gridCol w:w="899"/>
        <w:gridCol w:w="899"/>
        <w:gridCol w:w="1277"/>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532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Company</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Where Incorporated or Organized</w:t>
            </w:r>
          </w:p>
        </w:tc>
      </w:tr>
      <w:tr>
        <w:trPr/>
        <w:tc>
          <w:tcPr>
            <w:tcW w:w="532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ABM INDUSTRIES INCORPORATED</w:t>
            </w:r>
          </w:p>
        </w:tc>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Aviation, Inc.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International Limited</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Bermuda</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International (Holdings) Ltd</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Aviation UK Limited</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OFJ Connections</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Group UK Limited</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Facility Services UK Limited</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BRBIBR Limited</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Critical Solutions Limited</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International (Holdings) B.V.</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Holland</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Onsite Services - Canada ULC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Westway Services Holdings (2014) Ltd.</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Westway Services Holdings (2010) Ltd.</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Technical Solutions Limited</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Maybin Support Services (Ireland) Limited</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 Ireland</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Momentum Support Limited</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Momentum Property Support Services Ltd.</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 Ireland</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Building &amp; Energy Services, LLC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Building Services, LLC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Electrical Power Services, LLC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Electrical &amp; Lighting Solutions, Inc.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Facility Support Services, LLC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Building &amp; Energy Solutions, LLC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Building Solutions, LLC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Electrical Power Solutions, LLC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Electrical &amp; Lighting Services, LLC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Canada Power Services LTD</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eMobility, LLC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eMobility USA, LLC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Franchising Group, LLC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General Services, Inc.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Healthcare Support Services, Inc.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Industrial Services, Inc.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Industry Groups, LLC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ABM Texas General Services, Inc.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Building Maintenance Co.</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CBM MGMT LLC</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657" w:type="dxa"/>
        <w:jc w:val="left"/>
        <w:tblInd w:w="0" w:type="dxa"/>
        <w:tblLayout w:type="fixed"/>
        <w:tblCellMar>
          <w:top w:w="28" w:type="dxa"/>
          <w:left w:w="28" w:type="dxa"/>
          <w:bottom w:w="28" w:type="dxa"/>
          <w:right w:w="28" w:type="dxa"/>
        </w:tblCellMar>
      </w:tblPr>
      <w:tblGrid>
        <w:gridCol w:w="124"/>
        <w:gridCol w:w="109"/>
        <w:gridCol w:w="109"/>
        <w:gridCol w:w="1649"/>
        <w:gridCol w:w="1649"/>
        <w:gridCol w:w="1652"/>
        <w:gridCol w:w="398"/>
        <w:gridCol w:w="398"/>
        <w:gridCol w:w="5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Energy Services,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Able Advantage Acquisition,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AES MGMT,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AbleServe Management Company</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Grade Sub Two,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GCA Services Group,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Associated Facility Management,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GCA Cleaning Specialties, LP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GCA Services Group Mountain States, LP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GCA Services Group of Texas, LP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Associated Facility Ventures,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GCA Education Services,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Tennessee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GCA Education Services Central States,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GCA Education Services of New England,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GCA K12 Education Services,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GCA Nuclear Facility Services,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GCA Production Services,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GCA Services Group of California,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GCA Services Group of Colorado,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GCA Services Group of North Carolina,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GCA Services Group of Northwestern States,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GCA Staffing Services,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Building Maintenance Corp.</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IFM Assurance Company</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Linc International, Inc.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Linc Facility Services Iraq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Wassl Al-Iraq Project Services &amp; General Contracting LLPC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Iraq</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Linc Facility Services ME,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Linc Facility Services Saudi Arabia, LLC</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Saudi Arabia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pPr>
      <w:r>
        <w:rPr>
          <w:rFonts w:ascii="Times New Roman;sans-serif" w:hAnsi="Times New Roman;sans-serif"/>
          <w:b w:val="false"/>
          <w:color w:val="000000"/>
          <w:sz w:val="20"/>
        </w:rPr>
        <w:t>*Subsidiary</w:t>
      </w:r>
      <w:r>
        <w:rPr>
          <w:color w:val="000000"/>
        </w:rPr>
        <w:t xml:space="preserve"> </w:t>
      </w:r>
      <w:r>
        <w:rPr>
          <w:rFonts w:ascii="Times New Roman;sans-serif" w:hAnsi="Times New Roman;sans-serif"/>
          <w:b w:val="false"/>
          <w:color w:val="000000"/>
          <w:sz w:val="20"/>
        </w:rPr>
        <w:t>relationship to Company or to subsidiary parents shown by progressive indentation.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23.1</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48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268" w:before="0" w:after="0"/>
        <w:jc w:val="left"/>
        <w:rPr/>
      </w:pPr>
      <w:r>
        <w:rPr>
          <w:rFonts w:ascii="Arial;sans-serif" w:hAnsi="Arial;sans-serif"/>
          <w:b w:val="false"/>
          <w:color w:val="000000"/>
          <w:sz w:val="20"/>
        </w:rPr>
        <w:t>The</w:t>
      </w:r>
      <w:r>
        <w:rPr>
          <w:color w:val="000000"/>
        </w:rPr>
        <w:t xml:space="preserve"> </w:t>
      </w:r>
      <w:r>
        <w:rPr>
          <w:rFonts w:ascii="Arial;sans-serif" w:hAnsi="Arial;sans-serif"/>
          <w:b w:val="false"/>
          <w:color w:val="000000"/>
          <w:sz w:val="20"/>
        </w:rPr>
        <w:t>Board</w:t>
      </w:r>
      <w:r>
        <w:rPr>
          <w:color w:val="000000"/>
        </w:rPr>
        <w:t xml:space="preserve"> </w:t>
      </w:r>
      <w:r>
        <w:rPr>
          <w:rFonts w:ascii="Arial;sans-serif" w:hAnsi="Arial;sans-serif"/>
          <w:b w:val="false"/>
          <w:color w:val="000000"/>
          <w:sz w:val="20"/>
        </w:rPr>
        <w:t>of</w:t>
      </w:r>
      <w:r>
        <w:rPr>
          <w:color w:val="000000"/>
        </w:rPr>
        <w:t xml:space="preserve"> </w:t>
      </w:r>
      <w:r>
        <w:rPr>
          <w:rFonts w:ascii="Arial;sans-serif" w:hAnsi="Arial;sans-serif"/>
          <w:b w:val="false"/>
          <w:color w:val="000000"/>
          <w:sz w:val="20"/>
        </w:rPr>
        <w:t>Directors</w:t>
      </w:r>
    </w:p>
    <w:p>
      <w:pPr>
        <w:pStyle w:val="TextBody"/>
        <w:bidi w:val="0"/>
        <w:spacing w:lineRule="auto" w:line="268" w:before="0" w:after="0"/>
        <w:jc w:val="left"/>
        <w:rPr/>
      </w:pPr>
      <w:r>
        <w:rPr>
          <w:rFonts w:ascii="Arial;sans-serif" w:hAnsi="Arial;sans-serif"/>
          <w:b w:val="false"/>
          <w:color w:val="000000"/>
          <w:sz w:val="20"/>
        </w:rPr>
        <w:t>ABM</w:t>
      </w:r>
      <w:r>
        <w:rPr>
          <w:color w:val="000000"/>
        </w:rPr>
        <w:t xml:space="preserve"> </w:t>
      </w:r>
      <w:r>
        <w:rPr>
          <w:rFonts w:ascii="Arial;sans-serif" w:hAnsi="Arial;sans-serif"/>
          <w:b w:val="false"/>
          <w:color w:val="000000"/>
          <w:sz w:val="20"/>
        </w:rPr>
        <w:t>Industries</w:t>
      </w:r>
      <w:r>
        <w:rPr>
          <w:color w:val="000000"/>
        </w:rPr>
        <w:t xml:space="preserve"> </w:t>
      </w:r>
      <w:r>
        <w:rPr>
          <w:rFonts w:ascii="Arial;sans-serif" w:hAnsi="Arial;sans-serif"/>
          <w:b w:val="false"/>
          <w:color w:val="000000"/>
          <w:sz w:val="20"/>
        </w:rPr>
        <w:t>Incorporated:</w:t>
      </w:r>
    </w:p>
    <w:p>
      <w:pPr>
        <w:pStyle w:val="TextBody"/>
        <w:bidi w:val="0"/>
        <w:spacing w:before="0" w:after="0"/>
        <w:jc w:val="left"/>
        <w:rPr/>
      </w:pPr>
      <w:r>
        <w:rPr/>
      </w:r>
    </w:p>
    <w:p>
      <w:pPr>
        <w:pStyle w:val="TextBody"/>
        <w:bidi w:val="0"/>
        <w:spacing w:lineRule="auto" w:line="247" w:before="0" w:after="0"/>
        <w:jc w:val="left"/>
        <w:rPr/>
      </w:pPr>
      <w:r>
        <w:rPr>
          <w:rFonts w:ascii="Arial;sans-serif" w:hAnsi="Arial;sans-serif"/>
          <w:b w:val="false"/>
          <w:color w:val="000000"/>
          <w:sz w:val="20"/>
        </w:rPr>
        <w:t>We consent to the incorporation by reference in the registration statements (No. 333-78423, 333-78421, 333-48857, 333-85390, 333-116487, 333-137241, 333-159770, 333-167464, 333-179991, 333-202521, 333-211991, 333-224183, 333-254769) of Form S-8 and (No. 333-223233) on Form S-3 of our reports dated December 18, 2023, with respect to the consolidated financial statements and financial statement schedule II of ABM Industries</w:t>
      </w:r>
      <w:r>
        <w:rPr>
          <w:color w:val="000000"/>
        </w:rPr>
        <w:t xml:space="preserve"> </w:t>
      </w:r>
      <w:r>
        <w:rPr>
          <w:rFonts w:ascii="Arial;sans-serif" w:hAnsi="Arial;sans-serif"/>
          <w:b w:val="false"/>
          <w:color w:val="000000"/>
          <w:sz w:val="20"/>
        </w:rPr>
        <w:t>Incorporated and the effectiveness of internal control over financial reporting.</w:t>
      </w:r>
    </w:p>
    <w:p>
      <w:pPr>
        <w:pStyle w:val="TextBody"/>
        <w:bidi w:val="0"/>
        <w:spacing w:before="0" w:after="0"/>
        <w:ind w:left="0" w:right="0" w:firstLine="110"/>
        <w:jc w:val="left"/>
        <w:rPr/>
      </w:pPr>
      <w:r>
        <w:rPr/>
      </w:r>
    </w:p>
    <w:p>
      <w:pPr>
        <w:pStyle w:val="TextBody"/>
        <w:bidi w:val="0"/>
        <w:spacing w:before="0" w:after="0"/>
        <w:jc w:val="left"/>
        <w:rPr/>
      </w:pPr>
      <w:r>
        <w:rPr/>
      </w:r>
    </w:p>
    <w:p>
      <w:pPr>
        <w:pStyle w:val="TextBody"/>
        <w:bidi w:val="0"/>
        <w:spacing w:before="0" w:after="20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New York, New York</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December 18, 2023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60" w:after="283"/>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20"/>
        </w:rPr>
        <w:t>CERTIFICATION OF CHIEF EXECUTIVE OFFICER</w:t>
      </w:r>
      <w:r>
        <w:rPr>
          <w:color w:val="000000"/>
        </w:rPr>
        <w:t xml:space="preserv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SECURITIES EXCHANGE ACT OF 1934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13a-14(a) OR 15d-14(a)</w:t>
      </w:r>
    </w:p>
    <w:p>
      <w:pPr>
        <w:pStyle w:val="TextBody"/>
        <w:bidi w:val="0"/>
        <w:spacing w:before="60" w:after="283"/>
        <w:jc w:val="center"/>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I, Scott Salmirs, certify that: </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1.    I have reviewed this Annual Report on Form 10-K of ABM Industries Incorporated;</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60"/>
        <w:ind w:left="0" w:right="0" w:hanging="36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tbl>
      <w:tblPr>
        <w:tblW w:w="5390" w:type="dxa"/>
        <w:jc w:val="left"/>
        <w:tblInd w:w="0" w:type="dxa"/>
        <w:tblLayout w:type="fixed"/>
        <w:tblCellMar>
          <w:top w:w="28" w:type="dxa"/>
          <w:left w:w="28" w:type="dxa"/>
          <w:bottom w:w="28" w:type="dxa"/>
          <w:right w:w="28" w:type="dxa"/>
        </w:tblCellMar>
      </w:tblPr>
      <w:tblGrid>
        <w:gridCol w:w="657"/>
        <w:gridCol w:w="577"/>
        <w:gridCol w:w="580"/>
        <w:gridCol w:w="109"/>
        <w:gridCol w:w="109"/>
        <w:gridCol w:w="109"/>
        <w:gridCol w:w="849"/>
        <w:gridCol w:w="849"/>
        <w:gridCol w:w="852"/>
        <w:gridCol w:w="109"/>
        <w:gridCol w:w="109"/>
        <w:gridCol w:w="109"/>
        <w:gridCol w:w="109"/>
        <w:gridCol w:w="109"/>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December 18,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Scott Salmirs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Salmirs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60"/>
        <w:ind w:left="0" w:right="0" w:hanging="360"/>
        <w:jc w:val="left"/>
        <w:rPr/>
      </w:pPr>
      <w:r>
        <w:rPr/>
      </w:r>
    </w:p>
    <w:p>
      <w:pPr>
        <w:pStyle w:val="TextBody"/>
        <w:bidi w:val="0"/>
        <w:spacing w:lineRule="auto" w:line="288" w:before="60" w:after="283"/>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30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SECURITIES EXCHANGE ACT OF 1934</w:t>
      </w:r>
    </w:p>
    <w:p>
      <w:pPr>
        <w:pStyle w:val="TextBody"/>
        <w:bidi w:val="0"/>
        <w:spacing w:lineRule="auto" w:line="288" w:before="0" w:after="0"/>
        <w:jc w:val="center"/>
        <w:rPr/>
      </w:pPr>
      <w:r>
        <w:rPr>
          <w:rFonts w:ascii="Arial;sans-serif" w:hAnsi="Arial;sans-serif"/>
          <w:b/>
          <w:color w:val="000000"/>
          <w:sz w:val="20"/>
        </w:rPr>
        <w:t>RULE 13a-14(a) OR 15d-14(a)</w:t>
      </w:r>
      <w:r>
        <w:rPr>
          <w:color w:val="000000"/>
        </w:rPr>
        <w:t xml:space="preserve"> </w:t>
      </w:r>
    </w:p>
    <w:p>
      <w:pPr>
        <w:pStyle w:val="TextBody"/>
        <w:bidi w:val="0"/>
        <w:spacing w:before="0" w:after="0"/>
        <w:jc w:val="center"/>
        <w:rPr/>
      </w:pPr>
      <w:r>
        <w:rPr/>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I, Earl R. Ellis, certify that: </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1. I have reviewed this Annual Report on Form 10-K of ABM Industries Incorporated;</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320"/>
        <w:ind w:left="0" w:right="0" w:hanging="360"/>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tbl>
      <w:tblPr>
        <w:tblW w:w="5300" w:type="dxa"/>
        <w:jc w:val="left"/>
        <w:tblInd w:w="0" w:type="dxa"/>
        <w:tblLayout w:type="fixed"/>
        <w:tblCellMar>
          <w:top w:w="28" w:type="dxa"/>
          <w:left w:w="28" w:type="dxa"/>
          <w:bottom w:w="28" w:type="dxa"/>
          <w:right w:w="28" w:type="dxa"/>
        </w:tblCellMar>
      </w:tblPr>
      <w:tblGrid>
        <w:gridCol w:w="657"/>
        <w:gridCol w:w="577"/>
        <w:gridCol w:w="580"/>
        <w:gridCol w:w="109"/>
        <w:gridCol w:w="109"/>
        <w:gridCol w:w="109"/>
        <w:gridCol w:w="818"/>
        <w:gridCol w:w="818"/>
        <w:gridCol w:w="824"/>
        <w:gridCol w:w="109"/>
        <w:gridCol w:w="109"/>
        <w:gridCol w:w="109"/>
        <w:gridCol w:w="109"/>
        <w:gridCol w:w="109"/>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December 18,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Earl R. Ellis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Earl R. Ellis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30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CERTIFICATIONS PURSUANT TO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13a-14(b) OR 15d-14(b) AND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connection with the Annual Report of ABM Industries Incorporated (the “Company”) for the year ended October 31, 2023, as filed with the Securities and Exchange Commission on the date hereof (the “Report”), Scott Salmirs, Chief Executive Officer of the Company, and Earl R. Ellis, Chief Financial Officer of the Company, each certifies for the purpose of complying with Rule 13a-14(b) or Rule 15d-14(b) of the Securities Exchange Act of 1934, as amended (the “Exchange Act”) and Section 1350 of Chapter 63 of Title 18 of the United States Code, that: </w:t>
      </w:r>
    </w:p>
    <w:p>
      <w:pPr>
        <w:pStyle w:val="TextBody"/>
        <w:bidi w:val="0"/>
        <w:spacing w:before="0" w:after="0"/>
        <w:ind w:left="0" w:right="0" w:firstLine="36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Exchange Act; and</w:t>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before="0" w:after="0"/>
        <w:jc w:val="left"/>
        <w:rPr/>
      </w:pPr>
      <w:r>
        <w:rPr/>
      </w:r>
    </w:p>
    <w:p>
      <w:pPr>
        <w:pStyle w:val="TextBody"/>
        <w:bidi w:val="0"/>
        <w:spacing w:lineRule="auto" w:line="288" w:before="0" w:after="0"/>
        <w:ind w:left="0" w:right="0" w:hanging="4320"/>
        <w:jc w:val="right"/>
        <w:rPr>
          <w:color w:val="000000"/>
        </w:rPr>
      </w:pPr>
      <w:r>
        <w:rPr>
          <w:color w:val="000000"/>
        </w:rPr>
        <w:t>    </w:t>
      </w:r>
    </w:p>
    <w:tbl>
      <w:tblPr>
        <w:tblW w:w="5390" w:type="dxa"/>
        <w:jc w:val="right"/>
        <w:tblInd w:w="0" w:type="dxa"/>
        <w:tblLayout w:type="fixed"/>
        <w:tblCellMar>
          <w:top w:w="28" w:type="dxa"/>
          <w:left w:w="28" w:type="dxa"/>
          <w:bottom w:w="28" w:type="dxa"/>
          <w:right w:w="28" w:type="dxa"/>
        </w:tblCellMar>
      </w:tblPr>
      <w:tblGrid>
        <w:gridCol w:w="657"/>
        <w:gridCol w:w="577"/>
        <w:gridCol w:w="580"/>
        <w:gridCol w:w="109"/>
        <w:gridCol w:w="109"/>
        <w:gridCol w:w="109"/>
        <w:gridCol w:w="849"/>
        <w:gridCol w:w="849"/>
        <w:gridCol w:w="852"/>
        <w:gridCol w:w="109"/>
        <w:gridCol w:w="109"/>
        <w:gridCol w:w="109"/>
        <w:gridCol w:w="109"/>
        <w:gridCol w:w="109"/>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December 18,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Scott Salmirs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Salmirs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320"/>
        <w:jc w:val="right"/>
        <w:rPr/>
      </w:pPr>
      <w:r>
        <w:rPr/>
      </w:r>
    </w:p>
    <w:tbl>
      <w:tblPr>
        <w:tblW w:w="5300" w:type="dxa"/>
        <w:jc w:val="right"/>
        <w:tblInd w:w="0" w:type="dxa"/>
        <w:tblLayout w:type="fixed"/>
        <w:tblCellMar>
          <w:top w:w="28" w:type="dxa"/>
          <w:left w:w="28" w:type="dxa"/>
          <w:bottom w:w="28" w:type="dxa"/>
          <w:right w:w="28" w:type="dxa"/>
        </w:tblCellMar>
      </w:tblPr>
      <w:tblGrid>
        <w:gridCol w:w="657"/>
        <w:gridCol w:w="577"/>
        <w:gridCol w:w="580"/>
        <w:gridCol w:w="109"/>
        <w:gridCol w:w="109"/>
        <w:gridCol w:w="109"/>
        <w:gridCol w:w="818"/>
        <w:gridCol w:w="818"/>
        <w:gridCol w:w="824"/>
        <w:gridCol w:w="109"/>
        <w:gridCol w:w="109"/>
        <w:gridCol w:w="109"/>
        <w:gridCol w:w="109"/>
        <w:gridCol w:w="109"/>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December 18,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Earl R. Ellis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Earl R. Ellis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hanging="43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97</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ABM Industries Incorporated</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Amended and Restated Recoupment Policy</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Effective October 2, 2023</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Purpose</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0"/>
        </w:rPr>
        <w:t>As required pursuant to the listing standards of the New York Stock Exchange (the “</w:t>
      </w:r>
      <w:r>
        <w:rPr>
          <w:rFonts w:ascii="Times New Roman;sans-serif" w:hAnsi="Times New Roman;sans-serif"/>
          <w:b/>
          <w:i/>
          <w:color w:val="000000"/>
          <w:sz w:val="20"/>
        </w:rPr>
        <w:t>Stock Exchange</w:t>
      </w:r>
      <w:r>
        <w:rPr>
          <w:color w:val="000000"/>
        </w:rPr>
        <w:t>”</w:t>
      </w:r>
      <w:r>
        <w:rPr>
          <w:rFonts w:ascii="Times New Roman;sans-serif" w:hAnsi="Times New Roman;sans-serif"/>
          <w:b w:val="false"/>
          <w:color w:val="000000"/>
          <w:sz w:val="20"/>
        </w:rPr>
        <w:t>), Section 10D of the Securities Exchange Act of 1934, as amended (the “</w:t>
      </w:r>
      <w:r>
        <w:rPr>
          <w:rFonts w:ascii="Times New Roman;sans-serif" w:hAnsi="Times New Roman;sans-serif"/>
          <w:b/>
          <w:i/>
          <w:color w:val="000000"/>
          <w:sz w:val="20"/>
        </w:rPr>
        <w:t>Exchange Act</w:t>
      </w:r>
      <w:r>
        <w:rPr>
          <w:color w:val="000000"/>
        </w:rPr>
        <w:t>”</w:t>
      </w:r>
      <w:r>
        <w:rPr>
          <w:rFonts w:ascii="Times New Roman;sans-serif" w:hAnsi="Times New Roman;sans-serif"/>
          <w:b w:val="false"/>
          <w:color w:val="000000"/>
          <w:sz w:val="20"/>
        </w:rPr>
        <w:t>), and Rule 10D-1 under the Exchange Act, the Compensation Committee (the “</w:t>
      </w:r>
      <w:r>
        <w:rPr>
          <w:rFonts w:ascii="Times New Roman;sans-serif" w:hAnsi="Times New Roman;sans-serif"/>
          <w:b/>
          <w:i/>
          <w:color w:val="000000"/>
          <w:sz w:val="20"/>
        </w:rPr>
        <w:t>Committee</w:t>
      </w:r>
      <w:r>
        <w:rPr>
          <w:color w:val="000000"/>
        </w:rPr>
        <w:t>”</w:t>
      </w:r>
      <w:r>
        <w:rPr>
          <w:rFonts w:ascii="Times New Roman;sans-serif" w:hAnsi="Times New Roman;sans-serif"/>
          <w:b w:val="false"/>
          <w:color w:val="000000"/>
          <w:sz w:val="20"/>
        </w:rPr>
        <w:t>) of the Board of Directors (the “</w:t>
      </w:r>
      <w:r>
        <w:rPr>
          <w:rFonts w:ascii="Times New Roman;sans-serif" w:hAnsi="Times New Roman;sans-serif"/>
          <w:b/>
          <w:i/>
          <w:color w:val="000000"/>
          <w:sz w:val="20"/>
        </w:rPr>
        <w:t>Board</w:t>
      </w:r>
      <w:r>
        <w:rPr>
          <w:color w:val="000000"/>
        </w:rPr>
        <w:t>”</w:t>
      </w:r>
      <w:r>
        <w:rPr>
          <w:rFonts w:ascii="Times New Roman;sans-serif" w:hAnsi="Times New Roman;sans-serif"/>
          <w:b w:val="false"/>
          <w:color w:val="000000"/>
          <w:sz w:val="20"/>
        </w:rPr>
        <w:t>) of ABM Industries Incorporated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has adopted this Amended and Restated Recoupment Policy (the “</w:t>
      </w:r>
      <w:r>
        <w:rPr>
          <w:rFonts w:ascii="Times New Roman;sans-serif" w:hAnsi="Times New Roman;sans-serif"/>
          <w:b/>
          <w:i/>
          <w:color w:val="000000"/>
          <w:sz w:val="20"/>
        </w:rPr>
        <w:t>Policy</w:t>
      </w:r>
      <w:r>
        <w:rPr>
          <w:color w:val="000000"/>
        </w:rPr>
        <w:t>”</w:t>
      </w:r>
      <w:r>
        <w:rPr>
          <w:rFonts w:ascii="Times New Roman;sans-serif" w:hAnsi="Times New Roman;sans-serif"/>
          <w:b w:val="false"/>
          <w:color w:val="000000"/>
          <w:sz w:val="20"/>
        </w:rPr>
        <w:t>) to empower the Company to recover Covered Compensation (as defined below) erroneously awarded to a Covered Officer (as defined below) in the event of an Accounting Restatement (as defined below).</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rPr>
        <w:t>Notwithstanding anything in this Policy to the contrary, at all times, this Policy remains subject to interpretation and operation in accordance with the final rules and regulations promulgated by the U.S. Securities and Exchange Commission (the “</w:t>
      </w:r>
      <w:r>
        <w:rPr>
          <w:rFonts w:ascii="Times New Roman;sans-serif" w:hAnsi="Times New Roman;sans-serif"/>
          <w:b/>
          <w:i/>
          <w:color w:val="000000"/>
          <w:sz w:val="20"/>
        </w:rPr>
        <w:t>SEC</w:t>
      </w:r>
      <w:r>
        <w:rPr>
          <w:color w:val="000000"/>
        </w:rPr>
        <w:t>”</w:t>
      </w:r>
      <w:r>
        <w:rPr>
          <w:rFonts w:ascii="Times New Roman;sans-serif" w:hAnsi="Times New Roman;sans-serif"/>
          <w:b w:val="false"/>
          <w:color w:val="000000"/>
          <w:sz w:val="20"/>
        </w:rPr>
        <w:t>), the final listing standards adopted by the Stock Exchange, and any applicable SEC or Stock Exchange guidance or interpretations issued from time to time regarding such Covered Compensation recovery requirements (collectively, the “</w:t>
      </w:r>
      <w:r>
        <w:rPr>
          <w:rFonts w:ascii="Times New Roman;sans-serif" w:hAnsi="Times New Roman;sans-serif"/>
          <w:b/>
          <w:i/>
          <w:color w:val="000000"/>
          <w:sz w:val="20"/>
        </w:rPr>
        <w:t>Final Guidance</w:t>
      </w:r>
      <w:r>
        <w:rPr>
          <w:color w:val="000000"/>
        </w:rPr>
        <w:t>”</w:t>
      </w:r>
      <w:r>
        <w:rPr>
          <w:rFonts w:ascii="Times New Roman;sans-serif" w:hAnsi="Times New Roman;sans-serif"/>
          <w:b w:val="false"/>
          <w:color w:val="000000"/>
          <w:sz w:val="20"/>
        </w:rPr>
        <w:t>). Questions regarding this Policy should be directed to the Executive Vice President and Chief Human Resources Officer.</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Policy Statement</w:t>
      </w:r>
    </w:p>
    <w:p>
      <w:pPr>
        <w:pStyle w:val="TextBody"/>
        <w:bidi w:val="0"/>
        <w:spacing w:lineRule="auto" w:line="240" w:before="0" w:after="0"/>
        <w:jc w:val="both"/>
        <w:rPr/>
      </w:pPr>
      <w:r>
        <w:rPr>
          <w:color w:val="000000"/>
        </w:rPr>
        <w:t>    </w:t>
      </w:r>
      <w:r>
        <w:rPr>
          <w:rFonts w:ascii="Times New Roman;sans-serif" w:hAnsi="Times New Roman;sans-serif"/>
          <w:b w:val="false"/>
          <w:color w:val="000000"/>
          <w:sz w:val="20"/>
        </w:rPr>
        <w:t>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w:t>
      </w:r>
      <w:r>
        <w:rPr>
          <w:rFonts w:ascii="Times New Roman;sans-serif" w:hAnsi="Times New Roman;sans-serif"/>
          <w:b/>
          <w:i/>
          <w:color w:val="000000"/>
          <w:sz w:val="20"/>
        </w:rPr>
        <w:t>Accounting Restatement</w:t>
      </w:r>
      <w:r>
        <w:rPr>
          <w:color w:val="000000"/>
        </w:rPr>
        <w:t>”</w:t>
      </w:r>
      <w:r>
        <w:rPr>
          <w:rFonts w:ascii="Times New Roman;sans-serif" w:hAnsi="Times New Roman;sans-serif"/>
          <w:b w:val="false"/>
          <w:color w:val="000000"/>
          <w:sz w:val="20"/>
        </w:rPr>
        <w:t xml:space="preserve">). If a Clawback Exception applies with respect to a Covered Officer, the Company may forgo such recovery under this Policy from such Covered Officer. </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Covered Officers</w:t>
      </w:r>
    </w:p>
    <w:p>
      <w:pPr>
        <w:pStyle w:val="TextBody"/>
        <w:bidi w:val="0"/>
        <w:spacing w:lineRule="auto" w:line="240" w:before="0" w:after="0"/>
        <w:jc w:val="both"/>
        <w:rPr/>
      </w:pPr>
      <w:r>
        <w:rPr>
          <w:color w:val="000000"/>
        </w:rPr>
        <w:t>    </w:t>
      </w:r>
      <w:r>
        <w:rPr>
          <w:rFonts w:ascii="Times New Roman;sans-serif" w:hAnsi="Times New Roman;sans-serif"/>
          <w:b w:val="false"/>
          <w:color w:val="000000"/>
          <w:sz w:val="20"/>
        </w:rPr>
        <w:t>For purposes of this Policy, “</w:t>
      </w:r>
      <w:r>
        <w:rPr>
          <w:rFonts w:ascii="Times New Roman;sans-serif" w:hAnsi="Times New Roman;sans-serif"/>
          <w:b/>
          <w:i/>
          <w:color w:val="000000"/>
          <w:sz w:val="20"/>
        </w:rPr>
        <w:t>Covered Officer</w:t>
      </w:r>
      <w:r>
        <w:rPr>
          <w:color w:val="000000"/>
        </w:rPr>
        <w:t xml:space="preserve">” </w:t>
      </w:r>
      <w:r>
        <w:rPr>
          <w:rFonts w:ascii="Times New Roman;sans-serif" w:hAnsi="Times New Roman;sans-serif"/>
          <w:b w:val="false"/>
          <w:color w:val="000000"/>
          <w:sz w:val="20"/>
        </w:rPr>
        <w:t xml:space="preserve">is defined as any current or former “Section 16 officer” of the Company within the meaning of Rule 16a-1(f) under the Exchange Act, as determined by the Board or the Committee. Covered Officers include, at a minimum, “executive officers” as defined in Rule 3b-7 under the Exchange Act and identified under Item 401(b) of Regulation S-K. </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Covered Compensation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 xml:space="preserve">For purposes of this Policy: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0"/>
        </w:rPr>
        <w:t>Covered Compensation</w:t>
      </w:r>
      <w:r>
        <w:rPr>
          <w:color w:val="000000"/>
        </w:rPr>
        <w:t xml:space="preserve">” </w:t>
      </w:r>
      <w:r>
        <w:rPr>
          <w:rFonts w:ascii="Times New Roman;sans-serif" w:hAnsi="Times New Roman;sans-serif"/>
          <w:b w:val="false"/>
          <w:color w:val="000000"/>
          <w:sz w:val="20"/>
        </w:rPr>
        <w:t xml:space="preserve">is defined as the amount of Incentive-Based Compensation (as defined below) Received during the applicable Recovery Period (as defined below) that exceeds the amount of Incentive-Based Compensation that otherwise would have been Received during such Recovery Period had it been determined based on the relevant restated amounts, and computed without regard to any taxes paid.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Incentive-Based Compensation Received by a Covered Officer will only qualify as Covered Compensation if: (i) it is Received on or after October 2, 2023; (ii) it is Received after such Covered Officer begins service as a Covered Officer; (iii) such Covered Officer served as a Covered Officer at any time during the performance period for such Incentive-Based Compensation; and (iv) it is Received while the Company has a class of securities listed on a national securities exchange or a national securities association.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Incentive-Based Compensation based on stock price or total shareholder return, where the amount of erroneously awarded Covered Compensation is not subject to mathematical recalculation directly from the information in an Accounting Restatement, the amount of such Incentive-Based Compensation that is deemed to be 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 determination of such reasonable estimate.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0"/>
        </w:rPr>
        <w:t>Incentive-Based Compensation</w:t>
      </w:r>
      <w:r>
        <w:rPr>
          <w:color w:val="000000"/>
        </w:rPr>
        <w:t xml:space="preserve">” </w:t>
      </w:r>
      <w:r>
        <w:rPr>
          <w:rFonts w:ascii="Times New Roman;sans-serif" w:hAnsi="Times New Roman;sans-serif"/>
          <w:b w:val="false"/>
          <w:color w:val="000000"/>
          <w:sz w:val="20"/>
        </w:rPr>
        <w:t xml:space="preserve">is defined as any compensation that is granted, earned, or vested based wholly or in part upon the attainment of a Financial Reporting Measure (as defined below). For purposes of clarity, Incentive-Based Compensation includes compensation that is in any plan, other than tax-qualified retirement plans, including long term disability, life insurance, and supplemental executive retirement plans, and any other compensation that is based on such Incentive-Based Compensation, such as earnings accrued on notional amounts of Incentive-Based Compensation contributed to such plans.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0"/>
        </w:rPr>
        <w:t>Financial Reporting Measure</w:t>
      </w:r>
      <w:r>
        <w:rPr>
          <w:color w:val="000000"/>
        </w:rPr>
        <w:t xml:space="preserve">” </w:t>
      </w:r>
      <w:r>
        <w:rPr>
          <w:rFonts w:ascii="Times New Roman;sans-serif" w:hAnsi="Times New Roman;sans-serif"/>
          <w:b w:val="false"/>
          <w:color w:val="000000"/>
          <w:sz w:val="20"/>
        </w:rPr>
        <w:t xml:space="preserve">is defined as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Incentive-Based Compensation is deemed “</w:t>
      </w:r>
      <w:r>
        <w:rPr>
          <w:rFonts w:ascii="Times New Roman;sans-serif" w:hAnsi="Times New Roman;sans-serif"/>
          <w:b/>
          <w:i/>
          <w:color w:val="000000"/>
          <w:sz w:val="20"/>
        </w:rPr>
        <w:t>Received</w:t>
      </w:r>
      <w:r>
        <w:rPr>
          <w:color w:val="000000"/>
        </w:rPr>
        <w:t xml:space="preserve">” </w:t>
      </w:r>
      <w:r>
        <w:rPr>
          <w:rFonts w:ascii="Times New Roman;sans-serif" w:hAnsi="Times New Roman;sans-serif"/>
          <w:b w:val="false"/>
          <w:color w:val="000000"/>
          <w:sz w:val="20"/>
        </w:rPr>
        <w:t>in the Company’s fiscal period during which the Financial Reporting Measure specified in the Incentive-Based Compensation award is attained, even if the payment or grant of the Incentive-Based Compensation occurs after the end of that period.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Recovery Period</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0"/>
        </w:rPr>
        <w:t>For purposes of this Policy, the applicable “</w:t>
      </w:r>
      <w:r>
        <w:rPr>
          <w:rFonts w:ascii="Times New Roman;sans-serif" w:hAnsi="Times New Roman;sans-serif"/>
          <w:b/>
          <w:i/>
          <w:color w:val="000000"/>
          <w:sz w:val="20"/>
        </w:rPr>
        <w:t>Recovery Period</w:t>
      </w:r>
      <w:r>
        <w:rPr>
          <w:color w:val="000000"/>
        </w:rPr>
        <w:t xml:space="preserve">” </w:t>
      </w:r>
      <w:r>
        <w:rPr>
          <w:rFonts w:ascii="Times New Roman;sans-serif" w:hAnsi="Times New Roman;sans-serif"/>
          <w:b w:val="false"/>
          <w:color w:val="000000"/>
          <w:sz w:val="20"/>
        </w:rPr>
        <w:t xml:space="preserve">is defined as the three completed fiscal years immediately preceding the Trigger Date (as defined below) and, if applicable, any transition period resulting from a change in the Company’s fiscal year within or immediately following those three completed fiscal years (provided, however, that if a transition period between the last day of the Company’s previous fiscal year end and the first day of its new fiscal year comprises a period of nine to 12 months, such period would be deemed to be a completed fiscal year). </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0"/>
        </w:rPr>
        <w:t>For purposes of this Policy, the “</w:t>
      </w:r>
      <w:r>
        <w:rPr>
          <w:rFonts w:ascii="Times New Roman;sans-serif" w:hAnsi="Times New Roman;sans-serif"/>
          <w:b/>
          <w:i/>
          <w:color w:val="000000"/>
          <w:sz w:val="20"/>
        </w:rPr>
        <w:t>Trigger Date</w:t>
      </w:r>
      <w:r>
        <w:rPr>
          <w:color w:val="000000"/>
        </w:rPr>
        <w:t xml:space="preserve">” </w:t>
      </w:r>
      <w:r>
        <w:rPr>
          <w:rFonts w:ascii="Times New Roman;sans-serif" w:hAnsi="Times New Roman;sans-serif"/>
          <w:b w:val="false"/>
          <w:color w:val="000000"/>
          <w:sz w:val="20"/>
        </w:rPr>
        <w:t>as of which the Company is required to prepare an Accounting Restatement is the earlier to occur of: (i) the date that the Board, applicable Board committee, or officers authorized to take action if Board action is not required, concludes, or reasonably should have concluded, that the Company is required to prepare the Accounting Restatement or (ii) the date a court, regulator, or other legally authorized body directs the Company to prepare the Accounting Restatement.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Clawback Exceptions</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0"/>
        </w:rPr>
        <w:t>The Company is required to recover all Covered Compensation Received by a Covered Officer in the event of an Accounting Restatement unless (i) one of the following conditions are met and (ii) the Committee has made a determination that recovery would be impracticable in accordance with Rule 10D-1 under the Exchange Act (under such circumstances, a “</w:t>
      </w:r>
      <w:r>
        <w:rPr>
          <w:rFonts w:ascii="Times New Roman;sans-serif" w:hAnsi="Times New Roman;sans-serif"/>
          <w:b/>
          <w:i/>
          <w:color w:val="000000"/>
          <w:sz w:val="20"/>
        </w:rPr>
        <w:t>Clawback Exception</w:t>
      </w:r>
      <w:r>
        <w:rPr>
          <w:color w:val="000000"/>
        </w:rPr>
        <w:t xml:space="preserve">” </w:t>
      </w:r>
      <w:r>
        <w:rPr>
          <w:rFonts w:ascii="Times New Roman;sans-serif" w:hAnsi="Times New Roman;sans-serif"/>
          <w:b w:val="false"/>
          <w:color w:val="000000"/>
          <w:sz w:val="20"/>
        </w:rPr>
        <w:t xml:space="preserve">applies):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 Compensation in such plans, such as earnings accrued on notional amounts of Incentive-Based Compensation contributed to such plans.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Prohibitions</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0"/>
        </w:rPr>
        <w:t>The Company is prohibited from paying or reimbursing the cost of insurance for, or indemnifying, any Covered Officer against the loss of erroneously awarded Covered Compensation.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Administration and Interpretation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The Committee will administer this Policy in accordance with the Final Guidance, and will have full and exclusive authority and discretion to supplement, amend, repeal, interpret, terminate, construe, modify, replace and/or enforce (in whole or in part) this Policy, including the authority to correct any defect, supply any omission or reconcile any ambiguity, inconsistency or conflict in the Policy, subject to the Final Guidance. This Policy is in addition to and is not intended to change or interpret any federal or state law or regulation, including the Delaware General Corporation Law, the Restated Certificate of Incorporation of the Company, or the Amended and Restated Bylaws of the Company. The Committee will review the Policy from time to time and will have full and exclusive authority to take any action it deems appropriate.</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The Committee will have the authority to offset any compensation or benefit amounts that become due to the applicable Covered Officers to the extent permissible under Section 409A of the Internal Revenue Code of 1986, as amended, and as it deems necessary or desirable to recover any Covered Compensation.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Disclosure</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0"/>
        </w:rPr>
        <w:t xml:space="preserve">This Policy, and any recovery of Covered Compensation by the Company pursuant to this Policy that is required to be disclosed in the Company’s filings with the SEC, will be disclosed as required by the Securities Act of 1933, as amended, the Exchange Act, and related rules and regulations, including the Final Guidance. </w:t>
      </w:r>
    </w:p>
    <w:p>
      <w:pPr>
        <w:pStyle w:val="TextBody"/>
        <w:bidi w:val="0"/>
        <w:spacing w:before="0" w:after="0"/>
        <w:jc w:val="both"/>
        <w:rPr/>
      </w:pPr>
      <w:r>
        <w:rPr/>
      </w:r>
    </w:p>
    <w:p>
      <w:pPr>
        <w:pStyle w:val="TextBody"/>
        <w:bidi w:val="0"/>
        <w:spacing w:before="0" w:after="0"/>
        <w:jc w:val="both"/>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www.sec.gov/Archives/edgar/data/771497/000114420418015512/tv488684_ex1-1.htm" TargetMode="External"/><Relationship Id="rId12" Type="http://schemas.openxmlformats.org/officeDocument/2006/relationships/hyperlink" Target="http://www.sec.gov/Archives/edgar/data/771497/000157104917006648/t1702122_ex2-1.htm" TargetMode="External"/><Relationship Id="rId13" Type="http://schemas.openxmlformats.org/officeDocument/2006/relationships/hyperlink" Target="https://www.sec.gov/Archives/edgar/data/771497/000110465921109342/tm2125912d1_ex2-1.htm" TargetMode="External"/><Relationship Id="rId14" Type="http://schemas.openxmlformats.org/officeDocument/2006/relationships/hyperlink" Target="https://www.sec.gov/ix?doc=/Archives/edgar/data/771497/000110465922092386/tm2223741d1_8k.htm" TargetMode="External"/><Relationship Id="rId15" Type="http://schemas.openxmlformats.org/officeDocument/2006/relationships/hyperlink" Target="https://www.sec.gov/Archives/edgar/data/771497/000110465920039488/tm2014024d1_ex3-1.htm" TargetMode="External"/><Relationship Id="rId16" Type="http://schemas.openxmlformats.org/officeDocument/2006/relationships/hyperlink" Target="https://www.sec.gov/Archives/edgar/data/771497/000110465920039488/tm2014024d1_ex3-2.htm" TargetMode="External"/><Relationship Id="rId17" Type="http://schemas.openxmlformats.org/officeDocument/2006/relationships/hyperlink" Target="https://www.sec.gov/Archives/edgar/data/771497/000077149720000018/abm10312020ex41.htm" TargetMode="External"/><Relationship Id="rId18" Type="http://schemas.openxmlformats.org/officeDocument/2006/relationships/hyperlink" Target="http://www.sec.gov/Archives/edgar/data/771497/000157104917007803/t1702518_ex10-2.htm" TargetMode="External"/><Relationship Id="rId19" Type="http://schemas.openxmlformats.org/officeDocument/2006/relationships/hyperlink" Target="http://www.sec.gov/Archives/edgar/data/771497/000162828017012508/exhibit103103117.htm" TargetMode="External"/><Relationship Id="rId20" Type="http://schemas.openxmlformats.org/officeDocument/2006/relationships/hyperlink" Target="http://www.sec.gov/Archives/edgar/data/771497/000162828018011684/abm7312018ex101.htm" TargetMode="External"/><Relationship Id="rId21" Type="http://schemas.openxmlformats.org/officeDocument/2006/relationships/hyperlink" Target="http://www.sec.gov/Archives/edgar/data/771497/000162828018011684/abm7312018ex102.htm" TargetMode="External"/><Relationship Id="rId22" Type="http://schemas.openxmlformats.org/officeDocument/2006/relationships/hyperlink" Target="https://www.sec.gov/Archives/edgar/data/771497/000162828020009677/abm4302020ex101.htm" TargetMode="External"/><Relationship Id="rId23" Type="http://schemas.openxmlformats.org/officeDocument/2006/relationships/hyperlink" Target="https://www.sec.gov/Archives/edgar/data/771497/000077149721000026/abm73121ex101.htm" TargetMode="External"/><Relationship Id="rId24" Type="http://schemas.openxmlformats.org/officeDocument/2006/relationships/hyperlink" Target="https://www.sec.gov/Archives/edgar/data/771497/000077149722000028/abm10312022ex107.htm" TargetMode="External"/><Relationship Id="rId25" Type="http://schemas.openxmlformats.org/officeDocument/2006/relationships/hyperlink" Target="https://www.sec.gov/Archives/edgar/data/771497/000077149722000028/abm10312022ex108.htm" TargetMode="External"/><Relationship Id="rId26" Type="http://schemas.openxmlformats.org/officeDocument/2006/relationships/hyperlink" Target="http://www.sec.gov/Archives/edgar/data/771497/000095013405000777/f04468exv10w17.htm" TargetMode="External"/><Relationship Id="rId27" Type="http://schemas.openxmlformats.org/officeDocument/2006/relationships/hyperlink" Target="http://www.sec.gov/Archives/edgar/data/771497/000095012310116105/y87222exv10w7.htm" TargetMode="External"/><Relationship Id="rId28" Type="http://schemas.openxmlformats.org/officeDocument/2006/relationships/hyperlink" Target="http://www.sec.gov/Archives/edgar/data/771497/000162828018015372/abm10312018ex109.htm" TargetMode="External"/><Relationship Id="rId29" Type="http://schemas.openxmlformats.org/officeDocument/2006/relationships/hyperlink" Target="http://www.sec.gov/Archives/edgar/data/771497/000114420418013607/tv488007_ex10-1.htm" TargetMode="External"/><Relationship Id="rId30" Type="http://schemas.openxmlformats.org/officeDocument/2006/relationships/hyperlink" Target="http://www.sec.gov/Archives/edgar/data/771497/000162828015004719/abm4302015ex102.htm" TargetMode="External"/><Relationship Id="rId31" Type="http://schemas.openxmlformats.org/officeDocument/2006/relationships/hyperlink" Target="https://www.sec.gov/Archives/edgar/data/771497/000162828020003032/abm1312020ex101.htm" TargetMode="External"/><Relationship Id="rId32" Type="http://schemas.openxmlformats.org/officeDocument/2006/relationships/hyperlink" Target="https://www.sec.gov/Archives/edgar/data/771497/000077149721000016/abm4302021ex101.htm" TargetMode="External"/><Relationship Id="rId33" Type="http://schemas.openxmlformats.org/officeDocument/2006/relationships/hyperlink" Target="https://www.sec.gov/Archives/edgar/data/771497/000077149722000028/abm10312022ex1020.htm" TargetMode="External"/><Relationship Id="rId34" Type="http://schemas.openxmlformats.org/officeDocument/2006/relationships/hyperlink" Target="https://www.sec.gov/Archives/edgar/data/771497/000077149722000004/abm1312022ex101.htm" TargetMode="External"/><Relationship Id="rId35" Type="http://schemas.openxmlformats.org/officeDocument/2006/relationships/hyperlink" Target="http://www.sec.gov/Archives/edgar/data/771497/000162828015004719/abm4302015ex103.htm" TargetMode="External"/><Relationship Id="rId36" Type="http://schemas.openxmlformats.org/officeDocument/2006/relationships/hyperlink" Target="https://www.sec.gov/Archives/edgar/data/771497/000162828020003032/abm1312020ex102.htm" TargetMode="External"/><Relationship Id="rId37" Type="http://schemas.openxmlformats.org/officeDocument/2006/relationships/hyperlink" Target="https://www.sec.gov/Archives/edgar/data/771497/000077149721000016/abm4302021ex102.htm" TargetMode="External"/><Relationship Id="rId38" Type="http://schemas.openxmlformats.org/officeDocument/2006/relationships/hyperlink" Target="https://www.sec.gov/Archives/edgar/data/771497/000162828019015259/abm10312019ex1018.htm" TargetMode="External"/><Relationship Id="rId39" Type="http://schemas.openxmlformats.org/officeDocument/2006/relationships/hyperlink" Target="https://www.sec.gov/Archives/edgar/data/771497/000077149722000004/abm1312022ex102.htm" TargetMode="External"/><Relationship Id="rId40" Type="http://schemas.openxmlformats.org/officeDocument/2006/relationships/hyperlink" Target="https://www.sec.gov/Archives/edgar/data/771497/000162828019015259/abm10312019ex1019.htm" TargetMode="External"/><Relationship Id="rId41" Type="http://schemas.openxmlformats.org/officeDocument/2006/relationships/hyperlink" Target="https://www.sec.gov/Archives/edgar/data/771497/000077149722000004/abm1312022ex103.htm" TargetMode="External"/><Relationship Id="rId42" Type="http://schemas.openxmlformats.org/officeDocument/2006/relationships/hyperlink" Target="http://www.sec.gov/Archives/edgar/data/771497/000119312512382523/d383898dex101.htm" TargetMode="External"/><Relationship Id="rId43" Type="http://schemas.openxmlformats.org/officeDocument/2006/relationships/hyperlink" Target="http://www.sec.gov/Archives/edgar/data/771497/000095012310116105/y87222exv10w22.htm" TargetMode="External"/><Relationship Id="rId44" Type="http://schemas.openxmlformats.org/officeDocument/2006/relationships/hyperlink" Target="http://www.sec.gov/Archives/edgar/data/771497/000095012308010739/y71046exv10w4.htm" TargetMode="External"/><Relationship Id="rId45" Type="http://schemas.openxmlformats.org/officeDocument/2006/relationships/hyperlink" Target="http://www.sec.gov/Archives/edgar/data/771497/000095012308010739/y71046exv10w5.htm" TargetMode="External"/><Relationship Id="rId46" Type="http://schemas.openxmlformats.org/officeDocument/2006/relationships/hyperlink" Target="http://www.sec.gov/Archives/edgar/data/771497/000095012311023988/c12908exv10w1.htm" TargetMode="External"/><Relationship Id="rId47" Type="http://schemas.openxmlformats.org/officeDocument/2006/relationships/hyperlink" Target="http://www.sec.gov/Archives/edgar/data/771497/000162828017012508/exhibit102810312017.htm" TargetMode="External"/><Relationship Id="rId48" Type="http://schemas.openxmlformats.org/officeDocument/2006/relationships/hyperlink" Target="http://www.sec.gov/Archives/edgar/data/771497/000162828017012508/exhibit102910312017.htm" TargetMode="External"/><Relationship Id="rId49" Type="http://schemas.openxmlformats.org/officeDocument/2006/relationships/hyperlink" Target="http://www.sec.gov/Archives/edgar/data/771497/000162828018002860/abm1312018ex103.htm" TargetMode="External"/><Relationship Id="rId50" Type="http://schemas.openxmlformats.org/officeDocument/2006/relationships/hyperlink" Target="http://www.sec.gov/Archives/edgar/data/771497/000162828018002860/abm1312018ex104.htm" TargetMode="External"/><Relationship Id="rId51" Type="http://schemas.openxmlformats.org/officeDocument/2006/relationships/hyperlink" Target="http://www.sec.gov/Archives/edgar/data/771497/000162828019002600/abm1312019ex101.htm" TargetMode="External"/><Relationship Id="rId52" Type="http://schemas.openxmlformats.org/officeDocument/2006/relationships/hyperlink" Target="http://www.sec.gov/Archives/edgar/data/771497/000162828019002600/abm1312019ex102.htm" TargetMode="External"/><Relationship Id="rId53" Type="http://schemas.openxmlformats.org/officeDocument/2006/relationships/hyperlink" Target="https://www.sec.gov/Archives/edgar/data/771497/000162828019015259/abm10312019ex1035.htm" TargetMode="External"/><Relationship Id="rId54" Type="http://schemas.openxmlformats.org/officeDocument/2006/relationships/hyperlink" Target="https://www.sec.gov/Archives/edgar/data/771497/000077149721000016/abm4302021ex104.htm" TargetMode="External"/><Relationship Id="rId55" Type="http://schemas.openxmlformats.org/officeDocument/2006/relationships/hyperlink" Target="https://www.sec.gov/Archives/edgar/data/771497/000077149721000016/abm4302021ex106.htm" TargetMode="External"/><Relationship Id="rId56" Type="http://schemas.openxmlformats.org/officeDocument/2006/relationships/hyperlink" Target="https://www.sec.gov/Archives/edgar/data/771497/000077149721000016/abm4302021ex107.htm" TargetMode="External"/><Relationship Id="rId57" Type="http://schemas.openxmlformats.org/officeDocument/2006/relationships/hyperlink" Target="https://www.sec.gov/Archives/edgar/data/771497/000077149721000016/abm4302021ex103.htm" TargetMode="External"/><Relationship Id="rId58" Type="http://schemas.openxmlformats.org/officeDocument/2006/relationships/hyperlink" Target="https://www.sec.gov/ix?doc=/Archives/edgar/data/771497/000077149722000004/abm-20220131.htm" TargetMode="Externa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73078</Words>
  <Characters>401590</Characters>
  <CharactersWithSpaces>473085</CharactersWithSpaces>
  <Paragraphs>4958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