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ELLIS EARL RAY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01/07/2024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EVP &amp; 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01/07/2024</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911</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42.45</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59,273</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01/08/2024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19,993</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79,266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01/08/2024</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7,936</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42.54</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71,330</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Issuer common stock acquired pursuant to vesting of relative-total stockholder return modified performance shares that were granted to the reporting person in January 2021 and have vested based upon the satisfaction of performance criteria specified for the award at the time of grant.</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01/09/2024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5584"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2024-01-09T16:55:40Z</dcterms:created>
  <dcterms:modified xsi:type="dcterms:W3CDTF">2024-01-09T16:55:40Z</dcterms:modified>
</cp:coreProperties>
</file>