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12,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ABM INDUSTRIES INCORPORATED</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461"/>
              <w:spacing w:after="0"/>
              <w:rPr>
                <w:sz w:val="20"/>
                <w:szCs w:val="20"/>
                <w:color w:val="auto"/>
              </w:rPr>
            </w:pPr>
            <w:r>
              <w:rPr>
                <w:rFonts w:ascii="Times New Roman" w:cs="Times New Roman" w:eastAsia="Times New Roman" w:hAnsi="Times New Roman"/>
                <w:sz w:val="18"/>
                <w:szCs w:val="18"/>
                <w:b w:val="1"/>
                <w:bCs w:val="1"/>
                <w:color w:val="auto"/>
              </w:rPr>
              <w:t>1-8929</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94-1369354</w:t>
            </w:r>
          </w:p>
        </w:tc>
      </w:tr>
      <w:tr>
        <w:trPr>
          <w:trHeight w:val="149"/>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One Liberty Plaza</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7th Floor</w:t>
            </w:r>
          </w:p>
        </w:tc>
        <w:tc>
          <w:tcPr>
            <w:tcW w:w="32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New York, New York</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10006</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297-0200</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ABM</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New York Stock Exchange</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March 12, 2025, ABM Industries Incorporated (the “Company”) issued a press release announcing financial results related to the quarter ended January 31, 2025. A copy of the press release is being furnished as Exhibit 99.1 to this Form 8-K, which is incorporated into this item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7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On March 12, 2025, the Company announced that the Board of Directors of the Company declared a quarterly dividend of $0.265 per share, payable May 5, 2025 to stockholders of record on April 3,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ind w:left="20"/>
        <w:spacing w:after="0"/>
        <w:tabs>
          <w:tab w:leader="none" w:pos="68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Press Release issued by ABM Industries Incorporated, dated March 12, 2025, announcing financial results related to the quarter ended January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-7620</wp:posOffset>
            </wp:positionV>
            <wp:extent cx="65582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58280" cy="8890"/>
                    </a:xfrm>
                    <a:prstGeom prst="rect">
                      <a:avLst/>
                    </a:prstGeom>
                    <a:noFill/>
                  </pic:spPr>
                </pic:pic>
              </a:graphicData>
            </a:graphic>
          </wp:anchor>
        </w:drawing>
      </w:r>
    </w:p>
    <w:p>
      <w:pPr>
        <w:spacing w:after="0" w:line="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u w:val="single" w:color="auto"/>
          <w:color w:val="0000FF"/>
        </w:rPr>
        <w:t>31, 2025, and the declaration of a dividend payable May 5, 2025, to stockholders of record on April 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-19050</wp:posOffset>
            </wp:positionV>
            <wp:extent cx="49593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959350" cy="8255"/>
                    </a:xfrm>
                    <a:prstGeom prst="rect">
                      <a:avLst/>
                    </a:prstGeom>
                    <a:noFill/>
                  </pic:spPr>
                </pic:pic>
              </a:graphicData>
            </a:graphic>
          </wp:anchor>
        </w:drawing>
      </w:r>
    </w:p>
    <w:p>
      <w:pPr>
        <w:ind w:left="20"/>
        <w:spacing w:after="0"/>
        <w:tabs>
          <w:tab w:leader="none" w:pos="6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ABM INDUSTRIES INCORPORATED</w:t>
      </w:r>
    </w:p>
    <w:p>
      <w:pPr>
        <w:spacing w:after="0" w:line="374" w:lineRule="exact"/>
        <w:rPr>
          <w:sz w:val="20"/>
          <w:szCs w:val="20"/>
          <w:color w:val="auto"/>
        </w:rPr>
      </w:pPr>
    </w:p>
    <w:p>
      <w:pPr>
        <w:ind w:left="20"/>
        <w:spacing w:after="0"/>
        <w:tabs>
          <w:tab w:leader="none" w:pos="680" w:val="left"/>
          <w:tab w:leader="none" w:pos="5640" w:val="left"/>
          <w:tab w:leader="none" w:pos="60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March 12,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Goldman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David Goldman</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Vice President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214630</wp:posOffset>
            </wp:positionV>
            <wp:extent cx="1234440" cy="4540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34440"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046AD"/>
        </w:rPr>
        <w:t>ABM REPORTS FIRST QUARTER FISCAL 2025 RESULTS</w:t>
      </w:r>
    </w:p>
    <w:p>
      <w:pPr>
        <w:spacing w:after="0" w:line="213" w:lineRule="exact"/>
        <w:rPr>
          <w:sz w:val="20"/>
          <w:szCs w:val="20"/>
          <w:color w:val="auto"/>
        </w:rPr>
      </w:pPr>
    </w:p>
    <w:p>
      <w:pPr>
        <w:ind w:left="760" w:hanging="378"/>
        <w:spacing w:after="0"/>
        <w:tabs>
          <w:tab w:leader="none" w:pos="76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i w:val="1"/>
          <w:iCs w:val="1"/>
          <w:color w:val="auto"/>
        </w:rPr>
        <w:t>Revenue up 2.2% to $2.1 billion, including organic growth of 1.6%</w:t>
      </w:r>
    </w:p>
    <w:p>
      <w:pPr>
        <w:spacing w:after="0" w:line="16" w:lineRule="exact"/>
        <w:rPr>
          <w:rFonts w:ascii="Times New Roman" w:cs="Times New Roman" w:eastAsia="Times New Roman" w:hAnsi="Times New Roman"/>
          <w:sz w:val="20"/>
          <w:szCs w:val="20"/>
          <w:color w:val="auto"/>
        </w:rPr>
      </w:pPr>
    </w:p>
    <w:p>
      <w:pPr>
        <w:ind w:left="760" w:right="320" w:hanging="378"/>
        <w:spacing w:after="0" w:line="224" w:lineRule="auto"/>
        <w:tabs>
          <w:tab w:leader="none" w:pos="760" w:val="left"/>
        </w:tabs>
        <w:numPr>
          <w:ilvl w:val="0"/>
          <w:numId w:val="2"/>
        </w:numPr>
        <w:rPr>
          <w:rFonts w:ascii="Times New Roman" w:cs="Times New Roman" w:eastAsia="Times New Roman" w:hAnsi="Times New Roman"/>
          <w:sz w:val="20"/>
          <w:szCs w:val="20"/>
          <w:i w:val="1"/>
          <w:iCs w:val="1"/>
          <w:color w:val="242424"/>
        </w:rPr>
      </w:pPr>
      <w:r>
        <w:rPr>
          <w:rFonts w:ascii="Arial" w:cs="Arial" w:eastAsia="Arial" w:hAnsi="Arial"/>
          <w:sz w:val="20"/>
          <w:szCs w:val="20"/>
          <w:i w:val="1"/>
          <w:iCs w:val="1"/>
          <w:color w:val="auto"/>
        </w:rPr>
        <w:t>Net income of $43.6 million and earnings per diluted share of $0.69, versus $44.7 million and $0.70 in the prior year, respectively</w:t>
      </w:r>
    </w:p>
    <w:p>
      <w:pPr>
        <w:spacing w:after="0" w:line="1" w:lineRule="exact"/>
        <w:rPr>
          <w:rFonts w:ascii="Times New Roman" w:cs="Times New Roman" w:eastAsia="Times New Roman" w:hAnsi="Times New Roman"/>
          <w:sz w:val="20"/>
          <w:szCs w:val="20"/>
          <w:i w:val="1"/>
          <w:iCs w:val="1"/>
          <w:color w:val="242424"/>
        </w:rPr>
      </w:pPr>
    </w:p>
    <w:p>
      <w:pPr>
        <w:ind w:left="760" w:right="80" w:hanging="378"/>
        <w:spacing w:after="0" w:line="224" w:lineRule="auto"/>
        <w:tabs>
          <w:tab w:leader="none" w:pos="760" w:val="left"/>
        </w:tabs>
        <w:numPr>
          <w:ilvl w:val="0"/>
          <w:numId w:val="2"/>
        </w:numPr>
        <w:rPr>
          <w:rFonts w:ascii="Times New Roman" w:cs="Times New Roman" w:eastAsia="Times New Roman" w:hAnsi="Times New Roman"/>
          <w:sz w:val="20"/>
          <w:szCs w:val="20"/>
          <w:i w:val="1"/>
          <w:iCs w:val="1"/>
          <w:color w:val="auto"/>
        </w:rPr>
      </w:pPr>
      <w:r>
        <w:rPr>
          <w:rFonts w:ascii="Arial" w:cs="Arial" w:eastAsia="Arial" w:hAnsi="Arial"/>
          <w:sz w:val="20"/>
          <w:szCs w:val="20"/>
          <w:i w:val="1"/>
          <w:iCs w:val="1"/>
          <w:color w:val="auto"/>
        </w:rPr>
        <w:t>Adjusted net income of $55.3 million and adjusted earnings per diluted share of $0.87, as compared to $54.8 million, or $0.86 in the prior year, respectively</w:t>
      </w:r>
    </w:p>
    <w:p>
      <w:pPr>
        <w:spacing w:after="0" w:line="1" w:lineRule="exact"/>
        <w:rPr>
          <w:rFonts w:ascii="Times New Roman" w:cs="Times New Roman" w:eastAsia="Times New Roman" w:hAnsi="Times New Roman"/>
          <w:sz w:val="20"/>
          <w:szCs w:val="20"/>
          <w:i w:val="1"/>
          <w:iCs w:val="1"/>
          <w:color w:val="auto"/>
        </w:rPr>
      </w:pPr>
    </w:p>
    <w:p>
      <w:pPr>
        <w:ind w:left="760" w:hanging="378"/>
        <w:spacing w:after="0" w:line="238" w:lineRule="auto"/>
        <w:tabs>
          <w:tab w:leader="none" w:pos="760" w:val="left"/>
        </w:tabs>
        <w:numPr>
          <w:ilvl w:val="0"/>
          <w:numId w:val="2"/>
        </w:numPr>
        <w:rPr>
          <w:rFonts w:ascii="Times New Roman" w:cs="Times New Roman" w:eastAsia="Times New Roman" w:hAnsi="Times New Roman"/>
          <w:sz w:val="20"/>
          <w:szCs w:val="20"/>
          <w:i w:val="1"/>
          <w:iCs w:val="1"/>
          <w:color w:val="auto"/>
        </w:rPr>
      </w:pPr>
      <w:r>
        <w:rPr>
          <w:rFonts w:ascii="Arial" w:cs="Arial" w:eastAsia="Arial" w:hAnsi="Arial"/>
          <w:sz w:val="20"/>
          <w:szCs w:val="20"/>
          <w:i w:val="1"/>
          <w:iCs w:val="1"/>
          <w:color w:val="auto"/>
        </w:rPr>
        <w:t>Adjusted EBITDA of $120.6 million versus $116.7 million in the prior year</w:t>
      </w:r>
    </w:p>
    <w:p>
      <w:pPr>
        <w:ind w:left="760" w:right="540" w:hanging="378"/>
        <w:spacing w:after="0" w:line="266" w:lineRule="auto"/>
        <w:tabs>
          <w:tab w:leader="none" w:pos="760" w:val="left"/>
        </w:tabs>
        <w:numPr>
          <w:ilvl w:val="0"/>
          <w:numId w:val="2"/>
        </w:numPr>
        <w:rPr>
          <w:rFonts w:ascii="Times New Roman" w:cs="Times New Roman" w:eastAsia="Times New Roman" w:hAnsi="Times New Roman"/>
          <w:sz w:val="20"/>
          <w:szCs w:val="20"/>
          <w:i w:val="1"/>
          <w:iCs w:val="1"/>
          <w:color w:val="242424"/>
        </w:rPr>
      </w:pPr>
      <w:r>
        <w:rPr>
          <w:rFonts w:ascii="Arial" w:cs="Arial" w:eastAsia="Arial" w:hAnsi="Arial"/>
          <w:sz w:val="20"/>
          <w:szCs w:val="20"/>
          <w:i w:val="1"/>
          <w:iCs w:val="1"/>
          <w:color w:val="242424"/>
        </w:rPr>
        <w:t xml:space="preserve">Increases lower end of fiscal 2025 adjusted EPS outlook by $0.05, now projecting full year adjusted EPS between $3.65 to $3.80 </w:t>
      </w:r>
      <w:r>
        <w:rPr>
          <w:rFonts w:ascii="Arial" w:cs="Arial" w:eastAsia="Arial" w:hAnsi="Arial"/>
          <w:sz w:val="26"/>
          <w:szCs w:val="26"/>
          <w:i w:val="1"/>
          <w:iCs w:val="1"/>
          <w:color w:val="242424"/>
          <w:vertAlign w:val="superscript"/>
        </w:rPr>
        <w:t>(1)</w:t>
      </w:r>
    </w:p>
    <w:p>
      <w:pPr>
        <w:spacing w:after="0" w:line="259"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NEW YORK, NY - March 12, 2025 - ABM (NYSE: ABM), a leading provider of facility solutions, today announced financial results for the first quarter of fiscal 2025.</w:t>
      </w:r>
    </w:p>
    <w:p>
      <w:pPr>
        <w:spacing w:after="0" w:line="155"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“ABM’s first quarter performance reflects a continuation of the key trends we saw in 2024, including strong momentum in Technical Solutions and Aviation, as well as stable conditions in the Education sector. We also delivered solid results in Business &amp; Industry (“B&amp;I”) and Manufacturing &amp; Distribution (“M&amp;D”), despite some moderating headwinds. We are pleased with our first quarter performance and our outlook for the full year remains positive,” said Scott Salmirs, President &amp; Chief Executive Officer.</w:t>
      </w:r>
    </w:p>
    <w:p>
      <w:pPr>
        <w:spacing w:after="0" w:line="175" w:lineRule="exact"/>
        <w:rPr>
          <w:sz w:val="20"/>
          <w:szCs w:val="20"/>
          <w:color w:val="auto"/>
        </w:rPr>
      </w:pPr>
    </w:p>
    <w:p>
      <w:pPr>
        <w:jc w:val="both"/>
        <w:ind w:right="20"/>
        <w:spacing w:after="0" w:line="237" w:lineRule="auto"/>
        <w:rPr>
          <w:sz w:val="20"/>
          <w:szCs w:val="20"/>
          <w:color w:val="auto"/>
        </w:rPr>
      </w:pPr>
      <w:r>
        <w:rPr>
          <w:rFonts w:ascii="Arial" w:cs="Arial" w:eastAsia="Arial" w:hAnsi="Arial"/>
          <w:sz w:val="20"/>
          <w:szCs w:val="20"/>
          <w:color w:val="auto"/>
        </w:rPr>
        <w:t>“We also successfully launched our cloud-based enterprise resource planning (“ERP”) system in the first quarter for B&amp;I and M&amp;D. While we encountered temporary delays in cash flow, we anticipate improvement next quarter and full normalization in the second half. Once fully implemented, we expect this system will drive significant cost efficiencies, enhance our ability to capture synergies from M&amp;A, and provide real-time analytics and reporting to unlock commercial opportunities.”</w:t>
      </w:r>
    </w:p>
    <w:p>
      <w:pPr>
        <w:spacing w:after="0" w:line="172"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Looking ahead, Mr. Salmirs added, “We are confident that the commercial real estate markets we serve, particularly high-quality office buildings, will return to growth in 2025. This optimism is supported by a 24% sequential increase in U.S. commercial office leasing activity during the fourth quarter of the calendar year. Additionally, we expect our other end markets to remain broadly healthy. Coupled with our strong sales pipeline and market-leading technology, these factors strengthen our confidence in achieving our 2025 objectives. As a result, we are raising the lower end of our full year adjusted earnings per share outlook.”</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0046AD"/>
        </w:rPr>
        <w:t>First Quarter Fiscal 2025 Results</w:t>
      </w:r>
    </w:p>
    <w:p>
      <w:pPr>
        <w:spacing w:after="0" w:line="204"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 xml:space="preserve">The Company reported revenue of $ 2.1 billion, reflecting a 2.2% increase over the prior year period, driven by 1.6% organic growth and an additional contribution from acquisitions. </w:t>
      </w:r>
      <w:r>
        <w:rPr>
          <w:rFonts w:ascii="Arial" w:cs="Arial" w:eastAsia="Arial" w:hAnsi="Arial"/>
          <w:sz w:val="20"/>
          <w:szCs w:val="20"/>
          <w:color w:val="242424"/>
        </w:rPr>
        <w:t>Technical Solutions (“ATS”) and Aviation led the growth, with revenue</w:t>
      </w:r>
      <w:r>
        <w:rPr>
          <w:rFonts w:ascii="Arial" w:cs="Arial" w:eastAsia="Arial" w:hAnsi="Arial"/>
          <w:sz w:val="20"/>
          <w:szCs w:val="20"/>
          <w:color w:val="auto"/>
        </w:rPr>
        <w:t xml:space="preserve"> </w:t>
      </w:r>
      <w:r>
        <w:rPr>
          <w:rFonts w:ascii="Arial" w:cs="Arial" w:eastAsia="Arial" w:hAnsi="Arial"/>
          <w:sz w:val="20"/>
          <w:szCs w:val="20"/>
          <w:color w:val="242424"/>
        </w:rPr>
        <w:t xml:space="preserve">increases of </w:t>
      </w:r>
      <w:r>
        <w:rPr>
          <w:rFonts w:ascii="Arial" w:cs="Arial" w:eastAsia="Arial" w:hAnsi="Arial"/>
          <w:sz w:val="20"/>
          <w:szCs w:val="20"/>
          <w:color w:val="000000"/>
        </w:rPr>
        <w:t>22% and 8%, respectively, while Education grew 2%. ATS’ strong performance was fueled primarily by a significant</w:t>
      </w:r>
      <w:r>
        <w:rPr>
          <w:rFonts w:ascii="Arial" w:cs="Arial" w:eastAsia="Arial" w:hAnsi="Arial"/>
          <w:sz w:val="20"/>
          <w:szCs w:val="20"/>
          <w:color w:val="242424"/>
        </w:rPr>
        <w:t xml:space="preserve"> </w:t>
      </w:r>
      <w:r>
        <w:rPr>
          <w:rFonts w:ascii="Arial" w:cs="Arial" w:eastAsia="Arial" w:hAnsi="Arial"/>
          <w:sz w:val="20"/>
          <w:szCs w:val="20"/>
          <w:color w:val="000000"/>
        </w:rPr>
        <w:t>year-over-year expansion in the microgrid service line, while Aviation benefited from healthy market demand and recent contract wins</w:t>
      </w:r>
      <w:r>
        <w:rPr>
          <w:rFonts w:ascii="Arial" w:cs="Arial" w:eastAsia="Arial" w:hAnsi="Arial"/>
          <w:sz w:val="17"/>
          <w:szCs w:val="17"/>
          <w:color w:val="000000"/>
        </w:rPr>
        <w:t>.</w:t>
      </w:r>
      <w:r>
        <w:rPr>
          <w:rFonts w:ascii="Arial" w:cs="Arial" w:eastAsia="Arial" w:hAnsi="Arial"/>
          <w:sz w:val="20"/>
          <w:szCs w:val="20"/>
          <w:color w:val="000000"/>
        </w:rPr>
        <w:t xml:space="preserve"> As expected, </w:t>
      </w:r>
      <w:r>
        <w:rPr>
          <w:rFonts w:ascii="Arial" w:cs="Arial" w:eastAsia="Arial" w:hAnsi="Arial"/>
          <w:sz w:val="17"/>
          <w:szCs w:val="17"/>
          <w:color w:val="000000"/>
        </w:rPr>
        <w:t>B</w:t>
      </w:r>
      <w:r>
        <w:rPr>
          <w:rFonts w:ascii="Arial" w:cs="Arial" w:eastAsia="Arial" w:hAnsi="Arial"/>
          <w:sz w:val="20"/>
          <w:szCs w:val="20"/>
          <w:color w:val="242424"/>
        </w:rPr>
        <w:t>&amp;I and M&amp;D declined slightly.</w:t>
      </w:r>
    </w:p>
    <w:p>
      <w:pPr>
        <w:spacing w:after="0" w:line="214" w:lineRule="exact"/>
        <w:rPr>
          <w:sz w:val="20"/>
          <w:szCs w:val="20"/>
          <w:color w:val="auto"/>
        </w:rPr>
      </w:pPr>
    </w:p>
    <w:p>
      <w:pPr>
        <w:jc w:val="both"/>
        <w:ind w:firstLine="8"/>
        <w:spacing w:after="0" w:line="263" w:lineRule="auto"/>
        <w:tabs>
          <w:tab w:leader="none" w:pos="216" w:val="left"/>
        </w:tabs>
        <w:numPr>
          <w:ilvl w:val="0"/>
          <w:numId w:val="3"/>
        </w:numPr>
        <w:rPr>
          <w:rFonts w:ascii="Arial" w:cs="Arial" w:eastAsia="Arial" w:hAnsi="Arial"/>
          <w:sz w:val="14"/>
          <w:szCs w:val="14"/>
          <w:b w:val="1"/>
          <w:bCs w:val="1"/>
          <w:color w:val="auto"/>
        </w:rPr>
      </w:pPr>
      <w:r>
        <w:rPr>
          <w:rFonts w:ascii="Arial" w:cs="Arial" w:eastAsia="Arial" w:hAnsi="Arial"/>
          <w:sz w:val="14"/>
          <w:szCs w:val="14"/>
          <w:color w:val="auto"/>
        </w:rPr>
        <w:t>When the company provides expectations for adjusted EPS and adjusted EBITDA margin on a forward-looking basis, a reconciliation of the differences between these non-GAAP expectations and the corresponding GAAP measures generally is not available without unreasonable effort. See “Outlook” and “Use of Non-GAAP Financial Information” below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651510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 w:name="page4"/>
    <w:bookmarkEnd w:id="3"/>
    <w:p>
      <w:pPr>
        <w:jc w:val="both"/>
        <w:spacing w:after="0" w:line="237" w:lineRule="auto"/>
        <w:rPr>
          <w:sz w:val="20"/>
          <w:szCs w:val="20"/>
          <w:color w:val="auto"/>
        </w:rPr>
      </w:pPr>
      <w:r>
        <w:rPr>
          <w:rFonts w:ascii="Arial" w:cs="Arial" w:eastAsia="Arial" w:hAnsi="Arial"/>
          <w:sz w:val="20"/>
          <w:szCs w:val="20"/>
          <w:color w:val="242424"/>
        </w:rPr>
        <w:t>N</w:t>
      </w:r>
      <w:r>
        <w:rPr>
          <w:rFonts w:ascii="Arial" w:cs="Arial" w:eastAsia="Arial" w:hAnsi="Arial"/>
          <w:sz w:val="20"/>
          <w:szCs w:val="20"/>
          <w:color w:val="000000"/>
        </w:rPr>
        <w:t>et income for the period was $43.6 million, or $0.69 per diluted share, compared to $44.7 million, or $0.70 per diluted share, in</w:t>
      </w:r>
      <w:r>
        <w:rPr>
          <w:rFonts w:ascii="Arial" w:cs="Arial" w:eastAsia="Arial" w:hAnsi="Arial"/>
          <w:sz w:val="20"/>
          <w:szCs w:val="20"/>
          <w:color w:val="242424"/>
        </w:rPr>
        <w:t xml:space="preserve"> </w:t>
      </w:r>
      <w:r>
        <w:rPr>
          <w:rFonts w:ascii="Arial" w:cs="Arial" w:eastAsia="Arial" w:hAnsi="Arial"/>
          <w:sz w:val="20"/>
          <w:szCs w:val="20"/>
          <w:color w:val="000000"/>
        </w:rPr>
        <w:t>the previous year. These results primarily reflect the benefits of higher segment earnings and the absence of prior year self-insurance adjustments, which were more than offset by higher corporate investments as planned, and a legal settlement. Additionally, diluted EPS benefited from a lower share count.</w:t>
      </w:r>
    </w:p>
    <w:p>
      <w:pPr>
        <w:spacing w:after="0" w:line="172"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Adjusted net income was $55.3 million, or $0.87 per diluted share, compared to $54.8 million, or $0.86 per diluted share, in the prior year period. These increases were driven by higher segment earnings, particularly in ATS, partially offset by higher corporate investments, income taxes, and interest expense. Adjusted EPS also saw a positive impact from a lower share count.</w:t>
      </w:r>
    </w:p>
    <w:p>
      <w:pPr>
        <w:spacing w:after="0" w:line="154"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Adjusted EBITDA for the period was $120.6 million and adjusted EBITDA margin was 5.9% versus $116.7 million and 5.9%, respectively, in the prior year. Adjusted results exclude items impacting comparability. A description of items impacting comparability can be found in the “Reconciliation of Non-GAAP Financial Measures” table.</w:t>
      </w:r>
    </w:p>
    <w:p>
      <w:pPr>
        <w:spacing w:after="0" w:line="171"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Net cash used in operating activities was $106.2 million, and free cash flow was negative $122.9 million, compared to net cash used in operating activities of $0.1 million and free cash flow of negative $13.7 million in the prior year. These results primarily reflect a temporary increase in working capital due to the transition to the Company’s new ERP system. This transition involved extended quality control reviews for invoicing and enhanced hyper-care processes for B&amp;I and M&amp;D to ensure client satisfaction. A reconciliation of net cash provided by operating activities to free cash flow can be found in the “Reconciliation of Non-GAAP Financial Measures” table.</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0046AD"/>
        </w:rPr>
        <w:t>Liquidity, Capital Structure &amp; Share Repurchases</w:t>
      </w:r>
    </w:p>
    <w:p>
      <w:pPr>
        <w:spacing w:after="0" w:line="204"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At the end of the first quarter, the Company’s total indebtedness stood at $1,590.2 million, including $29.7 million in standby letters of credit, resulting in a total leverage ratio of 2.9X, as defined by the Company's credit facility. The Company had available liquidity of $296.9 million, including $59.0 million in cash and cash equivalents.</w:t>
      </w:r>
    </w:p>
    <w:p>
      <w:pPr>
        <w:spacing w:after="0" w:line="171" w:lineRule="exact"/>
        <w:rPr>
          <w:sz w:val="20"/>
          <w:szCs w:val="20"/>
          <w:color w:val="auto"/>
        </w:rPr>
      </w:pPr>
    </w:p>
    <w:p>
      <w:pPr>
        <w:jc w:val="both"/>
        <w:ind w:right="20"/>
        <w:spacing w:after="0" w:line="237" w:lineRule="auto"/>
        <w:rPr>
          <w:sz w:val="20"/>
          <w:szCs w:val="20"/>
          <w:color w:val="auto"/>
        </w:rPr>
      </w:pPr>
      <w:r>
        <w:rPr>
          <w:rFonts w:ascii="Arial" w:cs="Arial" w:eastAsia="Arial" w:hAnsi="Arial"/>
          <w:sz w:val="20"/>
          <w:szCs w:val="20"/>
          <w:color w:val="auto"/>
        </w:rPr>
        <w:t>Following the quarter’s end, the Company successfully amended and extended its senior secured credit agreement. The revised credit facility now totals $2.2 billion, consisting of a $1.6 billion revolving credit facility and a $600 million amortizing term loan, maturing on February 26, 2030. This replaced a $ 1.3 billion revolving credit facility and a $650 million amortizing term loan, which had an outstanding balance of $528 million at the time of the extension.</w:t>
      </w:r>
    </w:p>
    <w:p>
      <w:pPr>
        <w:spacing w:after="0" w:line="172"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During the first quarter, the Company repurchased 0.4 million shares of common stock at an average price of $51.23 per share, totaling $21.3 million. At quarter-end, $133 million remained available under the Company’s share repurchase program.</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0046AD"/>
        </w:rPr>
        <w:t>Quarterly Cash Dividend</w:t>
      </w:r>
    </w:p>
    <w:p>
      <w:pPr>
        <w:spacing w:after="0" w:line="204" w:lineRule="exact"/>
        <w:rPr>
          <w:sz w:val="20"/>
          <w:szCs w:val="20"/>
          <w:color w:val="auto"/>
        </w:rPr>
      </w:pPr>
    </w:p>
    <w:p>
      <w:pPr>
        <w:jc w:val="both"/>
        <w:spacing w:after="0" w:line="281" w:lineRule="auto"/>
        <w:rPr>
          <w:sz w:val="20"/>
          <w:szCs w:val="20"/>
          <w:color w:val="auto"/>
        </w:rPr>
      </w:pPr>
      <w:r>
        <w:rPr>
          <w:rFonts w:ascii="Arial" w:cs="Arial" w:eastAsia="Arial" w:hAnsi="Arial"/>
          <w:sz w:val="20"/>
          <w:szCs w:val="20"/>
          <w:color w:val="auto"/>
        </w:rPr>
        <w:t>After the quarter’s close, the Company’s Board of Directors declared a cash dividend of $0.265 per common share, payable on May 5, 2025, to shareholders of record on April 3, 2025. This marks the Company’s 236</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consecutive quarterly cash dividend.</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b w:val="1"/>
          <w:bCs w:val="1"/>
          <w:color w:val="0046AD"/>
        </w:rPr>
        <w:t>Outlook</w:t>
      </w:r>
    </w:p>
    <w:p>
      <w:pPr>
        <w:spacing w:after="0" w:line="204"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The Company is raising the lower end of its fiscal year 2025 adjusted EPS outlook by $0.05 while reaffirming its full year adjusted EBITDA margin forecast. Adjusted EPS is now projected to range between $3.65 and $3.80. The projected full year adjusted EBITDA margin remains unchanged at 6.3% to 6.5%. Additionally, the Company now expects full year interest expense to be between $80 million and $84 million, an increase of $4 million from the previous forecast.</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 w:name="page5"/>
    <w:bookmarkEnd w:id="4"/>
    <w:p>
      <w:pPr>
        <w:jc w:val="both"/>
        <w:spacing w:after="0" w:line="234" w:lineRule="auto"/>
        <w:rPr>
          <w:sz w:val="20"/>
          <w:szCs w:val="20"/>
          <w:color w:val="auto"/>
        </w:rPr>
      </w:pPr>
      <w:r>
        <w:rPr>
          <w:rFonts w:ascii="Arial" w:cs="Arial" w:eastAsia="Arial" w:hAnsi="Arial"/>
          <w:sz w:val="20"/>
          <w:szCs w:val="20"/>
          <w:color w:val="auto"/>
        </w:rPr>
        <w:t>The Company cannot provide a reconciliation of the differences between the non-GAAP expectations and corresponding GAAP measure for adjusted EPS in 2025 without unreasonable effort, as we believe a GAAP range would be too large and variable to be meaningful due to the uncertainty of the amount and timing of any gains or losses related to, but not limited to, items such as adjustments to contingent consideration, prior-year self-insurance adjustments, acquisition and integration related costs, legal costs and other settlements, as well as transformation initiative costs.</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0046AD"/>
        </w:rPr>
        <w:t>Conference Call Information</w:t>
      </w:r>
    </w:p>
    <w:p>
      <w:pPr>
        <w:spacing w:after="0" w:line="204"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 xml:space="preserve">ABM will host its quarterly conference call for all interested parties on Wednesday, March 12, 2025, at 8:30 AM (ET). The live conference call can be accessed via audio webcast at the “Investors” section of the Company's website, located at </w:t>
      </w:r>
      <w:r>
        <w:rPr>
          <w:rFonts w:ascii="Arial" w:cs="Arial" w:eastAsia="Arial" w:hAnsi="Arial"/>
          <w:sz w:val="20"/>
          <w:szCs w:val="20"/>
          <w:u w:val="single" w:color="auto"/>
          <w:color w:val="0563C1"/>
        </w:rPr>
        <w:t>www.abm.com</w:t>
      </w:r>
      <w:r>
        <w:rPr>
          <w:rFonts w:ascii="Arial" w:cs="Arial" w:eastAsia="Arial" w:hAnsi="Arial"/>
          <w:sz w:val="20"/>
          <w:szCs w:val="20"/>
          <w:color w:val="000000"/>
        </w:rPr>
        <w:t>, or by dialing (877) 451-6152 (domestic) or (201) 389-0879 (international) approximately 15 minutes prior to the</w:t>
      </w:r>
      <w:r>
        <w:rPr>
          <w:rFonts w:ascii="Arial" w:cs="Arial" w:eastAsia="Arial" w:hAnsi="Arial"/>
          <w:sz w:val="20"/>
          <w:szCs w:val="20"/>
          <w:color w:val="0563C1"/>
        </w:rPr>
        <w:t xml:space="preserve"> </w:t>
      </w:r>
      <w:r>
        <w:rPr>
          <w:rFonts w:ascii="Arial" w:cs="Arial" w:eastAsia="Arial" w:hAnsi="Arial"/>
          <w:sz w:val="20"/>
          <w:szCs w:val="20"/>
          <w:color w:val="000000"/>
        </w:rPr>
        <w:t>scheduled time.</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color w:val="auto"/>
        </w:rPr>
        <w:t>A supplemental presentation will accompany the webcast on the Company's website.</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A replay will be available approximately three hours after the webcast through March 26, 2025, and can be accessed by dialing</w:t>
      </w:r>
    </w:p>
    <w:p>
      <w:pPr>
        <w:ind w:left="540" w:hanging="532"/>
        <w:spacing w:after="0" w:line="229" w:lineRule="auto"/>
        <w:tabs>
          <w:tab w:leader="none" w:pos="540" w:val="left"/>
        </w:tabs>
        <w:numPr>
          <w:ilvl w:val="0"/>
          <w:numId w:val="4"/>
        </w:numPr>
        <w:rPr>
          <w:rFonts w:ascii="Arial" w:cs="Arial" w:eastAsia="Arial" w:hAnsi="Arial"/>
          <w:sz w:val="20"/>
          <w:szCs w:val="20"/>
          <w:color w:val="auto"/>
        </w:rPr>
      </w:pPr>
      <w:r>
        <w:rPr>
          <w:rFonts w:ascii="Arial" w:cs="Arial" w:eastAsia="Arial" w:hAnsi="Arial"/>
          <w:sz w:val="20"/>
          <w:szCs w:val="20"/>
          <w:color w:val="auto"/>
        </w:rPr>
        <w:t>512-2921 and then entering ID #13751302. A replay link of the webcast will also be archived on the ABM website for 90</w:t>
      </w:r>
    </w:p>
    <w:p>
      <w:pPr>
        <w:spacing w:after="0"/>
        <w:rPr>
          <w:rFonts w:ascii="Arial" w:cs="Arial" w:eastAsia="Arial" w:hAnsi="Arial"/>
          <w:sz w:val="20"/>
          <w:szCs w:val="20"/>
          <w:color w:val="auto"/>
        </w:rPr>
      </w:pPr>
      <w:r>
        <w:rPr>
          <w:rFonts w:ascii="Arial" w:cs="Arial" w:eastAsia="Arial" w:hAnsi="Arial"/>
          <w:sz w:val="20"/>
          <w:szCs w:val="20"/>
          <w:color w:val="auto"/>
        </w:rPr>
        <w:t>days.</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0046AC"/>
        </w:rPr>
        <w:t>About ABM</w:t>
      </w:r>
    </w:p>
    <w:p>
      <w:pPr>
        <w:spacing w:after="0" w:line="204"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ABM (NYSE: ABM) is one of the world’s largest providers of integrated facility, engineering, and infrastructure solutions. Every day, our over 100,000 team members deliver essential services that make spaces cleaner, safer, and efficient, enhancing the overall occupant experience.</w:t>
      </w:r>
    </w:p>
    <w:p>
      <w:pPr>
        <w:spacing w:after="0" w:line="171"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ABM serves a wide range of market sectors including commercial real estate, aviation, mission critical, and manufacturing and distribution. With over $8 billion in annual revenue and a blue-chip client base, ABM delivers innovative technologies and sustainable solutions that enhance facilities and empower clients to achieve their goals. Committed to creating smarter, more connected spaces, ABM is investing in the future to meet evolving challenges and build a healthier, thriving world. ABM: Driving possibility, together.</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For more information, visit www.abm.com</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0046AD"/>
        </w:rPr>
        <w:t>Cautionary Statement under the Private Securities Litigation Reform Act of 1995</w:t>
      </w:r>
    </w:p>
    <w:p>
      <w:pPr>
        <w:spacing w:after="0" w:line="204" w:lineRule="exact"/>
        <w:rPr>
          <w:sz w:val="20"/>
          <w:szCs w:val="20"/>
          <w:color w:val="auto"/>
        </w:rPr>
      </w:pPr>
    </w:p>
    <w:p>
      <w:pPr>
        <w:jc w:val="both"/>
        <w:spacing w:after="0"/>
        <w:rPr>
          <w:sz w:val="20"/>
          <w:szCs w:val="20"/>
          <w:color w:val="auto"/>
        </w:rPr>
      </w:pPr>
      <w:r>
        <w:rPr>
          <w:rFonts w:ascii="Arial" w:cs="Arial" w:eastAsia="Arial" w:hAnsi="Arial"/>
          <w:sz w:val="19"/>
          <w:szCs w:val="19"/>
          <w:i w:val="1"/>
          <w:iCs w:val="1"/>
          <w:color w:val="auto"/>
        </w:rPr>
        <w:t>This press release contains both historical and forward-looking statements about ABM Industries Incorporated (“ABM”) and its subsidiaries (collectively referred to as “ABM,” “we,” “us,” “our,” or the “Company”). We make forward-looking statements related to future expectations, estimates and projections that are uncertain, and often contain words such as “anticipate,” “believe,” “could,” “estimate,” “expect,” “forecast,” “intend,” “likely,” “may,” “outlook,” “plan,” “predict,” “should,” “target,” or other similar words or phrases. These statements are not guarantees of future performance and are subject to known and unknown risks, uncertainties, and assumptions that are difficult to predict. For us, particular uncertainties that could cause our actual results to be materially different from those expressed in our forward-looking statements include: our success depends on our ability to gain profitable business despite competitive market pressures; our results of operations can be adversely affected by labor shortages, turnover, and labor cost increases; we may not be able to attract and retain qualified personnel and senior management we need to support our business; investments in and changes to our businesses, operating structure, or personnel relating to our ELEVATE strategy, including the implementation of strategic transformations, enhanced business processes, and technology initiatives may not have the desired effects on our financial condition and results of operations; our ability to preserve long-term client relationships is essential to our continued success; our use of subcontractors or joint venture partners to perform work under customer contracts exposes us to liability and financial risk; our international business involves risks different from those we face in the United States that could negatively impact our results of operations and financial condition;</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 w:name="page6"/>
    <w:bookmarkEnd w:id="5"/>
    <w:p>
      <w:pPr>
        <w:jc w:val="both"/>
        <w:spacing w:after="0" w:line="226" w:lineRule="auto"/>
        <w:rPr>
          <w:sz w:val="20"/>
          <w:szCs w:val="20"/>
          <w:color w:val="auto"/>
        </w:rPr>
      </w:pPr>
      <w:r>
        <w:rPr>
          <w:rFonts w:ascii="Arial" w:cs="Arial" w:eastAsia="Arial" w:hAnsi="Arial"/>
          <w:sz w:val="20"/>
          <w:szCs w:val="20"/>
          <w:i w:val="1"/>
          <w:iCs w:val="1"/>
          <w:color w:val="auto"/>
        </w:rPr>
        <w:t>decreases in commercial office space utilization due to hybrid work models and increases in office vacancy rates could adversely affect our financial condition; negative changes in general economic conditions, such as recessionary pressures, high interest rates, durable and non-durable goods pricing, changes in energy prices, or changes in consumer goods pricing, could reduce the demand for services and, as a result, reduce our revenue and earnings and adversely affect our financial condition; we may experience breaches of, or disruptions to, our information technology systems or those of our third-party providers or clients, or other compromises of our data that could adversely affect our business; our ongoing implementation of new enterprise resource planning (“ERP”) and related boundary systems could adversely impact our ability to operate our business and report our financial results; acquisitions, divestitures, and other strategic transactions could fail to achieve financial or strategic objectives, disrupt our ongoing business, and adversely impact our results of operations; we manage our insurable risks through a combination of third-party purchased policies and self-insurance, and we retain a substantial portion of the risk associated with expected losses under these programs, which exposes us to volatility associated with those risks, including the possibility that changes in estimates to our ultimate insurance loss reserves could result in material charges against our earnings; our risk management and safety programs may not have the intended effect of reducing our liability for personal injury or property loss; unfavorable developments in our class and representative actions and other lawsuits alleging various claims could cause us to incur substantial liabilities; we are subject to extensive legal and regulatory requirements, which could limit our profitability by increasing the costs of legal and regulatory compliance; a significant number of our employees are covered by collective bargaining agreements that could expose us to potential liabilities in relation to our participation in multiemployer pension plans, requirements to make contributions to other benefit plans, and the potential for strikes, work slowdowns or similar activities, and union organizing drives; our business may be materially affected by changes to fiscal and tax policies; negative or unexpected tax consequences could adversely affect our results of operations; future increases in the level of our borrowings and interest rates could affect our results of operations; impairment of goodwill and long-lived assets could have a material adverse effect on our financial condition and results of operations; if we fail to maintain proper and effective internal control over financial reporting in the future, our ability to produce accurate and timely financial statements could be negatively impacted, which could harm our operating results and investor perceptions of our Company and as a result may have a material adverse effect on the value of our common stock; our business may be negatively impacted by adverse weather conditions; catastrophic events, disasters, pandemics, and terrorist attacks could disrupt our services; and actions of activist investors could disrupt our business. For additional information on these and other risks and uncertainties we face, see ABM’s risk factors, as they may be amended from time to time, set forth in our filings with the Securities and Exchange Commission, including our most recent Annual Report on Form 10-K and subsequent filings. We urge readers to consider these risks and uncertainties in evaluating our forward-looking statements.</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0046AD"/>
        </w:rPr>
        <w:t>Use of Non-GAAP Financial Information</w:t>
      </w:r>
    </w:p>
    <w:p>
      <w:pPr>
        <w:spacing w:after="0" w:line="204" w:lineRule="exact"/>
        <w:rPr>
          <w:sz w:val="20"/>
          <w:szCs w:val="20"/>
          <w:color w:val="auto"/>
        </w:rPr>
      </w:pPr>
    </w:p>
    <w:p>
      <w:pPr>
        <w:jc w:val="both"/>
        <w:spacing w:after="0" w:line="229" w:lineRule="auto"/>
        <w:rPr>
          <w:sz w:val="20"/>
          <w:szCs w:val="20"/>
          <w:color w:val="auto"/>
        </w:rPr>
      </w:pPr>
      <w:r>
        <w:rPr>
          <w:rFonts w:ascii="Arial" w:cs="Arial" w:eastAsia="Arial" w:hAnsi="Arial"/>
          <w:sz w:val="20"/>
          <w:szCs w:val="20"/>
          <w:i w:val="1"/>
          <w:iCs w:val="1"/>
          <w:color w:val="auto"/>
        </w:rPr>
        <w:t>To supplement ABM’s consolidated financial information, the Company has presented net income and net income per diluted share as adjusted for items impacting comparability for the first quarter of fiscal years 2025 and 2024. These adjustments have been made with the intent of providing financial measures that give management and investors a better understanding of the underlying operational results and trends as well as ABM’s operational performance. In addition, the Company has presented earnings before interest, taxes, depreciation and amortization, and excluding items impacting comparability (adjusted EBITDA) for the first quarter of fiscal years 2025 and 2024. Adjusted EBITDA is among the indicators management uses as a basis for planning and forecasting future periods. Adjusted EBITDA margin is defined as adjusted EBITDA divided by revenue excluding management reimbursement. We cannot provide a reconciliation of forward-looking non-GAAP adjusted EBITDA margin measures to GAAP due to the inherent difficulty in forecasting and quantifying certain amounts that are necessary for such reconciliation. The Company has also presented Free Cash Flow which is defined as net cash provided by (used in) operating activities less additions to property, plant and equipment. The presentation of these non-GAAP financial measures is not meant to be considered in</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6" w:name="page7"/>
    <w:bookmarkEnd w:id="6"/>
    <w:p>
      <w:pPr>
        <w:jc w:val="both"/>
        <w:spacing w:after="0" w:line="241" w:lineRule="auto"/>
        <w:rPr>
          <w:sz w:val="20"/>
          <w:szCs w:val="20"/>
          <w:color w:val="auto"/>
        </w:rPr>
      </w:pPr>
      <w:r>
        <w:rPr>
          <w:rFonts w:ascii="Arial" w:cs="Arial" w:eastAsia="Arial" w:hAnsi="Arial"/>
          <w:sz w:val="20"/>
          <w:szCs w:val="20"/>
          <w:i w:val="1"/>
          <w:iCs w:val="1"/>
          <w:color w:val="auto"/>
        </w:rPr>
        <w:t>isolation or as a substitute for financial statements prepared in accordance with accounting principles generally accepted in the United States of America. (See accompanying financial tables for supplemental financial data and corresponding reconciliations to certain GAAP financial measures.)</w:t>
      </w:r>
    </w:p>
    <w:p>
      <w:pPr>
        <w:spacing w:after="0" w:line="25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i w:val="1"/>
          <w:iCs w:val="1"/>
          <w:color w:val="auto"/>
        </w:rPr>
        <w:t>We round amounts to millions but calculate all percentages and per-share data from the underlying whole-dollar amounts. As a result, certain amounts may not foot, crossfoot, or recalculate based on reported numbers due to rounding. Unless otherwise noted, all references to years are to our fiscal year, which ends on October 31.</w:t>
      </w:r>
    </w:p>
    <w:p>
      <w:pPr>
        <w:spacing w:after="0" w:line="200" w:lineRule="exact"/>
        <w:rPr>
          <w:sz w:val="20"/>
          <w:szCs w:val="20"/>
          <w:color w:val="auto"/>
        </w:rPr>
      </w:pPr>
    </w:p>
    <w:p>
      <w:pPr>
        <w:spacing w:after="0" w:line="280" w:lineRule="exact"/>
        <w:rPr>
          <w:sz w:val="20"/>
          <w:szCs w:val="20"/>
          <w:color w:val="auto"/>
        </w:rPr>
      </w:pPr>
    </w:p>
    <w:p>
      <w:pPr>
        <w:ind w:left="60"/>
        <w:spacing w:after="0"/>
        <w:rPr>
          <w:sz w:val="20"/>
          <w:szCs w:val="20"/>
          <w:color w:val="auto"/>
        </w:rPr>
      </w:pPr>
      <w:r>
        <w:rPr>
          <w:rFonts w:ascii="Arial" w:cs="Arial" w:eastAsia="Arial" w:hAnsi="Arial"/>
          <w:sz w:val="20"/>
          <w:szCs w:val="20"/>
          <w:b w:val="1"/>
          <w:bCs w:val="1"/>
          <w:u w:val="single" w:color="auto"/>
          <w:color w:val="auto"/>
        </w:rPr>
        <w:t>Contact:</w:t>
      </w:r>
    </w:p>
    <w:p>
      <w:pPr>
        <w:spacing w:after="0" w:line="83" w:lineRule="exact"/>
        <w:rPr>
          <w:sz w:val="20"/>
          <w:szCs w:val="20"/>
          <w:color w:val="auto"/>
        </w:rPr>
      </w:pPr>
    </w:p>
    <w:p>
      <w:pPr>
        <w:ind w:left="60"/>
        <w:spacing w:after="0"/>
        <w:tabs>
          <w:tab w:leader="none" w:pos="2860" w:val="left"/>
        </w:tabs>
        <w:rPr>
          <w:sz w:val="20"/>
          <w:szCs w:val="20"/>
          <w:color w:val="auto"/>
        </w:rPr>
      </w:pPr>
      <w:r>
        <w:rPr>
          <w:rFonts w:ascii="Arial" w:cs="Arial" w:eastAsia="Arial" w:hAnsi="Arial"/>
          <w:sz w:val="20"/>
          <w:szCs w:val="20"/>
          <w:color w:val="auto"/>
        </w:rPr>
        <w:t>Investor Relations:</w:t>
      </w:r>
      <w:r>
        <w:rPr>
          <w:sz w:val="20"/>
          <w:szCs w:val="20"/>
          <w:color w:val="auto"/>
        </w:rPr>
        <w:tab/>
      </w:r>
      <w:r>
        <w:rPr>
          <w:rFonts w:ascii="Arial" w:cs="Arial" w:eastAsia="Arial" w:hAnsi="Arial"/>
          <w:sz w:val="19"/>
          <w:szCs w:val="19"/>
          <w:color w:val="auto"/>
        </w:rPr>
        <w:t>Paul Goldberg</w:t>
      </w:r>
    </w:p>
    <w:p>
      <w:pPr>
        <w:spacing w:after="0" w:line="81" w:lineRule="exact"/>
        <w:rPr>
          <w:sz w:val="20"/>
          <w:szCs w:val="20"/>
          <w:color w:val="auto"/>
        </w:rPr>
      </w:pPr>
    </w:p>
    <w:p>
      <w:pPr>
        <w:ind w:left="3400" w:hanging="523"/>
        <w:spacing w:after="0"/>
        <w:tabs>
          <w:tab w:leader="none" w:pos="3400" w:val="left"/>
        </w:tabs>
        <w:numPr>
          <w:ilvl w:val="0"/>
          <w:numId w:val="5"/>
        </w:numPr>
        <w:rPr>
          <w:rFonts w:ascii="Arial" w:cs="Arial" w:eastAsia="Arial" w:hAnsi="Arial"/>
          <w:sz w:val="20"/>
          <w:szCs w:val="20"/>
          <w:color w:val="auto"/>
        </w:rPr>
      </w:pPr>
      <w:r>
        <w:rPr>
          <w:rFonts w:ascii="Arial" w:cs="Arial" w:eastAsia="Arial" w:hAnsi="Arial"/>
          <w:sz w:val="20"/>
          <w:szCs w:val="20"/>
          <w:color w:val="auto"/>
        </w:rPr>
        <w:t>297-9721</w:t>
      </w:r>
    </w:p>
    <w:p>
      <w:pPr>
        <w:spacing w:after="0" w:line="80" w:lineRule="exact"/>
        <w:rPr>
          <w:rFonts w:ascii="Arial" w:cs="Arial" w:eastAsia="Arial" w:hAnsi="Arial"/>
          <w:sz w:val="20"/>
          <w:szCs w:val="20"/>
          <w:color w:val="auto"/>
        </w:rPr>
      </w:pPr>
    </w:p>
    <w:p>
      <w:pPr>
        <w:ind w:left="2880"/>
        <w:spacing w:after="0"/>
        <w:rPr>
          <w:rFonts w:ascii="Arial" w:cs="Arial" w:eastAsia="Arial" w:hAnsi="Arial"/>
          <w:sz w:val="20"/>
          <w:szCs w:val="20"/>
          <w:color w:val="auto"/>
        </w:rPr>
      </w:pPr>
      <w:r>
        <w:rPr>
          <w:rFonts w:ascii="Arial" w:cs="Arial" w:eastAsia="Arial" w:hAnsi="Arial"/>
          <w:sz w:val="20"/>
          <w:szCs w:val="20"/>
          <w:color w:val="auto"/>
        </w:rPr>
        <w:t>ir@abm.com</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7" w:name="page8"/>
    <w:bookmarkEnd w:id="7"/>
    <w:p>
      <w:pPr>
        <w:ind w:right="4740"/>
        <w:spacing w:after="0" w:line="398" w:lineRule="auto"/>
        <w:rPr>
          <w:sz w:val="20"/>
          <w:szCs w:val="20"/>
          <w:color w:val="auto"/>
        </w:rPr>
      </w:pPr>
      <w:r>
        <w:rPr>
          <w:rFonts w:ascii="Arial" w:cs="Arial" w:eastAsia="Arial" w:hAnsi="Arial"/>
          <w:sz w:val="19"/>
          <w:szCs w:val="19"/>
          <w:b w:val="1"/>
          <w:bCs w:val="1"/>
          <w:color w:val="0046AD"/>
        </w:rPr>
        <w:t>ABM INDUSTRIES INCORPORATED AND SUBSIDIARIES CONSOLIDATED INCOME STATEMENT INFORMATION (UNAUDITED)</w:t>
      </w:r>
    </w:p>
    <w:tbl>
      <w:tblPr>
        <w:tblLayout w:type="fixed"/>
        <w:tblInd w:w="0" w:type="dxa"/>
        <w:tblCellMar>
          <w:top w:w="0" w:type="dxa"/>
          <w:left w:w="0" w:type="dxa"/>
          <w:bottom w:w="0" w:type="dxa"/>
          <w:right w:w="0" w:type="dxa"/>
        </w:tblCellMar>
      </w:tblPr>
      <w:tr>
        <w:trPr>
          <w:trHeight w:val="224"/>
        </w:trPr>
        <w:tc>
          <w:tcPr>
            <w:tcW w:w="6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3260" w:type="dxa"/>
            <w:vAlign w:val="bottom"/>
            <w:tcBorders>
              <w:bottom w:val="single" w:sz="8" w:color="auto"/>
            </w:tcBorders>
            <w:gridSpan w:val="5"/>
          </w:tcPr>
          <w:p>
            <w:pPr>
              <w:jc w:val="right"/>
              <w:ind w:right="279"/>
              <w:spacing w:after="0"/>
              <w:rPr>
                <w:sz w:val="20"/>
                <w:szCs w:val="20"/>
                <w:color w:val="auto"/>
              </w:rPr>
            </w:pPr>
            <w:r>
              <w:rPr>
                <w:rFonts w:ascii="Arial" w:cs="Arial" w:eastAsia="Arial" w:hAnsi="Arial"/>
                <w:sz w:val="16"/>
                <w:szCs w:val="16"/>
                <w:b w:val="1"/>
                <w:bCs w:val="1"/>
                <w:color w:val="auto"/>
              </w:rPr>
              <w:t>Three Months Ended January 31,</w:t>
            </w:r>
          </w:p>
        </w:tc>
        <w:tc>
          <w:tcPr>
            <w:tcW w:w="152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02"/>
        </w:trPr>
        <w:tc>
          <w:tcPr>
            <w:tcW w:w="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520" w:type="dxa"/>
            <w:vAlign w:val="bottom"/>
          </w:tcPr>
          <w:p>
            <w:pPr>
              <w:ind w:left="560"/>
              <w:spacing w:after="0"/>
              <w:rPr>
                <w:sz w:val="20"/>
                <w:szCs w:val="20"/>
                <w:color w:val="auto"/>
              </w:rPr>
            </w:pPr>
            <w:r>
              <w:rPr>
                <w:rFonts w:ascii="Arial" w:cs="Arial" w:eastAsia="Arial" w:hAnsi="Arial"/>
                <w:sz w:val="16"/>
                <w:szCs w:val="16"/>
                <w:b w:val="1"/>
                <w:bCs w:val="1"/>
                <w:color w:val="auto"/>
              </w:rPr>
              <w:t>Increase /</w:t>
            </w:r>
          </w:p>
        </w:tc>
        <w:tc>
          <w:tcPr>
            <w:tcW w:w="200" w:type="dxa"/>
            <w:vAlign w:val="bottom"/>
          </w:tcPr>
          <w:p>
            <w:pPr>
              <w:spacing w:after="0"/>
              <w:rPr>
                <w:sz w:val="17"/>
                <w:szCs w:val="17"/>
                <w:color w:val="auto"/>
              </w:rPr>
            </w:pPr>
          </w:p>
        </w:tc>
      </w:tr>
      <w:tr>
        <w:trPr>
          <w:trHeight w:val="190"/>
        </w:trPr>
        <w:tc>
          <w:tcPr>
            <w:tcW w:w="6260" w:type="dxa"/>
            <w:vAlign w:val="bottom"/>
            <w:gridSpan w:val="3"/>
          </w:tcPr>
          <w:p>
            <w:pPr>
              <w:ind w:left="60"/>
              <w:spacing w:after="0"/>
              <w:rPr>
                <w:sz w:val="20"/>
                <w:szCs w:val="20"/>
                <w:color w:val="auto"/>
              </w:rPr>
            </w:pPr>
            <w:r>
              <w:rPr>
                <w:rFonts w:ascii="Times New Roman" w:cs="Times New Roman" w:eastAsia="Times New Roman" w:hAnsi="Times New Roman"/>
                <w:sz w:val="14"/>
                <w:szCs w:val="14"/>
                <w:i w:val="1"/>
                <w:iCs w:val="1"/>
                <w:color w:val="auto"/>
              </w:rPr>
              <w:t>(in millions, except per share amounts)</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2025</w:t>
            </w:r>
          </w:p>
        </w:tc>
        <w:tc>
          <w:tcPr>
            <w:tcW w:w="560" w:type="dxa"/>
            <w:vAlign w:val="bottom"/>
          </w:tcPr>
          <w:p>
            <w:pPr>
              <w:spacing w:after="0"/>
              <w:rPr>
                <w:sz w:val="16"/>
                <w:szCs w:val="16"/>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b w:val="1"/>
                <w:bCs w:val="1"/>
                <w:color w:val="auto"/>
              </w:rPr>
              <w:t>2024</w:t>
            </w:r>
          </w:p>
        </w:tc>
        <w:tc>
          <w:tcPr>
            <w:tcW w:w="580" w:type="dxa"/>
            <w:vAlign w:val="bottom"/>
          </w:tcPr>
          <w:p>
            <w:pPr>
              <w:spacing w:after="0"/>
              <w:rPr>
                <w:sz w:val="16"/>
                <w:szCs w:val="16"/>
                <w:color w:val="auto"/>
              </w:rPr>
            </w:pPr>
          </w:p>
        </w:tc>
        <w:tc>
          <w:tcPr>
            <w:tcW w:w="1520" w:type="dxa"/>
            <w:vAlign w:val="bottom"/>
          </w:tcPr>
          <w:p>
            <w:pPr>
              <w:ind w:left="540"/>
              <w:spacing w:after="0"/>
              <w:rPr>
                <w:sz w:val="20"/>
                <w:szCs w:val="20"/>
                <w:color w:val="auto"/>
              </w:rPr>
            </w:pPr>
            <w:r>
              <w:rPr>
                <w:rFonts w:ascii="Arial" w:cs="Arial" w:eastAsia="Arial" w:hAnsi="Arial"/>
                <w:sz w:val="16"/>
                <w:szCs w:val="16"/>
                <w:b w:val="1"/>
                <w:bCs w:val="1"/>
                <w:color w:val="auto"/>
              </w:rPr>
              <w:t>(Decrease)</w:t>
            </w:r>
          </w:p>
        </w:tc>
        <w:tc>
          <w:tcPr>
            <w:tcW w:w="200" w:type="dxa"/>
            <w:vAlign w:val="bottom"/>
          </w:tcPr>
          <w:p>
            <w:pPr>
              <w:spacing w:after="0"/>
              <w:rPr>
                <w:sz w:val="16"/>
                <w:szCs w:val="16"/>
                <w:color w:val="auto"/>
              </w:rPr>
            </w:pPr>
          </w:p>
        </w:tc>
      </w:tr>
      <w:tr>
        <w:trPr>
          <w:trHeight w:val="20"/>
        </w:trPr>
        <w:tc>
          <w:tcPr>
            <w:tcW w:w="60" w:type="dxa"/>
            <w:vAlign w:val="bottom"/>
          </w:tcPr>
          <w:p>
            <w:pPr>
              <w:spacing w:after="0" w:line="20" w:lineRule="exact"/>
              <w:rPr>
                <w:sz w:val="1"/>
                <w:szCs w:val="1"/>
                <w:color w:val="auto"/>
              </w:rPr>
            </w:pPr>
          </w:p>
        </w:tc>
        <w:tc>
          <w:tcPr>
            <w:tcW w:w="2240" w:type="dxa"/>
            <w:vAlign w:val="bottom"/>
            <w:tcBorders>
              <w:top w:val="single" w:sz="8" w:color="auto"/>
            </w:tcBorders>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43"/>
        </w:trPr>
        <w:tc>
          <w:tcPr>
            <w:tcW w:w="6260" w:type="dxa"/>
            <w:vAlign w:val="bottom"/>
            <w:tcBorders>
              <w:bottom w:val="single" w:sz="8" w:color="DCE2EF"/>
            </w:tcBorders>
            <w:gridSpan w:val="3"/>
            <w:shd w:val="clear" w:color="auto" w:fill="DCE2EF"/>
          </w:tcPr>
          <w:p>
            <w:pPr>
              <w:ind w:left="60"/>
              <w:spacing w:after="0"/>
              <w:rPr>
                <w:sz w:val="20"/>
                <w:szCs w:val="20"/>
                <w:color w:val="auto"/>
              </w:rPr>
            </w:pPr>
            <w:r>
              <w:rPr>
                <w:rFonts w:ascii="Arial" w:cs="Arial" w:eastAsia="Arial" w:hAnsi="Arial"/>
                <w:sz w:val="16"/>
                <w:szCs w:val="16"/>
                <w:b w:val="1"/>
                <w:bCs w:val="1"/>
                <w:color w:val="auto"/>
              </w:rPr>
              <w:t>Revenues</w:t>
            </w:r>
          </w:p>
        </w:tc>
        <w:tc>
          <w:tcPr>
            <w:tcW w:w="960" w:type="dxa"/>
            <w:vAlign w:val="bottom"/>
            <w:tcBorders>
              <w:bottom w:val="single" w:sz="8" w:color="DCE2EF"/>
            </w:tcBorders>
            <w:shd w:val="clear" w:color="auto" w:fill="DCE2EF"/>
          </w:tcPr>
          <w:p>
            <w:pPr>
              <w:jc w:val="right"/>
              <w:ind w:right="17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2,114.9</w:t>
            </w:r>
          </w:p>
        </w:tc>
        <w:tc>
          <w:tcPr>
            <w:tcW w:w="1160" w:type="dxa"/>
            <w:vAlign w:val="bottom"/>
            <w:tcBorders>
              <w:bottom w:val="single" w:sz="8" w:color="DCE2EF"/>
            </w:tcBorders>
            <w:gridSpan w:val="2"/>
            <w:shd w:val="clear" w:color="auto" w:fill="DCE2EF"/>
          </w:tcPr>
          <w:p>
            <w:pPr>
              <w:jc w:val="right"/>
              <w:ind w:right="260"/>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2,069.6</w:t>
            </w:r>
          </w:p>
        </w:tc>
        <w:tc>
          <w:tcPr>
            <w:tcW w:w="152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2.2</w:t>
            </w:r>
          </w:p>
        </w:tc>
        <w:tc>
          <w:tcPr>
            <w:tcW w:w="20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w:t>
            </w:r>
          </w:p>
        </w:tc>
      </w:tr>
      <w:tr>
        <w:trPr>
          <w:trHeight w:val="276"/>
        </w:trPr>
        <w:tc>
          <w:tcPr>
            <w:tcW w:w="6260" w:type="dxa"/>
            <w:vAlign w:val="bottom"/>
            <w:gridSpan w:val="3"/>
          </w:tcPr>
          <w:p>
            <w:pPr>
              <w:ind w:left="60"/>
              <w:spacing w:after="0"/>
              <w:rPr>
                <w:sz w:val="20"/>
                <w:szCs w:val="20"/>
                <w:color w:val="auto"/>
              </w:rPr>
            </w:pPr>
            <w:r>
              <w:rPr>
                <w:rFonts w:ascii="Arial" w:cs="Arial" w:eastAsia="Arial" w:hAnsi="Arial"/>
                <w:sz w:val="16"/>
                <w:szCs w:val="16"/>
                <w:color w:val="auto"/>
              </w:rPr>
              <w:t>Operating expenses</w:t>
            </w:r>
          </w:p>
        </w:tc>
        <w:tc>
          <w:tcPr>
            <w:tcW w:w="96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1,855.1</w:t>
            </w: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1,826.3</w:t>
            </w:r>
          </w:p>
        </w:tc>
        <w:tc>
          <w:tcPr>
            <w:tcW w:w="1520" w:type="dxa"/>
            <w:vAlign w:val="bottom"/>
          </w:tcPr>
          <w:p>
            <w:pPr>
              <w:jc w:val="right"/>
              <w:spacing w:after="0"/>
              <w:rPr>
                <w:sz w:val="20"/>
                <w:szCs w:val="20"/>
                <w:color w:val="auto"/>
              </w:rPr>
            </w:pPr>
            <w:r>
              <w:rPr>
                <w:rFonts w:ascii="Arial" w:cs="Arial" w:eastAsia="Arial" w:hAnsi="Arial"/>
                <w:sz w:val="16"/>
                <w:szCs w:val="16"/>
                <w:color w:val="auto"/>
              </w:rPr>
              <w:t>1.6</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1"/>
        </w:trPr>
        <w:tc>
          <w:tcPr>
            <w:tcW w:w="6260" w:type="dxa"/>
            <w:vAlign w:val="bottom"/>
            <w:gridSpan w:val="3"/>
            <w:shd w:val="clear" w:color="auto" w:fill="DCE2EF"/>
          </w:tcPr>
          <w:p>
            <w:pPr>
              <w:ind w:left="60"/>
              <w:spacing w:after="0"/>
              <w:rPr>
                <w:sz w:val="20"/>
                <w:szCs w:val="20"/>
                <w:color w:val="auto"/>
              </w:rPr>
            </w:pPr>
            <w:r>
              <w:rPr>
                <w:rFonts w:ascii="Arial" w:cs="Arial" w:eastAsia="Arial" w:hAnsi="Arial"/>
                <w:sz w:val="16"/>
                <w:szCs w:val="16"/>
                <w:color w:val="auto"/>
              </w:rPr>
              <w:t>Selling, general and administrative expenses</w:t>
            </w:r>
          </w:p>
        </w:tc>
        <w:tc>
          <w:tcPr>
            <w:tcW w:w="960" w:type="dxa"/>
            <w:vAlign w:val="bottom"/>
            <w:shd w:val="clear" w:color="auto" w:fill="DCE2EF"/>
          </w:tcPr>
          <w:p>
            <w:pPr>
              <w:spacing w:after="0"/>
              <w:rPr>
                <w:sz w:val="24"/>
                <w:szCs w:val="24"/>
                <w:color w:val="auto"/>
              </w:rPr>
            </w:pPr>
          </w:p>
        </w:tc>
        <w:tc>
          <w:tcPr>
            <w:tcW w:w="5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169.0</w:t>
            </w:r>
          </w:p>
        </w:tc>
        <w:tc>
          <w:tcPr>
            <w:tcW w:w="220" w:type="dxa"/>
            <w:vAlign w:val="bottom"/>
            <w:shd w:val="clear" w:color="auto" w:fill="DCE2EF"/>
          </w:tcPr>
          <w:p>
            <w:pPr>
              <w:spacing w:after="0"/>
              <w:rPr>
                <w:sz w:val="24"/>
                <w:szCs w:val="24"/>
                <w:color w:val="auto"/>
              </w:rPr>
            </w:pPr>
          </w:p>
        </w:tc>
        <w:tc>
          <w:tcPr>
            <w:tcW w:w="94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154.6</w:t>
            </w:r>
          </w:p>
        </w:tc>
        <w:tc>
          <w:tcPr>
            <w:tcW w:w="15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9.3</w:t>
            </w:r>
          </w:p>
        </w:tc>
        <w:tc>
          <w:tcPr>
            <w:tcW w:w="2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r>
      <w:tr>
        <w:trPr>
          <w:trHeight w:val="277"/>
        </w:trPr>
        <w:tc>
          <w:tcPr>
            <w:tcW w:w="6260" w:type="dxa"/>
            <w:vAlign w:val="bottom"/>
            <w:tcBorders>
              <w:bottom w:val="single" w:sz="8" w:color="DCE2EF"/>
            </w:tcBorders>
            <w:gridSpan w:val="3"/>
          </w:tcPr>
          <w:p>
            <w:pPr>
              <w:ind w:left="60"/>
              <w:spacing w:after="0"/>
              <w:rPr>
                <w:sz w:val="20"/>
                <w:szCs w:val="20"/>
                <w:color w:val="auto"/>
              </w:rPr>
            </w:pPr>
            <w:r>
              <w:rPr>
                <w:rFonts w:ascii="Arial" w:cs="Arial" w:eastAsia="Arial" w:hAnsi="Arial"/>
                <w:sz w:val="16"/>
                <w:szCs w:val="16"/>
                <w:color w:val="auto"/>
              </w:rPr>
              <w:t>Amortization of intangible assets</w:t>
            </w:r>
          </w:p>
        </w:tc>
        <w:tc>
          <w:tcPr>
            <w:tcW w:w="9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w:t>
            </w:r>
          </w:p>
        </w:tc>
        <w:tc>
          <w:tcPr>
            <w:tcW w:w="220" w:type="dxa"/>
            <w:vAlign w:val="bottom"/>
            <w:tcBorders>
              <w:bottom w:val="single" w:sz="8" w:color="DCE2EF"/>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w:t>
            </w:r>
          </w:p>
        </w:tc>
        <w:tc>
          <w:tcPr>
            <w:tcW w:w="1520" w:type="dxa"/>
            <w:vAlign w:val="bottom"/>
            <w:tcBorders>
              <w:bottom w:val="single" w:sz="8" w:color="DCE2EF"/>
            </w:tcBorders>
          </w:tcPr>
          <w:p>
            <w:pPr>
              <w:ind w:left="880"/>
              <w:spacing w:after="0"/>
              <w:rPr>
                <w:sz w:val="20"/>
                <w:szCs w:val="20"/>
                <w:color w:val="auto"/>
              </w:rPr>
            </w:pPr>
            <w:r>
              <w:rPr>
                <w:rFonts w:ascii="Arial" w:cs="Arial" w:eastAsia="Arial" w:hAnsi="Arial"/>
                <w:sz w:val="16"/>
                <w:szCs w:val="16"/>
                <w:color w:val="auto"/>
              </w:rPr>
              <w:t>(9.4)</w:t>
            </w:r>
          </w:p>
        </w:tc>
        <w:tc>
          <w:tcPr>
            <w:tcW w:w="200" w:type="dxa"/>
            <w:vAlign w:val="bottom"/>
            <w:tcBorders>
              <w:bottom w:val="single" w:sz="8" w:color="DCE2EF"/>
            </w:tcBorders>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6260" w:type="dxa"/>
            <w:vAlign w:val="bottom"/>
            <w:gridSpan w:val="3"/>
            <w:shd w:val="clear" w:color="auto" w:fill="DCE2EF"/>
          </w:tcPr>
          <w:p>
            <w:pPr>
              <w:ind w:left="60"/>
              <w:spacing w:after="0"/>
              <w:rPr>
                <w:sz w:val="20"/>
                <w:szCs w:val="20"/>
                <w:color w:val="auto"/>
              </w:rPr>
            </w:pPr>
            <w:r>
              <w:rPr>
                <w:rFonts w:ascii="Arial" w:cs="Arial" w:eastAsia="Arial" w:hAnsi="Arial"/>
                <w:sz w:val="16"/>
                <w:szCs w:val="16"/>
                <w:b w:val="1"/>
                <w:bCs w:val="1"/>
                <w:color w:val="auto"/>
              </w:rPr>
              <w:t>Operating profit</w:t>
            </w:r>
          </w:p>
        </w:tc>
        <w:tc>
          <w:tcPr>
            <w:tcW w:w="960" w:type="dxa"/>
            <w:vAlign w:val="bottom"/>
            <w:shd w:val="clear" w:color="auto" w:fill="DCE2EF"/>
          </w:tcPr>
          <w:p>
            <w:pPr>
              <w:spacing w:after="0"/>
              <w:rPr>
                <w:sz w:val="23"/>
                <w:szCs w:val="23"/>
                <w:color w:val="auto"/>
              </w:rPr>
            </w:pPr>
          </w:p>
        </w:tc>
        <w:tc>
          <w:tcPr>
            <w:tcW w:w="5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77.6</w:t>
            </w:r>
          </w:p>
        </w:tc>
        <w:tc>
          <w:tcPr>
            <w:tcW w:w="220" w:type="dxa"/>
            <w:vAlign w:val="bottom"/>
            <w:shd w:val="clear" w:color="auto" w:fill="DCE2EF"/>
          </w:tcPr>
          <w:p>
            <w:pPr>
              <w:spacing w:after="0"/>
              <w:rPr>
                <w:sz w:val="23"/>
                <w:szCs w:val="23"/>
                <w:color w:val="auto"/>
              </w:rPr>
            </w:pPr>
          </w:p>
        </w:tc>
        <w:tc>
          <w:tcPr>
            <w:tcW w:w="940" w:type="dxa"/>
            <w:vAlign w:val="bottom"/>
            <w:shd w:val="clear" w:color="auto" w:fill="DCE2EF"/>
          </w:tcPr>
          <w:p>
            <w:pPr>
              <w:spacing w:after="0"/>
              <w:rPr>
                <w:sz w:val="23"/>
                <w:szCs w:val="23"/>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74.1</w:t>
            </w:r>
          </w:p>
        </w:tc>
        <w:tc>
          <w:tcPr>
            <w:tcW w:w="1720" w:type="dxa"/>
            <w:vAlign w:val="bottom"/>
            <w:gridSpan w:val="2"/>
            <w:shd w:val="clear" w:color="auto" w:fill="DCE2EF"/>
          </w:tcPr>
          <w:p>
            <w:pPr>
              <w:jc w:val="right"/>
              <w:spacing w:after="0"/>
              <w:rPr>
                <w:sz w:val="20"/>
                <w:szCs w:val="20"/>
                <w:color w:val="auto"/>
              </w:rPr>
            </w:pPr>
            <w:r>
              <w:rPr>
                <w:rFonts w:ascii="Arial" w:cs="Arial" w:eastAsia="Arial" w:hAnsi="Arial"/>
                <w:sz w:val="16"/>
                <w:szCs w:val="16"/>
                <w:color w:val="auto"/>
              </w:rPr>
              <w:t>4.7 %</w:t>
            </w:r>
          </w:p>
        </w:tc>
      </w:tr>
      <w:tr>
        <w:trPr>
          <w:trHeight w:val="276"/>
        </w:trPr>
        <w:tc>
          <w:tcPr>
            <w:tcW w:w="6260" w:type="dxa"/>
            <w:vAlign w:val="bottom"/>
            <w:gridSpan w:val="3"/>
          </w:tcPr>
          <w:p>
            <w:pPr>
              <w:ind w:left="60"/>
              <w:spacing w:after="0"/>
              <w:rPr>
                <w:sz w:val="20"/>
                <w:szCs w:val="20"/>
                <w:color w:val="auto"/>
              </w:rPr>
            </w:pPr>
            <w:r>
              <w:rPr>
                <w:rFonts w:ascii="Arial" w:cs="Arial" w:eastAsia="Arial" w:hAnsi="Arial"/>
                <w:sz w:val="16"/>
                <w:szCs w:val="16"/>
                <w:color w:val="auto"/>
              </w:rPr>
              <w:t>Income from unconsolidated affiliates</w:t>
            </w:r>
          </w:p>
        </w:tc>
        <w:tc>
          <w:tcPr>
            <w:tcW w:w="96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0.8</w:t>
            </w: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1.3</w:t>
            </w:r>
          </w:p>
        </w:tc>
        <w:tc>
          <w:tcPr>
            <w:tcW w:w="1520" w:type="dxa"/>
            <w:vAlign w:val="bottom"/>
          </w:tcPr>
          <w:p>
            <w:pPr>
              <w:ind w:left="880"/>
              <w:spacing w:after="0"/>
              <w:rPr>
                <w:sz w:val="20"/>
                <w:szCs w:val="20"/>
                <w:color w:val="auto"/>
              </w:rPr>
            </w:pPr>
            <w:r>
              <w:rPr>
                <w:rFonts w:ascii="Arial" w:cs="Arial" w:eastAsia="Arial" w:hAnsi="Arial"/>
                <w:sz w:val="16"/>
                <w:szCs w:val="16"/>
                <w:color w:val="auto"/>
              </w:rPr>
              <w:t>(39.9)</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0"/>
        </w:trPr>
        <w:tc>
          <w:tcPr>
            <w:tcW w:w="6260" w:type="dxa"/>
            <w:vAlign w:val="bottom"/>
            <w:tcBorders>
              <w:bottom w:val="single" w:sz="8" w:color="DCE2EF"/>
            </w:tcBorders>
            <w:gridSpan w:val="3"/>
            <w:shd w:val="clear" w:color="auto" w:fill="DCE2EF"/>
          </w:tcPr>
          <w:p>
            <w:pPr>
              <w:ind w:left="60"/>
              <w:spacing w:after="0"/>
              <w:rPr>
                <w:sz w:val="20"/>
                <w:szCs w:val="20"/>
                <w:color w:val="auto"/>
              </w:rPr>
            </w:pPr>
            <w:r>
              <w:rPr>
                <w:rFonts w:ascii="Arial" w:cs="Arial" w:eastAsia="Arial" w:hAnsi="Arial"/>
                <w:sz w:val="16"/>
                <w:szCs w:val="16"/>
                <w:color w:val="auto"/>
              </w:rPr>
              <w:t>Interest expense</w:t>
            </w:r>
          </w:p>
        </w:tc>
        <w:tc>
          <w:tcPr>
            <w:tcW w:w="960" w:type="dxa"/>
            <w:vAlign w:val="bottom"/>
            <w:tcBorders>
              <w:bottom w:val="single" w:sz="8" w:color="auto"/>
            </w:tcBorders>
            <w:shd w:val="clear" w:color="auto" w:fill="DCE2EF"/>
          </w:tcPr>
          <w:p>
            <w:pPr>
              <w:spacing w:after="0"/>
              <w:rPr>
                <w:sz w:val="24"/>
                <w:szCs w:val="24"/>
                <w:color w:val="auto"/>
              </w:rPr>
            </w:pPr>
          </w:p>
        </w:tc>
        <w:tc>
          <w:tcPr>
            <w:tcW w:w="5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(22.9)</w:t>
            </w:r>
          </w:p>
        </w:tc>
        <w:tc>
          <w:tcPr>
            <w:tcW w:w="220" w:type="dxa"/>
            <w:vAlign w:val="bottom"/>
            <w:tcBorders>
              <w:bottom w:val="single" w:sz="8" w:color="DCE2EF"/>
            </w:tcBorders>
            <w:shd w:val="clear" w:color="auto" w:fill="DCE2EF"/>
          </w:tcPr>
          <w:p>
            <w:pPr>
              <w:spacing w:after="0"/>
              <w:rPr>
                <w:sz w:val="24"/>
                <w:szCs w:val="24"/>
                <w:color w:val="auto"/>
              </w:rPr>
            </w:pPr>
          </w:p>
        </w:tc>
        <w:tc>
          <w:tcPr>
            <w:tcW w:w="940" w:type="dxa"/>
            <w:vAlign w:val="bottom"/>
            <w:tcBorders>
              <w:bottom w:val="single" w:sz="8" w:color="auto"/>
            </w:tcBorders>
            <w:shd w:val="clear" w:color="auto" w:fill="DCE2EF"/>
          </w:tcPr>
          <w:p>
            <w:pPr>
              <w:spacing w:after="0"/>
              <w:rPr>
                <w:sz w:val="24"/>
                <w:szCs w:val="24"/>
                <w:color w:val="auto"/>
              </w:rPr>
            </w:pPr>
          </w:p>
        </w:tc>
        <w:tc>
          <w:tcPr>
            <w:tcW w:w="5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(21.3)</w:t>
            </w:r>
          </w:p>
        </w:tc>
        <w:tc>
          <w:tcPr>
            <w:tcW w:w="1520" w:type="dxa"/>
            <w:vAlign w:val="bottom"/>
            <w:tcBorders>
              <w:bottom w:val="single" w:sz="8" w:color="DCE2EF"/>
            </w:tcBorders>
            <w:shd w:val="clear" w:color="auto" w:fill="DCE2EF"/>
          </w:tcPr>
          <w:p>
            <w:pPr>
              <w:ind w:left="880"/>
              <w:spacing w:after="0"/>
              <w:rPr>
                <w:sz w:val="20"/>
                <w:szCs w:val="20"/>
                <w:color w:val="auto"/>
              </w:rPr>
            </w:pPr>
            <w:r>
              <w:rPr>
                <w:rFonts w:ascii="Arial" w:cs="Arial" w:eastAsia="Arial" w:hAnsi="Arial"/>
                <w:sz w:val="16"/>
                <w:szCs w:val="16"/>
                <w:color w:val="auto"/>
              </w:rPr>
              <w:t>(7.1)</w:t>
            </w:r>
          </w:p>
        </w:tc>
        <w:tc>
          <w:tcPr>
            <w:tcW w:w="20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6260" w:type="dxa"/>
            <w:vAlign w:val="bottom"/>
            <w:gridSpan w:val="3"/>
          </w:tcPr>
          <w:p>
            <w:pPr>
              <w:ind w:left="60"/>
              <w:spacing w:after="0"/>
              <w:rPr>
                <w:sz w:val="20"/>
                <w:szCs w:val="20"/>
                <w:color w:val="auto"/>
              </w:rPr>
            </w:pPr>
            <w:r>
              <w:rPr>
                <w:rFonts w:ascii="Arial" w:cs="Arial" w:eastAsia="Arial" w:hAnsi="Arial"/>
                <w:sz w:val="16"/>
                <w:szCs w:val="16"/>
                <w:color w:val="auto"/>
              </w:rPr>
              <w:t>Income before income taxes</w:t>
            </w:r>
          </w:p>
        </w:tc>
        <w:tc>
          <w:tcPr>
            <w:tcW w:w="9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55.5</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54.0</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2.8 %</w:t>
            </w:r>
          </w:p>
        </w:tc>
      </w:tr>
      <w:tr>
        <w:trPr>
          <w:trHeight w:val="29"/>
        </w:trPr>
        <w:tc>
          <w:tcPr>
            <w:tcW w:w="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9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83"/>
        </w:trPr>
        <w:tc>
          <w:tcPr>
            <w:tcW w:w="6260" w:type="dxa"/>
            <w:vAlign w:val="bottom"/>
            <w:gridSpan w:val="3"/>
            <w:shd w:val="clear" w:color="auto" w:fill="DCE2EF"/>
          </w:tcPr>
          <w:p>
            <w:pPr>
              <w:ind w:left="60"/>
              <w:spacing w:after="0"/>
              <w:rPr>
                <w:sz w:val="20"/>
                <w:szCs w:val="20"/>
                <w:color w:val="auto"/>
              </w:rPr>
            </w:pPr>
            <w:r>
              <w:rPr>
                <w:rFonts w:ascii="Arial" w:cs="Arial" w:eastAsia="Arial" w:hAnsi="Arial"/>
                <w:sz w:val="16"/>
                <w:szCs w:val="16"/>
                <w:color w:val="auto"/>
              </w:rPr>
              <w:t>Income tax provision</w:t>
            </w:r>
          </w:p>
        </w:tc>
        <w:tc>
          <w:tcPr>
            <w:tcW w:w="960" w:type="dxa"/>
            <w:vAlign w:val="bottom"/>
            <w:tcBorders>
              <w:bottom w:val="single" w:sz="8" w:color="auto"/>
            </w:tcBorders>
            <w:shd w:val="clear" w:color="auto" w:fill="DCE2EF"/>
          </w:tcPr>
          <w:p>
            <w:pPr>
              <w:spacing w:after="0"/>
              <w:rPr>
                <w:sz w:val="24"/>
                <w:szCs w:val="24"/>
                <w:color w:val="auto"/>
              </w:rPr>
            </w:pPr>
          </w:p>
        </w:tc>
        <w:tc>
          <w:tcPr>
            <w:tcW w:w="5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(11.9)</w:t>
            </w:r>
          </w:p>
        </w:tc>
        <w:tc>
          <w:tcPr>
            <w:tcW w:w="220" w:type="dxa"/>
            <w:vAlign w:val="bottom"/>
            <w:shd w:val="clear" w:color="auto" w:fill="DCE2EF"/>
          </w:tcPr>
          <w:p>
            <w:pPr>
              <w:spacing w:after="0"/>
              <w:rPr>
                <w:sz w:val="24"/>
                <w:szCs w:val="24"/>
                <w:color w:val="auto"/>
              </w:rPr>
            </w:pPr>
          </w:p>
        </w:tc>
        <w:tc>
          <w:tcPr>
            <w:tcW w:w="940" w:type="dxa"/>
            <w:vAlign w:val="bottom"/>
            <w:tcBorders>
              <w:bottom w:val="single" w:sz="8" w:color="auto"/>
            </w:tcBorders>
            <w:shd w:val="clear" w:color="auto" w:fill="DCE2EF"/>
          </w:tcPr>
          <w:p>
            <w:pPr>
              <w:spacing w:after="0"/>
              <w:rPr>
                <w:sz w:val="24"/>
                <w:szCs w:val="24"/>
                <w:color w:val="auto"/>
              </w:rPr>
            </w:pPr>
          </w:p>
        </w:tc>
        <w:tc>
          <w:tcPr>
            <w:tcW w:w="5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(9.3)</w:t>
            </w:r>
          </w:p>
        </w:tc>
        <w:tc>
          <w:tcPr>
            <w:tcW w:w="1520" w:type="dxa"/>
            <w:vAlign w:val="bottom"/>
            <w:shd w:val="clear" w:color="auto" w:fill="DCE2EF"/>
          </w:tcPr>
          <w:p>
            <w:pPr>
              <w:ind w:left="880"/>
              <w:spacing w:after="0"/>
              <w:rPr>
                <w:sz w:val="20"/>
                <w:szCs w:val="20"/>
                <w:color w:val="auto"/>
              </w:rPr>
            </w:pPr>
            <w:r>
              <w:rPr>
                <w:rFonts w:ascii="Arial" w:cs="Arial" w:eastAsia="Arial" w:hAnsi="Arial"/>
                <w:sz w:val="16"/>
                <w:szCs w:val="16"/>
                <w:color w:val="auto"/>
              </w:rPr>
              <w:t>(27.5)</w:t>
            </w:r>
          </w:p>
        </w:tc>
        <w:tc>
          <w:tcPr>
            <w:tcW w:w="2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r>
      <w:tr>
        <w:trPr>
          <w:trHeight w:val="304"/>
        </w:trPr>
        <w:tc>
          <w:tcPr>
            <w:tcW w:w="6260" w:type="dxa"/>
            <w:vAlign w:val="bottom"/>
            <w:gridSpan w:val="3"/>
          </w:tcPr>
          <w:p>
            <w:pPr>
              <w:ind w:left="60"/>
              <w:spacing w:after="0"/>
              <w:rPr>
                <w:sz w:val="20"/>
                <w:szCs w:val="20"/>
                <w:color w:val="auto"/>
              </w:rPr>
            </w:pPr>
            <w:r>
              <w:rPr>
                <w:rFonts w:ascii="Arial" w:cs="Arial" w:eastAsia="Arial" w:hAnsi="Arial"/>
                <w:sz w:val="16"/>
                <w:szCs w:val="16"/>
                <w:color w:val="auto"/>
              </w:rPr>
              <w:t>Net income</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43.6</w:t>
            </w: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44.7</w:t>
            </w:r>
          </w:p>
        </w:tc>
        <w:tc>
          <w:tcPr>
            <w:tcW w:w="1520" w:type="dxa"/>
            <w:vAlign w:val="bottom"/>
          </w:tcPr>
          <w:p>
            <w:pPr>
              <w:ind w:left="880"/>
              <w:spacing w:after="0"/>
              <w:rPr>
                <w:sz w:val="20"/>
                <w:szCs w:val="20"/>
                <w:color w:val="auto"/>
              </w:rPr>
            </w:pPr>
            <w:r>
              <w:rPr>
                <w:rFonts w:ascii="Arial" w:cs="Arial" w:eastAsia="Arial" w:hAnsi="Arial"/>
                <w:sz w:val="16"/>
                <w:szCs w:val="16"/>
                <w:color w:val="auto"/>
              </w:rPr>
              <w:t>(2.4)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6260" w:type="dxa"/>
            <w:vAlign w:val="bottom"/>
            <w:tcBorders>
              <w:top w:val="single" w:sz="8" w:color="DCE2EF"/>
            </w:tcBorders>
            <w:gridSpan w:val="3"/>
            <w:shd w:val="clear" w:color="auto" w:fill="DCE2EF"/>
          </w:tcPr>
          <w:p>
            <w:pPr>
              <w:ind w:left="60"/>
              <w:spacing w:after="0"/>
              <w:rPr>
                <w:sz w:val="20"/>
                <w:szCs w:val="20"/>
                <w:color w:val="auto"/>
              </w:rPr>
            </w:pPr>
            <w:r>
              <w:rPr>
                <w:rFonts w:ascii="Arial" w:cs="Arial" w:eastAsia="Arial" w:hAnsi="Arial"/>
                <w:sz w:val="16"/>
                <w:szCs w:val="16"/>
                <w:b w:val="1"/>
                <w:bCs w:val="1"/>
                <w:color w:val="auto"/>
              </w:rPr>
              <w:t>Net income per common share</w:t>
            </w:r>
          </w:p>
        </w:tc>
        <w:tc>
          <w:tcPr>
            <w:tcW w:w="960" w:type="dxa"/>
            <w:vAlign w:val="bottom"/>
            <w:tcBorders>
              <w:top w:val="single" w:sz="8" w:color="auto"/>
            </w:tcBorders>
            <w:shd w:val="clear" w:color="auto" w:fill="DCE2EF"/>
          </w:tcPr>
          <w:p>
            <w:pPr>
              <w:spacing w:after="0"/>
              <w:rPr>
                <w:sz w:val="20"/>
                <w:szCs w:val="20"/>
                <w:color w:val="auto"/>
              </w:rPr>
            </w:pPr>
          </w:p>
        </w:tc>
        <w:tc>
          <w:tcPr>
            <w:tcW w:w="560" w:type="dxa"/>
            <w:vAlign w:val="bottom"/>
            <w:tcBorders>
              <w:top w:val="single" w:sz="8" w:color="auto"/>
            </w:tcBorders>
            <w:shd w:val="clear" w:color="auto" w:fill="DCE2EF"/>
          </w:tcPr>
          <w:p>
            <w:pPr>
              <w:spacing w:after="0"/>
              <w:rPr>
                <w:sz w:val="20"/>
                <w:szCs w:val="20"/>
                <w:color w:val="auto"/>
              </w:rPr>
            </w:pPr>
          </w:p>
        </w:tc>
        <w:tc>
          <w:tcPr>
            <w:tcW w:w="220" w:type="dxa"/>
            <w:vAlign w:val="bottom"/>
            <w:tcBorders>
              <w:top w:val="single" w:sz="8" w:color="DCE2EF"/>
            </w:tcBorders>
            <w:shd w:val="clear" w:color="auto" w:fill="DCE2EF"/>
          </w:tcPr>
          <w:p>
            <w:pPr>
              <w:spacing w:after="0"/>
              <w:rPr>
                <w:sz w:val="20"/>
                <w:szCs w:val="20"/>
                <w:color w:val="auto"/>
              </w:rPr>
            </w:pPr>
          </w:p>
        </w:tc>
        <w:tc>
          <w:tcPr>
            <w:tcW w:w="940" w:type="dxa"/>
            <w:vAlign w:val="bottom"/>
            <w:tcBorders>
              <w:top w:val="single" w:sz="8" w:color="auto"/>
            </w:tcBorders>
            <w:shd w:val="clear" w:color="auto" w:fill="DCE2EF"/>
          </w:tcPr>
          <w:p>
            <w:pPr>
              <w:spacing w:after="0"/>
              <w:rPr>
                <w:sz w:val="20"/>
                <w:szCs w:val="20"/>
                <w:color w:val="auto"/>
              </w:rPr>
            </w:pPr>
          </w:p>
        </w:tc>
        <w:tc>
          <w:tcPr>
            <w:tcW w:w="580" w:type="dxa"/>
            <w:vAlign w:val="bottom"/>
            <w:tcBorders>
              <w:top w:val="single" w:sz="8" w:color="auto"/>
            </w:tcBorders>
            <w:shd w:val="clear" w:color="auto" w:fill="DCE2EF"/>
          </w:tcPr>
          <w:p>
            <w:pPr>
              <w:spacing w:after="0"/>
              <w:rPr>
                <w:sz w:val="20"/>
                <w:szCs w:val="20"/>
                <w:color w:val="auto"/>
              </w:rPr>
            </w:pPr>
          </w:p>
        </w:tc>
        <w:tc>
          <w:tcPr>
            <w:tcW w:w="1520" w:type="dxa"/>
            <w:vAlign w:val="bottom"/>
            <w:tcBorders>
              <w:top w:val="single" w:sz="8" w:color="DCE2EF"/>
            </w:tcBorders>
            <w:shd w:val="clear" w:color="auto" w:fill="DCE2EF"/>
          </w:tcPr>
          <w:p>
            <w:pPr>
              <w:spacing w:after="0"/>
              <w:rPr>
                <w:sz w:val="20"/>
                <w:szCs w:val="20"/>
                <w:color w:val="auto"/>
              </w:rPr>
            </w:pPr>
          </w:p>
        </w:tc>
        <w:tc>
          <w:tcPr>
            <w:tcW w:w="200" w:type="dxa"/>
            <w:vAlign w:val="bottom"/>
            <w:tcBorders>
              <w:top w:val="single" w:sz="8" w:color="DCE2EF"/>
            </w:tcBorders>
            <w:shd w:val="clear" w:color="auto" w:fill="DCE2EF"/>
          </w:tcPr>
          <w:p>
            <w:pPr>
              <w:spacing w:after="0"/>
              <w:rPr>
                <w:sz w:val="20"/>
                <w:szCs w:val="20"/>
                <w:color w:val="auto"/>
              </w:rPr>
            </w:pPr>
          </w:p>
        </w:tc>
      </w:tr>
      <w:tr>
        <w:trPr>
          <w:trHeight w:val="276"/>
        </w:trPr>
        <w:tc>
          <w:tcPr>
            <w:tcW w:w="60" w:type="dxa"/>
            <w:vAlign w:val="bottom"/>
          </w:tcPr>
          <w:p>
            <w:pPr>
              <w:spacing w:after="0"/>
              <w:rPr>
                <w:sz w:val="23"/>
                <w:szCs w:val="23"/>
                <w:color w:val="auto"/>
              </w:rPr>
            </w:pPr>
          </w:p>
        </w:tc>
        <w:tc>
          <w:tcPr>
            <w:tcW w:w="6200" w:type="dxa"/>
            <w:vAlign w:val="bottom"/>
            <w:gridSpan w:val="2"/>
          </w:tcPr>
          <w:p>
            <w:pPr>
              <w:ind w:left="200"/>
              <w:spacing w:after="0"/>
              <w:rPr>
                <w:sz w:val="20"/>
                <w:szCs w:val="20"/>
                <w:color w:val="auto"/>
              </w:rPr>
            </w:pPr>
            <w:r>
              <w:rPr>
                <w:rFonts w:ascii="Arial" w:cs="Arial" w:eastAsia="Arial" w:hAnsi="Arial"/>
                <w:sz w:val="16"/>
                <w:szCs w:val="16"/>
                <w:color w:val="auto"/>
              </w:rPr>
              <w:t>Basic</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0.69</w:t>
            </w: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0.70</w:t>
            </w:r>
          </w:p>
        </w:tc>
        <w:tc>
          <w:tcPr>
            <w:tcW w:w="1520" w:type="dxa"/>
            <w:vAlign w:val="bottom"/>
          </w:tcPr>
          <w:p>
            <w:pPr>
              <w:ind w:left="880"/>
              <w:spacing w:after="0"/>
              <w:rPr>
                <w:sz w:val="20"/>
                <w:szCs w:val="20"/>
                <w:color w:val="auto"/>
              </w:rPr>
            </w:pPr>
            <w:r>
              <w:rPr>
                <w:rFonts w:ascii="Arial" w:cs="Arial" w:eastAsia="Arial" w:hAnsi="Arial"/>
                <w:sz w:val="16"/>
                <w:szCs w:val="16"/>
                <w:color w:val="auto"/>
              </w:rPr>
              <w:t>(1.4)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1"/>
        </w:trPr>
        <w:tc>
          <w:tcPr>
            <w:tcW w:w="60" w:type="dxa"/>
            <w:vAlign w:val="bottom"/>
            <w:shd w:val="clear" w:color="auto" w:fill="DCE2EF"/>
          </w:tcPr>
          <w:p>
            <w:pPr>
              <w:spacing w:after="0"/>
              <w:rPr>
                <w:sz w:val="24"/>
                <w:szCs w:val="24"/>
                <w:color w:val="auto"/>
              </w:rPr>
            </w:pPr>
          </w:p>
        </w:tc>
        <w:tc>
          <w:tcPr>
            <w:tcW w:w="6200" w:type="dxa"/>
            <w:vAlign w:val="bottom"/>
            <w:gridSpan w:val="2"/>
            <w:shd w:val="clear" w:color="auto" w:fill="DCE2EF"/>
          </w:tcPr>
          <w:p>
            <w:pPr>
              <w:ind w:left="200"/>
              <w:spacing w:after="0"/>
              <w:rPr>
                <w:sz w:val="20"/>
                <w:szCs w:val="20"/>
                <w:color w:val="auto"/>
              </w:rPr>
            </w:pPr>
            <w:r>
              <w:rPr>
                <w:rFonts w:ascii="Arial" w:cs="Arial" w:eastAsia="Arial" w:hAnsi="Arial"/>
                <w:sz w:val="16"/>
                <w:szCs w:val="16"/>
                <w:color w:val="auto"/>
              </w:rPr>
              <w:t>Diluted</w:t>
            </w:r>
          </w:p>
        </w:tc>
        <w:tc>
          <w:tcPr>
            <w:tcW w:w="9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0.69</w:t>
            </w:r>
          </w:p>
        </w:tc>
        <w:tc>
          <w:tcPr>
            <w:tcW w:w="1160" w:type="dxa"/>
            <w:vAlign w:val="bottom"/>
            <w:gridSpan w:val="2"/>
            <w:shd w:val="clear" w:color="auto" w:fill="DCE2EF"/>
          </w:tcPr>
          <w:p>
            <w:pPr>
              <w:jc w:val="right"/>
              <w:ind w:right="20"/>
              <w:spacing w:after="0"/>
              <w:rPr>
                <w:sz w:val="20"/>
                <w:szCs w:val="20"/>
                <w:color w:val="auto"/>
              </w:rPr>
            </w:pPr>
            <w:r>
              <w:rPr>
                <w:rFonts w:ascii="Arial" w:cs="Arial" w:eastAsia="Arial" w:hAnsi="Arial"/>
                <w:sz w:val="16"/>
                <w:szCs w:val="16"/>
                <w:color w:val="auto"/>
              </w:rPr>
              <w:t>$</w:t>
            </w: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0.70</w:t>
            </w:r>
          </w:p>
        </w:tc>
        <w:tc>
          <w:tcPr>
            <w:tcW w:w="1520" w:type="dxa"/>
            <w:vAlign w:val="bottom"/>
            <w:shd w:val="clear" w:color="auto" w:fill="DCE2EF"/>
          </w:tcPr>
          <w:p>
            <w:pPr>
              <w:ind w:left="880"/>
              <w:spacing w:after="0"/>
              <w:rPr>
                <w:sz w:val="20"/>
                <w:szCs w:val="20"/>
                <w:color w:val="auto"/>
              </w:rPr>
            </w:pPr>
            <w:r>
              <w:rPr>
                <w:rFonts w:ascii="Arial" w:cs="Arial" w:eastAsia="Arial" w:hAnsi="Arial"/>
                <w:sz w:val="16"/>
                <w:szCs w:val="16"/>
                <w:color w:val="auto"/>
              </w:rPr>
              <w:t>(1.4)</w:t>
            </w:r>
          </w:p>
        </w:tc>
        <w:tc>
          <w:tcPr>
            <w:tcW w:w="2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r>
      <w:tr>
        <w:trPr>
          <w:trHeight w:val="296"/>
        </w:trPr>
        <w:tc>
          <w:tcPr>
            <w:tcW w:w="6260" w:type="dxa"/>
            <w:vAlign w:val="bottom"/>
            <w:gridSpan w:val="3"/>
          </w:tcPr>
          <w:p>
            <w:pPr>
              <w:ind w:left="60"/>
              <w:spacing w:after="0"/>
              <w:rPr>
                <w:sz w:val="20"/>
                <w:szCs w:val="20"/>
                <w:color w:val="auto"/>
              </w:rPr>
            </w:pPr>
            <w:r>
              <w:rPr>
                <w:rFonts w:ascii="Arial" w:cs="Arial" w:eastAsia="Arial" w:hAnsi="Arial"/>
                <w:sz w:val="16"/>
                <w:szCs w:val="16"/>
                <w:b w:val="1"/>
                <w:bCs w:val="1"/>
                <w:color w:val="auto"/>
              </w:rPr>
              <w:t>Weighted-average common and common equivalent</w:t>
            </w: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26"/>
        </w:trPr>
        <w:tc>
          <w:tcPr>
            <w:tcW w:w="60" w:type="dxa"/>
            <w:vAlign w:val="bottom"/>
          </w:tcPr>
          <w:p>
            <w:pPr>
              <w:spacing w:after="0"/>
              <w:rPr>
                <w:sz w:val="19"/>
                <w:szCs w:val="19"/>
                <w:color w:val="auto"/>
              </w:rPr>
            </w:pPr>
          </w:p>
        </w:tc>
        <w:tc>
          <w:tcPr>
            <w:tcW w:w="6200" w:type="dxa"/>
            <w:vAlign w:val="bottom"/>
            <w:gridSpan w:val="2"/>
          </w:tcPr>
          <w:p>
            <w:pPr>
              <w:ind w:left="140"/>
              <w:spacing w:after="0"/>
              <w:rPr>
                <w:sz w:val="20"/>
                <w:szCs w:val="20"/>
                <w:color w:val="auto"/>
              </w:rPr>
            </w:pPr>
            <w:r>
              <w:rPr>
                <w:rFonts w:ascii="Arial" w:cs="Arial" w:eastAsia="Arial" w:hAnsi="Arial"/>
                <w:sz w:val="16"/>
                <w:szCs w:val="16"/>
                <w:b w:val="1"/>
                <w:bCs w:val="1"/>
                <w:color w:val="auto"/>
              </w:rPr>
              <w:t>shares outstanding</w:t>
            </w:r>
          </w:p>
        </w:tc>
        <w:tc>
          <w:tcPr>
            <w:tcW w:w="9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87"/>
        </w:trPr>
        <w:tc>
          <w:tcPr>
            <w:tcW w:w="60" w:type="dxa"/>
            <w:vAlign w:val="bottom"/>
            <w:shd w:val="clear" w:color="auto" w:fill="DCE2EF"/>
          </w:tcPr>
          <w:p>
            <w:pPr>
              <w:spacing w:after="0"/>
              <w:rPr>
                <w:sz w:val="24"/>
                <w:szCs w:val="24"/>
                <w:color w:val="auto"/>
              </w:rPr>
            </w:pPr>
          </w:p>
        </w:tc>
        <w:tc>
          <w:tcPr>
            <w:tcW w:w="6200" w:type="dxa"/>
            <w:vAlign w:val="bottom"/>
            <w:gridSpan w:val="2"/>
            <w:shd w:val="clear" w:color="auto" w:fill="DCE2EF"/>
          </w:tcPr>
          <w:p>
            <w:pPr>
              <w:ind w:left="200"/>
              <w:spacing w:after="0"/>
              <w:rPr>
                <w:sz w:val="20"/>
                <w:szCs w:val="20"/>
                <w:color w:val="auto"/>
              </w:rPr>
            </w:pPr>
            <w:r>
              <w:rPr>
                <w:rFonts w:ascii="Arial" w:cs="Arial" w:eastAsia="Arial" w:hAnsi="Arial"/>
                <w:sz w:val="16"/>
                <w:szCs w:val="16"/>
                <w:color w:val="auto"/>
              </w:rPr>
              <w:t>Basic</w:t>
            </w:r>
          </w:p>
        </w:tc>
        <w:tc>
          <w:tcPr>
            <w:tcW w:w="960" w:type="dxa"/>
            <w:vAlign w:val="bottom"/>
            <w:shd w:val="clear" w:color="auto" w:fill="DCE2EF"/>
          </w:tcPr>
          <w:p>
            <w:pPr>
              <w:spacing w:after="0"/>
              <w:rPr>
                <w:sz w:val="24"/>
                <w:szCs w:val="24"/>
                <w:color w:val="auto"/>
              </w:rPr>
            </w:pPr>
          </w:p>
        </w:tc>
        <w:tc>
          <w:tcPr>
            <w:tcW w:w="5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62.7</w:t>
            </w:r>
          </w:p>
        </w:tc>
        <w:tc>
          <w:tcPr>
            <w:tcW w:w="220" w:type="dxa"/>
            <w:vAlign w:val="bottom"/>
            <w:shd w:val="clear" w:color="auto" w:fill="DCE2EF"/>
          </w:tcPr>
          <w:p>
            <w:pPr>
              <w:spacing w:after="0"/>
              <w:rPr>
                <w:sz w:val="24"/>
                <w:szCs w:val="24"/>
                <w:color w:val="auto"/>
              </w:rPr>
            </w:pPr>
          </w:p>
        </w:tc>
        <w:tc>
          <w:tcPr>
            <w:tcW w:w="94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63.5</w:t>
            </w:r>
          </w:p>
        </w:tc>
        <w:tc>
          <w:tcPr>
            <w:tcW w:w="1520" w:type="dxa"/>
            <w:vAlign w:val="bottom"/>
            <w:shd w:val="clear" w:color="auto" w:fill="DCE2EF"/>
          </w:tcPr>
          <w:p>
            <w:pPr>
              <w:spacing w:after="0"/>
              <w:rPr>
                <w:sz w:val="24"/>
                <w:szCs w:val="24"/>
                <w:color w:val="auto"/>
              </w:rPr>
            </w:pPr>
          </w:p>
        </w:tc>
        <w:tc>
          <w:tcPr>
            <w:tcW w:w="200" w:type="dxa"/>
            <w:vAlign w:val="bottom"/>
            <w:shd w:val="clear" w:color="auto" w:fill="DCE2EF"/>
          </w:tcPr>
          <w:p>
            <w:pPr>
              <w:spacing w:after="0"/>
              <w:rPr>
                <w:sz w:val="24"/>
                <w:szCs w:val="24"/>
                <w:color w:val="auto"/>
              </w:rPr>
            </w:pPr>
          </w:p>
        </w:tc>
      </w:tr>
      <w:tr>
        <w:trPr>
          <w:trHeight w:val="276"/>
        </w:trPr>
        <w:tc>
          <w:tcPr>
            <w:tcW w:w="60" w:type="dxa"/>
            <w:vAlign w:val="bottom"/>
          </w:tcPr>
          <w:p>
            <w:pPr>
              <w:spacing w:after="0"/>
              <w:rPr>
                <w:sz w:val="23"/>
                <w:szCs w:val="23"/>
                <w:color w:val="auto"/>
              </w:rPr>
            </w:pPr>
          </w:p>
        </w:tc>
        <w:tc>
          <w:tcPr>
            <w:tcW w:w="6200" w:type="dxa"/>
            <w:vAlign w:val="bottom"/>
            <w:gridSpan w:val="2"/>
          </w:tcPr>
          <w:p>
            <w:pPr>
              <w:ind w:left="200"/>
              <w:spacing w:after="0"/>
              <w:rPr>
                <w:sz w:val="20"/>
                <w:szCs w:val="20"/>
                <w:color w:val="auto"/>
              </w:rPr>
            </w:pPr>
            <w:r>
              <w:rPr>
                <w:rFonts w:ascii="Arial" w:cs="Arial" w:eastAsia="Arial" w:hAnsi="Arial"/>
                <w:sz w:val="16"/>
                <w:szCs w:val="16"/>
                <w:color w:val="auto"/>
              </w:rPr>
              <w:t>Diluted</w:t>
            </w:r>
          </w:p>
        </w:tc>
        <w:tc>
          <w:tcPr>
            <w:tcW w:w="96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63.2</w:t>
            </w: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63.9</w:t>
            </w:r>
          </w:p>
        </w:tc>
        <w:tc>
          <w:tcPr>
            <w:tcW w:w="1520" w:type="dxa"/>
            <w:vAlign w:val="bottom"/>
          </w:tcPr>
          <w:p>
            <w:pPr>
              <w:spacing w:after="0"/>
              <w:rPr>
                <w:sz w:val="23"/>
                <w:szCs w:val="23"/>
                <w:color w:val="auto"/>
              </w:rPr>
            </w:pPr>
          </w:p>
        </w:tc>
        <w:tc>
          <w:tcPr>
            <w:tcW w:w="200" w:type="dxa"/>
            <w:vAlign w:val="bottom"/>
          </w:tcPr>
          <w:p>
            <w:pPr>
              <w:spacing w:after="0"/>
              <w:rPr>
                <w:sz w:val="23"/>
                <w:szCs w:val="23"/>
                <w:color w:val="auto"/>
              </w:rPr>
            </w:pPr>
          </w:p>
        </w:tc>
      </w:tr>
      <w:tr>
        <w:trPr>
          <w:trHeight w:val="291"/>
        </w:trPr>
        <w:tc>
          <w:tcPr>
            <w:tcW w:w="6260" w:type="dxa"/>
            <w:vAlign w:val="bottom"/>
            <w:gridSpan w:val="3"/>
            <w:shd w:val="clear" w:color="auto" w:fill="DCE2EF"/>
          </w:tcPr>
          <w:p>
            <w:pPr>
              <w:ind w:left="60"/>
              <w:spacing w:after="0"/>
              <w:rPr>
                <w:sz w:val="20"/>
                <w:szCs w:val="20"/>
                <w:color w:val="auto"/>
              </w:rPr>
            </w:pPr>
            <w:r>
              <w:rPr>
                <w:rFonts w:ascii="Arial" w:cs="Arial" w:eastAsia="Arial" w:hAnsi="Arial"/>
                <w:sz w:val="16"/>
                <w:szCs w:val="16"/>
                <w:b w:val="1"/>
                <w:bCs w:val="1"/>
                <w:color w:val="auto"/>
              </w:rPr>
              <w:t>Dividends declared per common share</w:t>
            </w:r>
          </w:p>
        </w:tc>
        <w:tc>
          <w:tcPr>
            <w:tcW w:w="96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w:t>
            </w:r>
          </w:p>
        </w:tc>
        <w:tc>
          <w:tcPr>
            <w:tcW w:w="5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0.265</w:t>
            </w:r>
          </w:p>
        </w:tc>
        <w:tc>
          <w:tcPr>
            <w:tcW w:w="1160" w:type="dxa"/>
            <w:vAlign w:val="bottom"/>
            <w:gridSpan w:val="2"/>
            <w:shd w:val="clear" w:color="auto" w:fill="DCE2EF"/>
          </w:tcPr>
          <w:p>
            <w:pPr>
              <w:jc w:val="right"/>
              <w:ind w:right="120"/>
              <w:spacing w:after="0"/>
              <w:rPr>
                <w:sz w:val="20"/>
                <w:szCs w:val="20"/>
                <w:color w:val="auto"/>
              </w:rPr>
            </w:pPr>
            <w:r>
              <w:rPr>
                <w:rFonts w:ascii="Arial" w:cs="Arial" w:eastAsia="Arial" w:hAnsi="Arial"/>
                <w:sz w:val="16"/>
                <w:szCs w:val="16"/>
                <w:color w:val="auto"/>
              </w:rPr>
              <w:t>$</w:t>
            </w: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0.225</w:t>
            </w:r>
          </w:p>
        </w:tc>
        <w:tc>
          <w:tcPr>
            <w:tcW w:w="1520" w:type="dxa"/>
            <w:vAlign w:val="bottom"/>
            <w:shd w:val="clear" w:color="auto" w:fill="DCE2EF"/>
          </w:tcPr>
          <w:p>
            <w:pPr>
              <w:spacing w:after="0"/>
              <w:rPr>
                <w:sz w:val="24"/>
                <w:szCs w:val="24"/>
                <w:color w:val="auto"/>
              </w:rPr>
            </w:pPr>
          </w:p>
        </w:tc>
        <w:tc>
          <w:tcPr>
            <w:tcW w:w="200" w:type="dxa"/>
            <w:vAlign w:val="bottom"/>
            <w:shd w:val="clear" w:color="auto" w:fill="DCE2E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6027420</wp:posOffset>
            </wp:positionH>
            <wp:positionV relativeFrom="paragraph">
              <wp:posOffset>-3517900</wp:posOffset>
            </wp:positionV>
            <wp:extent cx="162560" cy="3168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62560" cy="31686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-2502535</wp:posOffset>
            </wp:positionV>
            <wp:extent cx="137160" cy="114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7160" cy="1143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-2502535</wp:posOffset>
            </wp:positionV>
            <wp:extent cx="137160" cy="114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7160" cy="1143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-1965325</wp:posOffset>
            </wp:positionV>
            <wp:extent cx="137160" cy="114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7160" cy="1143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-1965325</wp:posOffset>
            </wp:positionV>
            <wp:extent cx="137160" cy="114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7160" cy="1143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-1422400</wp:posOffset>
            </wp:positionV>
            <wp:extent cx="1371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-1397000</wp:posOffset>
            </wp:positionV>
            <wp:extent cx="13716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-1422400</wp:posOffset>
            </wp:positionV>
            <wp:extent cx="13716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-1397000</wp:posOffset>
            </wp:positionV>
            <wp:extent cx="13716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sectPr>
      </w:pPr>
    </w:p>
    <w:bookmarkStart w:id="8" w:name="page9"/>
    <w:bookmarkEnd w:id="8"/>
    <w:p>
      <w:pPr>
        <w:spacing w:after="0"/>
        <w:rPr>
          <w:sz w:val="20"/>
          <w:szCs w:val="20"/>
          <w:color w:val="auto"/>
        </w:rPr>
      </w:pPr>
      <w:r>
        <w:rPr>
          <w:rFonts w:ascii="Arial" w:cs="Arial" w:eastAsia="Arial" w:hAnsi="Arial"/>
          <w:sz w:val="20"/>
          <w:szCs w:val="20"/>
          <w:b w:val="1"/>
          <w:bCs w:val="1"/>
          <w:color w:val="0046AD"/>
        </w:rPr>
        <w:t>ABM INDUSTRIES INCORPORATED AND SUBSIDIARIES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0046AD"/>
        </w:rPr>
        <w:t>SELECTED CONSOLIDATED CASH FLOW INFORMATION (UNAUDITED)</w:t>
      </w:r>
    </w:p>
    <w:p>
      <w:pPr>
        <w:spacing w:after="0" w:line="63" w:lineRule="exact"/>
        <w:rPr>
          <w:sz w:val="20"/>
          <w:szCs w:val="20"/>
          <w:color w:val="auto"/>
        </w:rPr>
      </w:pPr>
    </w:p>
    <w:p>
      <w:pPr>
        <w:jc w:val="right"/>
        <w:ind w:right="380"/>
        <w:spacing w:after="0"/>
        <w:rPr>
          <w:sz w:val="20"/>
          <w:szCs w:val="20"/>
          <w:color w:val="auto"/>
        </w:rPr>
      </w:pPr>
      <w:r>
        <w:rPr>
          <w:rFonts w:ascii="Arial" w:cs="Arial" w:eastAsia="Arial" w:hAnsi="Arial"/>
          <w:sz w:val="16"/>
          <w:szCs w:val="16"/>
          <w:b w:val="1"/>
          <w:bCs w:val="1"/>
          <w:color w:val="auto"/>
        </w:rPr>
        <w:t>Three Months Ended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5019675</wp:posOffset>
            </wp:positionH>
            <wp:positionV relativeFrom="paragraph">
              <wp:posOffset>29210</wp:posOffset>
            </wp:positionV>
            <wp:extent cx="211709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117090" cy="8255"/>
                    </a:xfrm>
                    <a:prstGeom prst="rect">
                      <a:avLst/>
                    </a:prstGeom>
                    <a:noFill/>
                  </pic:spPr>
                </pic:pic>
              </a:graphicData>
            </a:graphic>
          </wp:anchor>
        </w:drawing>
      </w:r>
    </w:p>
    <w:p>
      <w:pPr>
        <w:sectPr>
          <w:pgSz w:w="11900" w:h="16838" w:orient="portrait"/>
          <w:cols w:equalWidth="0" w:num="1">
            <w:col w:w="11220"/>
          </w:cols>
          <w:pgMar w:left="320" w:top="885" w:right="359" w:bottom="1440" w:gutter="0" w:footer="0" w:header="0"/>
        </w:sectPr>
      </w:pPr>
    </w:p>
    <w:p>
      <w:pPr>
        <w:spacing w:after="0" w:line="1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i w:val="1"/>
          <w:iCs w:val="1"/>
          <w:u w:val="single" w:color="auto"/>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2146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127"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Net cash used in operating activities</w:t>
      </w:r>
    </w:p>
    <w:p>
      <w:pPr>
        <w:spacing w:after="0" w:line="100" w:lineRule="exact"/>
        <w:rPr>
          <w:sz w:val="20"/>
          <w:szCs w:val="20"/>
          <w:color w:val="auto"/>
        </w:rPr>
      </w:pPr>
    </w:p>
    <w:p>
      <w:pPr>
        <w:ind w:left="60"/>
        <w:spacing w:after="0"/>
        <w:rPr>
          <w:sz w:val="20"/>
          <w:szCs w:val="20"/>
          <w:color w:val="auto"/>
        </w:rPr>
      </w:pPr>
      <w:r>
        <w:rPr>
          <w:rFonts w:ascii="Arial" w:cs="Arial" w:eastAsia="Arial" w:hAnsi="Arial"/>
          <w:sz w:val="16"/>
          <w:szCs w:val="16"/>
          <w:color w:val="auto"/>
        </w:rPr>
        <w:t>Additions to 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97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80" w:lineRule="exact"/>
        <w:rPr>
          <w:sz w:val="20"/>
          <w:szCs w:val="20"/>
          <w:color w:val="auto"/>
        </w:rPr>
      </w:pPr>
    </w:p>
    <w:p>
      <w:pPr>
        <w:ind w:left="60"/>
        <w:spacing w:after="0"/>
        <w:rPr>
          <w:sz w:val="20"/>
          <w:szCs w:val="20"/>
          <w:color w:val="auto"/>
        </w:rPr>
      </w:pPr>
      <w:r>
        <w:rPr>
          <w:rFonts w:ascii="Arial" w:cs="Arial" w:eastAsia="Arial" w:hAnsi="Arial"/>
          <w:sz w:val="16"/>
          <w:szCs w:val="16"/>
          <w:color w:val="auto"/>
        </w:rPr>
        <w:t>Purchase price adjustment</w:t>
      </w:r>
    </w:p>
    <w:p>
      <w:pPr>
        <w:spacing w:after="0" w:line="113" w:lineRule="exact"/>
        <w:rPr>
          <w:sz w:val="20"/>
          <w:szCs w:val="20"/>
          <w:color w:val="auto"/>
        </w:rPr>
      </w:pPr>
    </w:p>
    <w:p>
      <w:pPr>
        <w:ind w:left="60"/>
        <w:spacing w:after="0"/>
        <w:rPr>
          <w:sz w:val="20"/>
          <w:szCs w:val="20"/>
          <w:color w:val="auto"/>
        </w:rPr>
      </w:pPr>
      <w:r>
        <w:rPr>
          <w:rFonts w:ascii="Arial" w:cs="Arial" w:eastAsia="Arial" w:hAnsi="Arial"/>
          <w:sz w:val="16"/>
          <w:szCs w:val="16"/>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2171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217170"/>
                    </a:xfrm>
                    <a:prstGeom prst="rect">
                      <a:avLst/>
                    </a:prstGeom>
                    <a:noFill/>
                  </pic:spPr>
                </pic:pic>
              </a:graphicData>
            </a:graphic>
          </wp:anchor>
        </w:drawing>
      </w:r>
    </w:p>
    <w:p>
      <w:pPr>
        <w:spacing w:after="0" w:line="107"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Net cash used in investing activities</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6"/>
          <w:szCs w:val="16"/>
          <w:color w:val="auto"/>
        </w:rPr>
        <w:t>Taxes withheld from issuance of share-based compensation awards,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97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80" w:lineRule="exact"/>
        <w:rPr>
          <w:sz w:val="20"/>
          <w:szCs w:val="20"/>
          <w:color w:val="auto"/>
        </w:rPr>
      </w:pPr>
    </w:p>
    <w:p>
      <w:pPr>
        <w:ind w:left="60"/>
        <w:spacing w:after="0"/>
        <w:rPr>
          <w:sz w:val="20"/>
          <w:szCs w:val="20"/>
          <w:color w:val="auto"/>
        </w:rPr>
      </w:pPr>
      <w:r>
        <w:rPr>
          <w:rFonts w:ascii="Arial" w:cs="Arial" w:eastAsia="Arial" w:hAnsi="Arial"/>
          <w:sz w:val="16"/>
          <w:szCs w:val="16"/>
          <w:color w:val="auto"/>
        </w:rPr>
        <w:t>Repurchases of common stock, including excise taxes</w:t>
      </w:r>
    </w:p>
    <w:p>
      <w:pPr>
        <w:spacing w:after="0" w:line="100" w:lineRule="exact"/>
        <w:rPr>
          <w:sz w:val="20"/>
          <w:szCs w:val="20"/>
          <w:color w:val="auto"/>
        </w:rPr>
      </w:pPr>
    </w:p>
    <w:p>
      <w:pPr>
        <w:ind w:left="60"/>
        <w:spacing w:after="0"/>
        <w:rPr>
          <w:sz w:val="20"/>
          <w:szCs w:val="20"/>
          <w:color w:val="auto"/>
        </w:rPr>
      </w:pPr>
      <w:r>
        <w:rPr>
          <w:rFonts w:ascii="Arial" w:cs="Arial" w:eastAsia="Arial" w:hAnsi="Arial"/>
          <w:sz w:val="16"/>
          <w:szCs w:val="16"/>
          <w:color w:val="auto"/>
        </w:rPr>
        <w:t>Dividends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97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80" w:lineRule="exact"/>
        <w:rPr>
          <w:sz w:val="20"/>
          <w:szCs w:val="20"/>
          <w:color w:val="auto"/>
        </w:rPr>
      </w:pPr>
    </w:p>
    <w:p>
      <w:pPr>
        <w:ind w:left="60"/>
        <w:spacing w:after="0"/>
        <w:rPr>
          <w:sz w:val="20"/>
          <w:szCs w:val="20"/>
          <w:color w:val="auto"/>
        </w:rPr>
      </w:pPr>
      <w:r>
        <w:rPr>
          <w:rFonts w:ascii="Arial" w:cs="Arial" w:eastAsia="Arial" w:hAnsi="Arial"/>
          <w:sz w:val="16"/>
          <w:szCs w:val="16"/>
          <w:color w:val="auto"/>
        </w:rPr>
        <w:t>Borrowings from debt</w:t>
      </w:r>
    </w:p>
    <w:p>
      <w:pPr>
        <w:spacing w:after="0" w:line="100" w:lineRule="exact"/>
        <w:rPr>
          <w:sz w:val="20"/>
          <w:szCs w:val="20"/>
          <w:color w:val="auto"/>
        </w:rPr>
      </w:pPr>
    </w:p>
    <w:p>
      <w:pPr>
        <w:ind w:left="60"/>
        <w:spacing w:after="0"/>
        <w:rPr>
          <w:sz w:val="20"/>
          <w:szCs w:val="20"/>
          <w:color w:val="auto"/>
        </w:rPr>
      </w:pPr>
      <w:r>
        <w:rPr>
          <w:rFonts w:ascii="Arial" w:cs="Arial" w:eastAsia="Arial" w:hAnsi="Arial"/>
          <w:sz w:val="16"/>
          <w:szCs w:val="16"/>
          <w:color w:val="auto"/>
        </w:rPr>
        <w:t>Repayment of borrowings from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97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80" w:lineRule="exact"/>
        <w:rPr>
          <w:sz w:val="20"/>
          <w:szCs w:val="20"/>
          <w:color w:val="auto"/>
        </w:rPr>
      </w:pPr>
    </w:p>
    <w:p>
      <w:pPr>
        <w:ind w:left="60"/>
        <w:spacing w:after="0"/>
        <w:rPr>
          <w:sz w:val="20"/>
          <w:szCs w:val="20"/>
          <w:color w:val="auto"/>
        </w:rPr>
      </w:pPr>
      <w:r>
        <w:rPr>
          <w:rFonts w:ascii="Arial" w:cs="Arial" w:eastAsia="Arial" w:hAnsi="Arial"/>
          <w:sz w:val="16"/>
          <w:szCs w:val="16"/>
          <w:color w:val="auto"/>
        </w:rPr>
        <w:t>Changes in book cash overdrafts</w:t>
      </w:r>
    </w:p>
    <w:p>
      <w:pPr>
        <w:spacing w:after="0" w:line="113" w:lineRule="exact"/>
        <w:rPr>
          <w:sz w:val="20"/>
          <w:szCs w:val="20"/>
          <w:color w:val="auto"/>
        </w:rPr>
      </w:pPr>
    </w:p>
    <w:p>
      <w:pPr>
        <w:ind w:left="60"/>
        <w:spacing w:after="0"/>
        <w:rPr>
          <w:sz w:val="20"/>
          <w:szCs w:val="20"/>
          <w:color w:val="auto"/>
        </w:rPr>
      </w:pPr>
      <w:r>
        <w:rPr>
          <w:rFonts w:ascii="Arial" w:cs="Arial" w:eastAsia="Arial" w:hAnsi="Arial"/>
          <w:sz w:val="16"/>
          <w:szCs w:val="16"/>
          <w:color w:val="auto"/>
        </w:rPr>
        <w:t>Repayment of finance lease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2057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107"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Net cash provided by financing activities</w:t>
      </w:r>
    </w:p>
    <w:p>
      <w:pPr>
        <w:spacing w:after="0" w:line="100"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Effect of exchange rate changes on cash and cash equivalents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right"/>
        <w:ind w:right="21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2025</w:t>
      </w:r>
    </w:p>
    <w:p>
      <w:pPr>
        <w:spacing w:after="0" w:line="113" w:lineRule="exact"/>
        <w:rPr>
          <w:sz w:val="20"/>
          <w:szCs w:val="20"/>
          <w:color w:val="auto"/>
        </w:rPr>
      </w:pPr>
    </w:p>
    <w:p>
      <w:pPr>
        <w:ind w:left="440" w:hanging="368"/>
        <w:spacing w:after="0"/>
        <w:tabs>
          <w:tab w:leader="none" w:pos="440" w:val="left"/>
        </w:tabs>
        <w:numPr>
          <w:ilvl w:val="0"/>
          <w:numId w:val="6"/>
        </w:numPr>
        <w:rPr>
          <w:rFonts w:ascii="Arial" w:cs="Arial" w:eastAsia="Arial" w:hAnsi="Arial"/>
          <w:sz w:val="15"/>
          <w:szCs w:val="15"/>
          <w:color w:val="auto"/>
        </w:rPr>
      </w:pPr>
      <w:r>
        <w:rPr>
          <w:rFonts w:ascii="Arial" w:cs="Arial" w:eastAsia="Arial" w:hAnsi="Arial"/>
          <w:sz w:val="15"/>
          <w:szCs w:val="15"/>
          <w:color w:val="auto"/>
        </w:rPr>
        <w:t>(106.2)</w:t>
      </w:r>
    </w:p>
    <w:p>
      <w:pPr>
        <w:spacing w:after="0" w:line="152"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(16.7)</w:t>
      </w:r>
    </w:p>
    <w:p>
      <w:pPr>
        <w:spacing w:after="0" w:line="100"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1.9</w:t>
      </w:r>
    </w:p>
    <w:p>
      <w:pPr>
        <w:spacing w:after="0" w:line="100"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0.4</w:t>
      </w:r>
    </w:p>
    <w:p>
      <w:pPr>
        <w:spacing w:after="0" w:line="86" w:lineRule="exact"/>
        <w:rPr>
          <w:sz w:val="20"/>
          <w:szCs w:val="20"/>
          <w:color w:val="auto"/>
        </w:rPr>
      </w:pPr>
    </w:p>
    <w:p>
      <w:pPr>
        <w:ind w:left="520" w:hanging="358"/>
        <w:spacing w:after="0"/>
        <w:tabs>
          <w:tab w:leader="none" w:pos="520" w:val="left"/>
        </w:tabs>
        <w:numPr>
          <w:ilvl w:val="0"/>
          <w:numId w:val="7"/>
        </w:numPr>
        <w:rPr>
          <w:rFonts w:ascii="Arial" w:cs="Arial" w:eastAsia="Arial" w:hAnsi="Arial"/>
          <w:sz w:val="16"/>
          <w:szCs w:val="16"/>
          <w:color w:val="auto"/>
        </w:rPr>
      </w:pPr>
      <w:r>
        <w:rPr>
          <w:rFonts w:ascii="Arial" w:cs="Arial" w:eastAsia="Arial" w:hAnsi="Arial"/>
          <w:sz w:val="16"/>
          <w:szCs w:val="16"/>
          <w:color w:val="auto"/>
        </w:rPr>
        <w:t>(14.4)</w:t>
      </w:r>
    </w:p>
    <w:p>
      <w:pPr>
        <w:spacing w:after="0" w:line="140"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(10.7)</w:t>
      </w:r>
    </w:p>
    <w:p>
      <w:pPr>
        <w:spacing w:after="0" w:line="100"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(21.3)</w:t>
      </w:r>
    </w:p>
    <w:p>
      <w:pPr>
        <w:spacing w:after="0" w:line="100"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(16.4)</w:t>
      </w:r>
    </w:p>
    <w:p>
      <w:pPr>
        <w:spacing w:after="0" w:line="100"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579.9</w:t>
      </w:r>
    </w:p>
    <w:p>
      <w:pPr>
        <w:spacing w:after="0" w:line="100"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(373.0)</w:t>
      </w:r>
    </w:p>
    <w:p>
      <w:pPr>
        <w:spacing w:after="0" w:line="100"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(40.6)</w:t>
      </w:r>
    </w:p>
    <w:p>
      <w:pPr>
        <w:spacing w:after="0" w:line="100"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29210</wp:posOffset>
            </wp:positionV>
            <wp:extent cx="9855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985520" cy="8255"/>
                    </a:xfrm>
                    <a:prstGeom prst="rect">
                      <a:avLst/>
                    </a:prstGeom>
                    <a:noFill/>
                  </pic:spPr>
                </pic:pic>
              </a:graphicData>
            </a:graphic>
          </wp:anchor>
        </w:drawing>
      </w:r>
    </w:p>
    <w:p>
      <w:pPr>
        <w:spacing w:after="0" w:line="66" w:lineRule="exact"/>
        <w:rPr>
          <w:sz w:val="20"/>
          <w:szCs w:val="20"/>
          <w:color w:val="auto"/>
        </w:rPr>
      </w:pPr>
    </w:p>
    <w:p>
      <w:pPr>
        <w:ind w:left="540" w:hanging="360"/>
        <w:spacing w:after="0"/>
        <w:tabs>
          <w:tab w:leader="none" w:pos="540" w:val="left"/>
        </w:tabs>
        <w:numPr>
          <w:ilvl w:val="0"/>
          <w:numId w:val="8"/>
        </w:numPr>
        <w:rPr>
          <w:rFonts w:ascii="Arial" w:cs="Arial" w:eastAsia="Arial" w:hAnsi="Arial"/>
          <w:sz w:val="15"/>
          <w:szCs w:val="15"/>
          <w:color w:val="auto"/>
        </w:rPr>
      </w:pPr>
      <w:r>
        <w:rPr>
          <w:rFonts w:ascii="Arial" w:cs="Arial" w:eastAsia="Arial" w:hAnsi="Arial"/>
          <w:sz w:val="15"/>
          <w:szCs w:val="15"/>
          <w:color w:val="auto"/>
        </w:rPr>
        <w:t>116.9</w:t>
      </w:r>
    </w:p>
    <w:p>
      <w:pPr>
        <w:spacing w:after="0" w:line="165" w:lineRule="exact"/>
        <w:rPr>
          <w:rFonts w:ascii="Arial" w:cs="Arial" w:eastAsia="Arial" w:hAnsi="Arial"/>
          <w:sz w:val="15"/>
          <w:szCs w:val="15"/>
          <w:color w:val="auto"/>
        </w:rPr>
      </w:pPr>
    </w:p>
    <w:p>
      <w:pPr>
        <w:ind w:left="620"/>
        <w:spacing w:after="0"/>
        <w:rPr>
          <w:rFonts w:ascii="Arial" w:cs="Arial" w:eastAsia="Arial" w:hAnsi="Arial"/>
          <w:sz w:val="15"/>
          <w:szCs w:val="15"/>
          <w:color w:val="auto"/>
        </w:rPr>
      </w:pPr>
      <w:r>
        <w:rPr>
          <w:rFonts w:ascii="Arial" w:cs="Arial" w:eastAsia="Arial" w:hAnsi="Arial"/>
          <w:sz w:val="15"/>
          <w:szCs w:val="15"/>
          <w:color w:val="auto"/>
        </w:rPr>
        <w:t>(1.8)</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2024</w:t>
      </w:r>
    </w:p>
    <w:p>
      <w:pPr>
        <w:spacing w:after="0" w:line="113" w:lineRule="exact"/>
        <w:rPr>
          <w:sz w:val="20"/>
          <w:szCs w:val="20"/>
          <w:color w:val="auto"/>
        </w:rPr>
      </w:pPr>
    </w:p>
    <w:p>
      <w:pPr>
        <w:ind w:left="620" w:hanging="366"/>
        <w:spacing w:after="0"/>
        <w:tabs>
          <w:tab w:leader="none" w:pos="620" w:val="left"/>
        </w:tabs>
        <w:numPr>
          <w:ilvl w:val="0"/>
          <w:numId w:val="9"/>
        </w:numPr>
        <w:rPr>
          <w:rFonts w:ascii="Arial" w:cs="Arial" w:eastAsia="Arial" w:hAnsi="Arial"/>
          <w:sz w:val="15"/>
          <w:szCs w:val="15"/>
          <w:color w:val="auto"/>
        </w:rPr>
      </w:pPr>
      <w:r>
        <w:rPr>
          <w:rFonts w:ascii="Arial" w:cs="Arial" w:eastAsia="Arial" w:hAnsi="Arial"/>
          <w:sz w:val="15"/>
          <w:szCs w:val="15"/>
          <w:color w:val="auto"/>
        </w:rPr>
        <w:t>(0.1)</w:t>
      </w:r>
    </w:p>
    <w:p>
      <w:pPr>
        <w:spacing w:after="0" w:line="15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(13.6)</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0.5</w:t>
      </w:r>
    </w:p>
    <w:p>
      <w:pPr>
        <w:spacing w:after="0" w:line="86" w:lineRule="exact"/>
        <w:rPr>
          <w:sz w:val="20"/>
          <w:szCs w:val="20"/>
          <w:color w:val="auto"/>
        </w:rPr>
      </w:pPr>
    </w:p>
    <w:p>
      <w:pPr>
        <w:ind w:left="520" w:hanging="356"/>
        <w:spacing w:after="0"/>
        <w:tabs>
          <w:tab w:leader="none" w:pos="5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(13.1)</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(9.5)</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(14.1)</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301.0</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(284.1)</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8.2</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-375920</wp:posOffset>
            </wp:positionH>
            <wp:positionV relativeFrom="paragraph">
              <wp:posOffset>29210</wp:posOffset>
            </wp:positionV>
            <wp:extent cx="98615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986155" cy="8255"/>
                    </a:xfrm>
                    <a:prstGeom prst="rect">
                      <a:avLst/>
                    </a:prstGeom>
                    <a:noFill/>
                  </pic:spPr>
                </pic:pic>
              </a:graphicData>
            </a:graphic>
          </wp:anchor>
        </w:drawing>
      </w:r>
    </w:p>
    <w:p>
      <w:pPr>
        <w:spacing w:after="0" w:line="66" w:lineRule="exact"/>
        <w:rPr>
          <w:sz w:val="20"/>
          <w:szCs w:val="20"/>
          <w:color w:val="auto"/>
        </w:rPr>
      </w:pPr>
    </w:p>
    <w:p>
      <w:pPr>
        <w:ind w:left="720" w:hanging="358"/>
        <w:spacing w:after="0"/>
        <w:tabs>
          <w:tab w:leader="none" w:pos="7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0.5</w:t>
      </w:r>
    </w:p>
    <w:p>
      <w:pPr>
        <w:spacing w:after="0" w:line="165" w:lineRule="exact"/>
        <w:rPr>
          <w:rFonts w:ascii="Arial" w:cs="Arial" w:eastAsia="Arial" w:hAnsi="Arial"/>
          <w:sz w:val="15"/>
          <w:szCs w:val="15"/>
          <w:color w:val="auto"/>
        </w:rPr>
      </w:pPr>
    </w:p>
    <w:p>
      <w:pPr>
        <w:ind w:left="720"/>
        <w:spacing w:after="0"/>
        <w:rPr>
          <w:rFonts w:ascii="Arial" w:cs="Arial" w:eastAsia="Arial" w:hAnsi="Arial"/>
          <w:sz w:val="15"/>
          <w:szCs w:val="15"/>
          <w:color w:val="auto"/>
        </w:rPr>
      </w:pPr>
      <w:r>
        <w:rPr>
          <w:rFonts w:ascii="Arial" w:cs="Arial" w:eastAsia="Arial" w:hAnsi="Arial"/>
          <w:sz w:val="15"/>
          <w:szCs w:val="15"/>
          <w:color w:val="auto"/>
        </w:rPr>
        <w:t>1.2</w:t>
      </w:r>
    </w:p>
    <w:p>
      <w:pPr>
        <w:sectPr>
          <w:pgSz w:w="11900" w:h="16838" w:orient="portrait"/>
          <w:cols w:equalWidth="0" w:num="3">
            <w:col w:w="7780" w:space="720"/>
            <w:col w:w="1060" w:space="720"/>
            <w:col w:w="940"/>
          </w:cols>
          <w:pgMar w:left="320" w:top="885" w:right="35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20"/>
          <w:szCs w:val="20"/>
          <w:b w:val="1"/>
          <w:bCs w:val="1"/>
          <w:color w:val="0046AD"/>
        </w:rPr>
        <w:t>ABM INDUSTRIES INCORPORATED AND SUBSIDIARIES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0046AD"/>
        </w:rPr>
        <w:t>CONDENSED CONSOLIDATED BALANCE SHEET INFORMATION (UNAUDITED)</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40" w:type="dxa"/>
            <w:vAlign w:val="bottom"/>
            <w:gridSpan w:val="3"/>
          </w:tcPr>
          <w:p>
            <w:pPr>
              <w:ind w:left="60"/>
              <w:spacing w:after="0"/>
              <w:rPr>
                <w:sz w:val="20"/>
                <w:szCs w:val="20"/>
                <w:color w:val="auto"/>
              </w:rPr>
            </w:pPr>
            <w:r>
              <w:rPr>
                <w:rFonts w:ascii="Times New Roman" w:cs="Times New Roman" w:eastAsia="Times New Roman" w:hAnsi="Times New Roman"/>
                <w:sz w:val="13"/>
                <w:szCs w:val="13"/>
                <w:i w:val="1"/>
                <w:iCs w:val="1"/>
                <w:color w:val="auto"/>
              </w:rPr>
              <w:t>(in millions)</w:t>
            </w:r>
          </w:p>
        </w:tc>
        <w:tc>
          <w:tcPr>
            <w:tcW w:w="1680" w:type="dxa"/>
            <w:vAlign w:val="bottom"/>
            <w:gridSpan w:val="3"/>
          </w:tcPr>
          <w:p>
            <w:pPr>
              <w:jc w:val="right"/>
              <w:ind w:right="99"/>
              <w:spacing w:after="0"/>
              <w:rPr>
                <w:sz w:val="20"/>
                <w:szCs w:val="20"/>
                <w:color w:val="auto"/>
              </w:rPr>
            </w:pPr>
            <w:r>
              <w:rPr>
                <w:rFonts w:ascii="Arial" w:cs="Arial" w:eastAsia="Arial" w:hAnsi="Arial"/>
                <w:sz w:val="16"/>
                <w:szCs w:val="16"/>
                <w:b w:val="1"/>
                <w:bCs w:val="1"/>
                <w:color w:val="auto"/>
              </w:rPr>
              <w:t>January 31, 2025</w:t>
            </w:r>
          </w:p>
        </w:tc>
        <w:tc>
          <w:tcPr>
            <w:tcW w:w="240" w:type="dxa"/>
            <w:vAlign w:val="bottom"/>
          </w:tcPr>
          <w:p>
            <w:pPr>
              <w:spacing w:after="0"/>
              <w:rPr>
                <w:sz w:val="17"/>
                <w:szCs w:val="17"/>
                <w:color w:val="auto"/>
              </w:rPr>
            </w:pPr>
          </w:p>
        </w:tc>
        <w:tc>
          <w:tcPr>
            <w:tcW w:w="1680" w:type="dxa"/>
            <w:vAlign w:val="bottom"/>
            <w:gridSpan w:val="2"/>
          </w:tcPr>
          <w:p>
            <w:pPr>
              <w:jc w:val="right"/>
              <w:ind w:right="119"/>
              <w:spacing w:after="0"/>
              <w:rPr>
                <w:sz w:val="20"/>
                <w:szCs w:val="20"/>
                <w:color w:val="auto"/>
              </w:rPr>
            </w:pPr>
            <w:r>
              <w:rPr>
                <w:rFonts w:ascii="Arial" w:cs="Arial" w:eastAsia="Arial" w:hAnsi="Arial"/>
                <w:sz w:val="16"/>
                <w:szCs w:val="16"/>
                <w:b w:val="1"/>
                <w:bCs w:val="1"/>
                <w:color w:val="auto"/>
              </w:rPr>
              <w:t>October 31, 2024</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7640" w:type="dxa"/>
            <w:vAlign w:val="bottom"/>
            <w:tcBorders>
              <w:bottom w:val="single" w:sz="8" w:color="DCE2EF"/>
            </w:tcBorders>
            <w:gridSpan w:val="3"/>
            <w:shd w:val="clear" w:color="auto" w:fill="DCE2EF"/>
          </w:tcPr>
          <w:p>
            <w:pPr>
              <w:ind w:left="60"/>
              <w:spacing w:after="0"/>
              <w:rPr>
                <w:sz w:val="20"/>
                <w:szCs w:val="20"/>
                <w:color w:val="auto"/>
              </w:rPr>
            </w:pPr>
            <w:r>
              <w:rPr>
                <w:rFonts w:ascii="Arial" w:cs="Arial" w:eastAsia="Arial" w:hAnsi="Arial"/>
                <w:sz w:val="16"/>
                <w:szCs w:val="16"/>
                <w:b w:val="1"/>
                <w:bCs w:val="1"/>
                <w:color w:val="auto"/>
              </w:rPr>
              <w:t>ASSETS</w:t>
            </w:r>
          </w:p>
        </w:tc>
        <w:tc>
          <w:tcPr>
            <w:tcW w:w="920" w:type="dxa"/>
            <w:vAlign w:val="bottom"/>
            <w:tcBorders>
              <w:bottom w:val="single" w:sz="8" w:color="DCE2EF"/>
            </w:tcBorders>
            <w:shd w:val="clear" w:color="auto" w:fill="DCE2EF"/>
          </w:tcPr>
          <w:p>
            <w:pPr>
              <w:spacing w:after="0"/>
              <w:rPr>
                <w:sz w:val="20"/>
                <w:szCs w:val="20"/>
                <w:color w:val="auto"/>
              </w:rPr>
            </w:pPr>
          </w:p>
        </w:tc>
        <w:tc>
          <w:tcPr>
            <w:tcW w:w="180" w:type="dxa"/>
            <w:vAlign w:val="bottom"/>
            <w:tcBorders>
              <w:bottom w:val="single" w:sz="8" w:color="DCE2EF"/>
            </w:tcBorders>
            <w:shd w:val="clear" w:color="auto" w:fill="DCE2EF"/>
          </w:tcPr>
          <w:p>
            <w:pPr>
              <w:spacing w:after="0"/>
              <w:rPr>
                <w:sz w:val="20"/>
                <w:szCs w:val="20"/>
                <w:color w:val="auto"/>
              </w:rPr>
            </w:pPr>
          </w:p>
        </w:tc>
        <w:tc>
          <w:tcPr>
            <w:tcW w:w="580" w:type="dxa"/>
            <w:vAlign w:val="bottom"/>
            <w:tcBorders>
              <w:bottom w:val="single" w:sz="8" w:color="DCE2EF"/>
            </w:tcBorders>
            <w:shd w:val="clear" w:color="auto" w:fill="DCE2EF"/>
          </w:tcPr>
          <w:p>
            <w:pPr>
              <w:spacing w:after="0"/>
              <w:rPr>
                <w:sz w:val="20"/>
                <w:szCs w:val="20"/>
                <w:color w:val="auto"/>
              </w:rPr>
            </w:pPr>
          </w:p>
        </w:tc>
        <w:tc>
          <w:tcPr>
            <w:tcW w:w="240" w:type="dxa"/>
            <w:vAlign w:val="bottom"/>
            <w:tcBorders>
              <w:bottom w:val="single" w:sz="8" w:color="DCE2EF"/>
            </w:tcBorders>
            <w:shd w:val="clear" w:color="auto" w:fill="DCE2EF"/>
          </w:tcPr>
          <w:p>
            <w:pPr>
              <w:spacing w:after="0"/>
              <w:rPr>
                <w:sz w:val="20"/>
                <w:szCs w:val="20"/>
                <w:color w:val="auto"/>
              </w:rPr>
            </w:pPr>
          </w:p>
        </w:tc>
        <w:tc>
          <w:tcPr>
            <w:tcW w:w="1100" w:type="dxa"/>
            <w:vAlign w:val="bottom"/>
            <w:tcBorders>
              <w:bottom w:val="single" w:sz="8" w:color="DCE2EF"/>
            </w:tcBorders>
            <w:shd w:val="clear" w:color="auto" w:fill="DCE2EF"/>
          </w:tcPr>
          <w:p>
            <w:pPr>
              <w:spacing w:after="0"/>
              <w:rPr>
                <w:sz w:val="20"/>
                <w:szCs w:val="20"/>
                <w:color w:val="auto"/>
              </w:rPr>
            </w:pPr>
          </w:p>
        </w:tc>
        <w:tc>
          <w:tcPr>
            <w:tcW w:w="580" w:type="dxa"/>
            <w:vAlign w:val="bottom"/>
            <w:tcBorders>
              <w:bottom w:val="single" w:sz="8" w:color="DCE2EF"/>
            </w:tcBorders>
            <w:shd w:val="clear" w:color="auto" w:fill="DCE2EF"/>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7640" w:type="dxa"/>
            <w:vAlign w:val="bottom"/>
            <w:gridSpan w:val="3"/>
          </w:tcPr>
          <w:p>
            <w:pPr>
              <w:ind w:left="60"/>
              <w:spacing w:after="0"/>
              <w:rPr>
                <w:sz w:val="20"/>
                <w:szCs w:val="20"/>
                <w:color w:val="auto"/>
              </w:rPr>
            </w:pPr>
            <w:r>
              <w:rPr>
                <w:rFonts w:ascii="Arial" w:cs="Arial" w:eastAsia="Arial" w:hAnsi="Arial"/>
                <w:sz w:val="16"/>
                <w:szCs w:val="16"/>
                <w:color w:val="auto"/>
              </w:rPr>
              <w:t>Current assets</w:t>
            </w:r>
          </w:p>
        </w:tc>
        <w:tc>
          <w:tcPr>
            <w:tcW w:w="9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1"/>
        </w:trPr>
        <w:tc>
          <w:tcPr>
            <w:tcW w:w="60" w:type="dxa"/>
            <w:vAlign w:val="bottom"/>
            <w:shd w:val="clear" w:color="auto" w:fill="DCE2EF"/>
          </w:tcPr>
          <w:p>
            <w:pPr>
              <w:spacing w:after="0"/>
              <w:rPr>
                <w:sz w:val="24"/>
                <w:szCs w:val="24"/>
                <w:color w:val="auto"/>
              </w:rPr>
            </w:pPr>
          </w:p>
        </w:tc>
        <w:tc>
          <w:tcPr>
            <w:tcW w:w="7580" w:type="dxa"/>
            <w:vAlign w:val="bottom"/>
            <w:gridSpan w:val="2"/>
            <w:shd w:val="clear" w:color="auto" w:fill="DCE2EF"/>
          </w:tcPr>
          <w:p>
            <w:pPr>
              <w:ind w:left="240"/>
              <w:spacing w:after="0"/>
              <w:rPr>
                <w:sz w:val="20"/>
                <w:szCs w:val="20"/>
                <w:color w:val="auto"/>
              </w:rPr>
            </w:pPr>
            <w:r>
              <w:rPr>
                <w:rFonts w:ascii="Arial" w:cs="Arial" w:eastAsia="Arial" w:hAnsi="Arial"/>
                <w:sz w:val="16"/>
                <w:szCs w:val="16"/>
                <w:color w:val="auto"/>
              </w:rPr>
              <w:t>Cash and cash equivalents</w:t>
            </w:r>
          </w:p>
        </w:tc>
        <w:tc>
          <w:tcPr>
            <w:tcW w:w="920" w:type="dxa"/>
            <w:vAlign w:val="bottom"/>
            <w:shd w:val="clear" w:color="auto" w:fill="DCE2EF"/>
          </w:tcPr>
          <w:p>
            <w:pPr>
              <w:spacing w:after="0"/>
              <w:rPr>
                <w:sz w:val="24"/>
                <w:szCs w:val="24"/>
                <w:color w:val="auto"/>
              </w:rPr>
            </w:pPr>
          </w:p>
        </w:tc>
        <w:tc>
          <w:tcPr>
            <w:tcW w:w="1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59.0</w:t>
            </w:r>
          </w:p>
        </w:tc>
        <w:tc>
          <w:tcPr>
            <w:tcW w:w="1340" w:type="dxa"/>
            <w:vAlign w:val="bottom"/>
            <w:gridSpan w:val="2"/>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64.6</w:t>
            </w:r>
          </w:p>
        </w:tc>
        <w:tc>
          <w:tcPr>
            <w:tcW w:w="0" w:type="dxa"/>
            <w:vAlign w:val="bottom"/>
          </w:tcPr>
          <w:p>
            <w:pPr>
              <w:spacing w:after="0"/>
              <w:rPr>
                <w:sz w:val="1"/>
                <w:szCs w:val="1"/>
                <w:color w:val="auto"/>
              </w:rPr>
            </w:pPr>
          </w:p>
        </w:tc>
      </w:tr>
      <w:tr>
        <w:trPr>
          <w:trHeight w:val="276"/>
        </w:trPr>
        <w:tc>
          <w:tcPr>
            <w:tcW w:w="60" w:type="dxa"/>
            <w:vAlign w:val="bottom"/>
          </w:tcPr>
          <w:p>
            <w:pPr>
              <w:spacing w:after="0"/>
              <w:rPr>
                <w:sz w:val="23"/>
                <w:szCs w:val="23"/>
                <w:color w:val="auto"/>
              </w:rPr>
            </w:pPr>
          </w:p>
        </w:tc>
        <w:tc>
          <w:tcPr>
            <w:tcW w:w="7580" w:type="dxa"/>
            <w:vAlign w:val="bottom"/>
            <w:gridSpan w:val="2"/>
          </w:tcPr>
          <w:p>
            <w:pPr>
              <w:ind w:left="240"/>
              <w:spacing w:after="0"/>
              <w:rPr>
                <w:sz w:val="20"/>
                <w:szCs w:val="20"/>
                <w:color w:val="auto"/>
              </w:rPr>
            </w:pPr>
            <w:r>
              <w:rPr>
                <w:rFonts w:ascii="Arial" w:cs="Arial" w:eastAsia="Arial" w:hAnsi="Arial"/>
                <w:sz w:val="16"/>
                <w:szCs w:val="16"/>
                <w:color w:val="auto"/>
              </w:rPr>
              <w:t>Trade accounts receivable</w:t>
            </w:r>
          </w:p>
        </w:tc>
        <w:tc>
          <w:tcPr>
            <w:tcW w:w="9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1,549.7</w:t>
            </w:r>
          </w:p>
        </w:tc>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1,384.1</w:t>
            </w:r>
          </w:p>
        </w:tc>
        <w:tc>
          <w:tcPr>
            <w:tcW w:w="0" w:type="dxa"/>
            <w:vAlign w:val="bottom"/>
          </w:tcPr>
          <w:p>
            <w:pPr>
              <w:spacing w:after="0"/>
              <w:rPr>
                <w:sz w:val="1"/>
                <w:szCs w:val="1"/>
                <w:color w:val="auto"/>
              </w:rPr>
            </w:pPr>
          </w:p>
        </w:tc>
      </w:tr>
      <w:tr>
        <w:trPr>
          <w:trHeight w:val="291"/>
        </w:trPr>
        <w:tc>
          <w:tcPr>
            <w:tcW w:w="60" w:type="dxa"/>
            <w:vAlign w:val="bottom"/>
            <w:shd w:val="clear" w:color="auto" w:fill="DCE2EF"/>
          </w:tcPr>
          <w:p>
            <w:pPr>
              <w:spacing w:after="0"/>
              <w:rPr>
                <w:sz w:val="24"/>
                <w:szCs w:val="24"/>
                <w:color w:val="auto"/>
              </w:rPr>
            </w:pPr>
          </w:p>
        </w:tc>
        <w:tc>
          <w:tcPr>
            <w:tcW w:w="7580" w:type="dxa"/>
            <w:vAlign w:val="bottom"/>
            <w:gridSpan w:val="2"/>
            <w:shd w:val="clear" w:color="auto" w:fill="DCE2EF"/>
          </w:tcPr>
          <w:p>
            <w:pPr>
              <w:ind w:left="240"/>
              <w:spacing w:after="0"/>
              <w:rPr>
                <w:sz w:val="20"/>
                <w:szCs w:val="20"/>
                <w:color w:val="auto"/>
              </w:rPr>
            </w:pPr>
            <w:r>
              <w:rPr>
                <w:rFonts w:ascii="Arial" w:cs="Arial" w:eastAsia="Arial" w:hAnsi="Arial"/>
                <w:sz w:val="16"/>
                <w:szCs w:val="16"/>
                <w:color w:val="auto"/>
              </w:rPr>
              <w:t>Costs incurred in excess of amounts billed</w:t>
            </w:r>
          </w:p>
        </w:tc>
        <w:tc>
          <w:tcPr>
            <w:tcW w:w="920" w:type="dxa"/>
            <w:vAlign w:val="bottom"/>
            <w:shd w:val="clear" w:color="auto" w:fill="DCE2EF"/>
          </w:tcPr>
          <w:p>
            <w:pPr>
              <w:spacing w:after="0"/>
              <w:rPr>
                <w:sz w:val="24"/>
                <w:szCs w:val="24"/>
                <w:color w:val="auto"/>
              </w:rPr>
            </w:pPr>
          </w:p>
        </w:tc>
        <w:tc>
          <w:tcPr>
            <w:tcW w:w="18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135.5</w:t>
            </w:r>
          </w:p>
        </w:tc>
        <w:tc>
          <w:tcPr>
            <w:tcW w:w="240" w:type="dxa"/>
            <w:vAlign w:val="bottom"/>
            <w:shd w:val="clear" w:color="auto" w:fill="DCE2EF"/>
          </w:tcPr>
          <w:p>
            <w:pPr>
              <w:spacing w:after="0"/>
              <w:rPr>
                <w:sz w:val="24"/>
                <w:szCs w:val="24"/>
                <w:color w:val="auto"/>
              </w:rPr>
            </w:pPr>
          </w:p>
        </w:tc>
        <w:tc>
          <w:tcPr>
            <w:tcW w:w="110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162.1</w:t>
            </w:r>
          </w:p>
        </w:tc>
        <w:tc>
          <w:tcPr>
            <w:tcW w:w="0" w:type="dxa"/>
            <w:vAlign w:val="bottom"/>
          </w:tcPr>
          <w:p>
            <w:pPr>
              <w:spacing w:after="0"/>
              <w:rPr>
                <w:sz w:val="1"/>
                <w:szCs w:val="1"/>
                <w:color w:val="auto"/>
              </w:rPr>
            </w:pPr>
          </w:p>
        </w:tc>
      </w:tr>
      <w:tr>
        <w:trPr>
          <w:trHeight w:val="276"/>
        </w:trPr>
        <w:tc>
          <w:tcPr>
            <w:tcW w:w="60" w:type="dxa"/>
            <w:vAlign w:val="bottom"/>
          </w:tcPr>
          <w:p>
            <w:pPr>
              <w:spacing w:after="0"/>
              <w:rPr>
                <w:sz w:val="23"/>
                <w:szCs w:val="23"/>
                <w:color w:val="auto"/>
              </w:rPr>
            </w:pPr>
          </w:p>
        </w:tc>
        <w:tc>
          <w:tcPr>
            <w:tcW w:w="7580" w:type="dxa"/>
            <w:vAlign w:val="bottom"/>
            <w:gridSpan w:val="2"/>
          </w:tcPr>
          <w:p>
            <w:pPr>
              <w:ind w:left="240"/>
              <w:spacing w:after="0"/>
              <w:rPr>
                <w:sz w:val="20"/>
                <w:szCs w:val="20"/>
                <w:color w:val="auto"/>
              </w:rPr>
            </w:pPr>
            <w:r>
              <w:rPr>
                <w:rFonts w:ascii="Arial" w:cs="Arial" w:eastAsia="Arial" w:hAnsi="Arial"/>
                <w:sz w:val="16"/>
                <w:szCs w:val="16"/>
                <w:color w:val="auto"/>
              </w:rPr>
              <w:t>Prepaid expenses</w:t>
            </w:r>
          </w:p>
        </w:tc>
        <w:tc>
          <w:tcPr>
            <w:tcW w:w="9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97.5</w:t>
            </w:r>
          </w:p>
        </w:tc>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103.2</w:t>
            </w:r>
          </w:p>
        </w:tc>
        <w:tc>
          <w:tcPr>
            <w:tcW w:w="0" w:type="dxa"/>
            <w:vAlign w:val="bottom"/>
          </w:tcPr>
          <w:p>
            <w:pPr>
              <w:spacing w:after="0"/>
              <w:rPr>
                <w:sz w:val="1"/>
                <w:szCs w:val="1"/>
                <w:color w:val="auto"/>
              </w:rPr>
            </w:pPr>
          </w:p>
        </w:tc>
      </w:tr>
      <w:tr>
        <w:trPr>
          <w:trHeight w:val="290"/>
        </w:trPr>
        <w:tc>
          <w:tcPr>
            <w:tcW w:w="60" w:type="dxa"/>
            <w:vAlign w:val="bottom"/>
            <w:tcBorders>
              <w:bottom w:val="single" w:sz="8" w:color="DCE2EF"/>
            </w:tcBorders>
            <w:shd w:val="clear" w:color="auto" w:fill="DCE2EF"/>
          </w:tcPr>
          <w:p>
            <w:pPr>
              <w:spacing w:after="0"/>
              <w:rPr>
                <w:sz w:val="24"/>
                <w:szCs w:val="24"/>
                <w:color w:val="auto"/>
              </w:rPr>
            </w:pPr>
          </w:p>
        </w:tc>
        <w:tc>
          <w:tcPr>
            <w:tcW w:w="7580" w:type="dxa"/>
            <w:vAlign w:val="bottom"/>
            <w:tcBorders>
              <w:bottom w:val="single" w:sz="8" w:color="DCE2EF"/>
            </w:tcBorders>
            <w:gridSpan w:val="2"/>
            <w:shd w:val="clear" w:color="auto" w:fill="DCE2EF"/>
          </w:tcPr>
          <w:p>
            <w:pPr>
              <w:ind w:left="240"/>
              <w:spacing w:after="0"/>
              <w:rPr>
                <w:sz w:val="20"/>
                <w:szCs w:val="20"/>
                <w:color w:val="auto"/>
              </w:rPr>
            </w:pPr>
            <w:r>
              <w:rPr>
                <w:rFonts w:ascii="Arial" w:cs="Arial" w:eastAsia="Arial" w:hAnsi="Arial"/>
                <w:sz w:val="16"/>
                <w:szCs w:val="16"/>
                <w:color w:val="auto"/>
              </w:rPr>
              <w:t>Other current assets</w:t>
            </w:r>
          </w:p>
        </w:tc>
        <w:tc>
          <w:tcPr>
            <w:tcW w:w="920" w:type="dxa"/>
            <w:vAlign w:val="bottom"/>
            <w:tcBorders>
              <w:bottom w:val="single" w:sz="8" w:color="auto"/>
            </w:tcBorders>
            <w:shd w:val="clear" w:color="auto" w:fill="DCE2EF"/>
          </w:tcPr>
          <w:p>
            <w:pPr>
              <w:spacing w:after="0"/>
              <w:rPr>
                <w:sz w:val="24"/>
                <w:szCs w:val="24"/>
                <w:color w:val="auto"/>
              </w:rPr>
            </w:pPr>
          </w:p>
        </w:tc>
        <w:tc>
          <w:tcPr>
            <w:tcW w:w="180" w:type="dxa"/>
            <w:vAlign w:val="bottom"/>
            <w:tcBorders>
              <w:bottom w:val="single" w:sz="8" w:color="auto"/>
            </w:tcBorders>
            <w:shd w:val="clear" w:color="auto" w:fill="DCE2EF"/>
          </w:tcPr>
          <w:p>
            <w:pPr>
              <w:spacing w:after="0"/>
              <w:rPr>
                <w:sz w:val="24"/>
                <w:szCs w:val="24"/>
                <w:color w:val="auto"/>
              </w:rPr>
            </w:pPr>
          </w:p>
        </w:tc>
        <w:tc>
          <w:tcPr>
            <w:tcW w:w="5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79.8</w:t>
            </w:r>
          </w:p>
        </w:tc>
        <w:tc>
          <w:tcPr>
            <w:tcW w:w="240" w:type="dxa"/>
            <w:vAlign w:val="bottom"/>
            <w:tcBorders>
              <w:bottom w:val="single" w:sz="8" w:color="DCE2EF"/>
            </w:tcBorders>
            <w:shd w:val="clear" w:color="auto" w:fill="DCE2EF"/>
          </w:tcPr>
          <w:p>
            <w:pPr>
              <w:spacing w:after="0"/>
              <w:rPr>
                <w:sz w:val="24"/>
                <w:szCs w:val="24"/>
                <w:color w:val="auto"/>
              </w:rPr>
            </w:pPr>
          </w:p>
        </w:tc>
        <w:tc>
          <w:tcPr>
            <w:tcW w:w="1100" w:type="dxa"/>
            <w:vAlign w:val="bottom"/>
            <w:tcBorders>
              <w:bottom w:val="single" w:sz="8" w:color="auto"/>
            </w:tcBorders>
            <w:shd w:val="clear" w:color="auto" w:fill="DCE2EF"/>
          </w:tcPr>
          <w:p>
            <w:pPr>
              <w:spacing w:after="0"/>
              <w:rPr>
                <w:sz w:val="24"/>
                <w:szCs w:val="24"/>
                <w:color w:val="auto"/>
              </w:rPr>
            </w:pPr>
          </w:p>
        </w:tc>
        <w:tc>
          <w:tcPr>
            <w:tcW w:w="5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74.8</w:t>
            </w:r>
          </w:p>
        </w:tc>
        <w:tc>
          <w:tcPr>
            <w:tcW w:w="0" w:type="dxa"/>
            <w:vAlign w:val="bottom"/>
          </w:tcPr>
          <w:p>
            <w:pPr>
              <w:spacing w:after="0"/>
              <w:rPr>
                <w:sz w:val="1"/>
                <w:szCs w:val="1"/>
                <w:color w:val="auto"/>
              </w:rPr>
            </w:pPr>
          </w:p>
        </w:tc>
      </w:tr>
      <w:tr>
        <w:trPr>
          <w:trHeight w:val="258"/>
        </w:trPr>
        <w:tc>
          <w:tcPr>
            <w:tcW w:w="60" w:type="dxa"/>
            <w:vAlign w:val="bottom"/>
          </w:tcPr>
          <w:p>
            <w:pPr>
              <w:spacing w:after="0"/>
              <w:rPr>
                <w:sz w:val="22"/>
                <w:szCs w:val="22"/>
                <w:color w:val="auto"/>
              </w:rPr>
            </w:pPr>
          </w:p>
        </w:tc>
        <w:tc>
          <w:tcPr>
            <w:tcW w:w="7580" w:type="dxa"/>
            <w:vAlign w:val="bottom"/>
            <w:gridSpan w:val="2"/>
          </w:tcPr>
          <w:p>
            <w:pPr>
              <w:ind w:left="480"/>
              <w:spacing w:after="0"/>
              <w:rPr>
                <w:sz w:val="20"/>
                <w:szCs w:val="20"/>
                <w:color w:val="auto"/>
              </w:rPr>
            </w:pPr>
            <w:r>
              <w:rPr>
                <w:rFonts w:ascii="Arial" w:cs="Arial" w:eastAsia="Arial" w:hAnsi="Arial"/>
                <w:sz w:val="16"/>
                <w:szCs w:val="16"/>
                <w:color w:val="auto"/>
              </w:rPr>
              <w:t>Total current assets</w:t>
            </w:r>
          </w:p>
        </w:tc>
        <w:tc>
          <w:tcPr>
            <w:tcW w:w="9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1,921.5</w:t>
            </w:r>
          </w:p>
        </w:tc>
        <w:tc>
          <w:tcPr>
            <w:tcW w:w="240" w:type="dxa"/>
            <w:vAlign w:val="bottom"/>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1,788.7</w:t>
            </w:r>
          </w:p>
        </w:tc>
        <w:tc>
          <w:tcPr>
            <w:tcW w:w="0" w:type="dxa"/>
            <w:vAlign w:val="bottom"/>
          </w:tcPr>
          <w:p>
            <w:pPr>
              <w:spacing w:after="0"/>
              <w:rPr>
                <w:sz w:val="1"/>
                <w:szCs w:val="1"/>
                <w:color w:val="auto"/>
              </w:rPr>
            </w:pPr>
          </w:p>
        </w:tc>
      </w:tr>
      <w:tr>
        <w:trPr>
          <w:trHeight w:val="250"/>
        </w:trPr>
        <w:tc>
          <w:tcPr>
            <w:tcW w:w="7640" w:type="dxa"/>
            <w:vAlign w:val="bottom"/>
            <w:tcBorders>
              <w:bottom w:val="single" w:sz="8" w:color="DCE2EF"/>
            </w:tcBorders>
            <w:gridSpan w:val="3"/>
            <w:shd w:val="clear" w:color="auto" w:fill="DCE2EF"/>
          </w:tcPr>
          <w:p>
            <w:pPr>
              <w:ind w:left="60"/>
              <w:spacing w:after="0"/>
              <w:rPr>
                <w:sz w:val="20"/>
                <w:szCs w:val="20"/>
                <w:color w:val="auto"/>
              </w:rPr>
            </w:pPr>
            <w:r>
              <w:rPr>
                <w:rFonts w:ascii="Arial" w:cs="Arial" w:eastAsia="Arial" w:hAnsi="Arial"/>
                <w:sz w:val="16"/>
                <w:szCs w:val="16"/>
                <w:color w:val="auto"/>
              </w:rPr>
              <w:t>Other investments</w:t>
            </w:r>
          </w:p>
        </w:tc>
        <w:tc>
          <w:tcPr>
            <w:tcW w:w="920" w:type="dxa"/>
            <w:vAlign w:val="bottom"/>
            <w:tcBorders>
              <w:bottom w:val="single" w:sz="8" w:color="DCE2EF"/>
            </w:tcBorders>
            <w:shd w:val="clear" w:color="auto" w:fill="DCE2EF"/>
          </w:tcPr>
          <w:p>
            <w:pPr>
              <w:spacing w:after="0"/>
              <w:rPr>
                <w:sz w:val="21"/>
                <w:szCs w:val="21"/>
                <w:color w:val="auto"/>
              </w:rPr>
            </w:pPr>
          </w:p>
        </w:tc>
        <w:tc>
          <w:tcPr>
            <w:tcW w:w="180" w:type="dxa"/>
            <w:vAlign w:val="bottom"/>
            <w:tcBorders>
              <w:bottom w:val="single" w:sz="8" w:color="DCE2EF"/>
            </w:tcBorders>
            <w:shd w:val="clear" w:color="auto" w:fill="DCE2EF"/>
          </w:tcPr>
          <w:p>
            <w:pPr>
              <w:spacing w:after="0"/>
              <w:rPr>
                <w:sz w:val="21"/>
                <w:szCs w:val="21"/>
                <w:color w:val="auto"/>
              </w:rPr>
            </w:pP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31.5</w:t>
            </w:r>
          </w:p>
        </w:tc>
        <w:tc>
          <w:tcPr>
            <w:tcW w:w="240" w:type="dxa"/>
            <w:vAlign w:val="bottom"/>
            <w:tcBorders>
              <w:bottom w:val="single" w:sz="8" w:color="DCE2EF"/>
            </w:tcBorders>
            <w:shd w:val="clear" w:color="auto" w:fill="DCE2EF"/>
          </w:tcPr>
          <w:p>
            <w:pPr>
              <w:spacing w:after="0"/>
              <w:rPr>
                <w:sz w:val="21"/>
                <w:szCs w:val="21"/>
                <w:color w:val="auto"/>
              </w:rPr>
            </w:pPr>
          </w:p>
        </w:tc>
        <w:tc>
          <w:tcPr>
            <w:tcW w:w="1100" w:type="dxa"/>
            <w:vAlign w:val="bottom"/>
            <w:tcBorders>
              <w:bottom w:val="single" w:sz="8" w:color="DCE2EF"/>
            </w:tcBorders>
            <w:shd w:val="clear" w:color="auto" w:fill="DCE2EF"/>
          </w:tcPr>
          <w:p>
            <w:pPr>
              <w:spacing w:after="0"/>
              <w:rPr>
                <w:sz w:val="21"/>
                <w:szCs w:val="21"/>
                <w:color w:val="auto"/>
              </w:rPr>
            </w:pP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30.8</w:t>
            </w:r>
          </w:p>
        </w:tc>
        <w:tc>
          <w:tcPr>
            <w:tcW w:w="0" w:type="dxa"/>
            <w:vAlign w:val="bottom"/>
          </w:tcPr>
          <w:p>
            <w:pPr>
              <w:spacing w:after="0"/>
              <w:rPr>
                <w:sz w:val="1"/>
                <w:szCs w:val="1"/>
                <w:color w:val="auto"/>
              </w:rPr>
            </w:pPr>
          </w:p>
        </w:tc>
      </w:tr>
      <w:tr>
        <w:trPr>
          <w:trHeight w:val="276"/>
        </w:trPr>
        <w:tc>
          <w:tcPr>
            <w:tcW w:w="7640" w:type="dxa"/>
            <w:vAlign w:val="bottom"/>
            <w:gridSpan w:val="3"/>
          </w:tcPr>
          <w:p>
            <w:pPr>
              <w:ind w:left="60"/>
              <w:spacing w:after="0"/>
              <w:rPr>
                <w:sz w:val="20"/>
                <w:szCs w:val="20"/>
                <w:color w:val="auto"/>
              </w:rPr>
            </w:pPr>
            <w:r>
              <w:rPr>
                <w:rFonts w:ascii="Arial" w:cs="Arial" w:eastAsia="Arial" w:hAnsi="Arial"/>
                <w:sz w:val="16"/>
                <w:szCs w:val="16"/>
                <w:color w:val="auto"/>
              </w:rPr>
              <w:t>Property, plant and equipment</w:t>
            </w:r>
          </w:p>
        </w:tc>
        <w:tc>
          <w:tcPr>
            <w:tcW w:w="9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153.8</w:t>
            </w:r>
          </w:p>
        </w:tc>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150.7</w:t>
            </w:r>
          </w:p>
        </w:tc>
        <w:tc>
          <w:tcPr>
            <w:tcW w:w="0" w:type="dxa"/>
            <w:vAlign w:val="bottom"/>
          </w:tcPr>
          <w:p>
            <w:pPr>
              <w:spacing w:after="0"/>
              <w:rPr>
                <w:sz w:val="1"/>
                <w:szCs w:val="1"/>
                <w:color w:val="auto"/>
              </w:rPr>
            </w:pPr>
          </w:p>
        </w:tc>
      </w:tr>
      <w:tr>
        <w:trPr>
          <w:trHeight w:val="291"/>
        </w:trPr>
        <w:tc>
          <w:tcPr>
            <w:tcW w:w="7640" w:type="dxa"/>
            <w:vAlign w:val="bottom"/>
            <w:gridSpan w:val="3"/>
            <w:shd w:val="clear" w:color="auto" w:fill="DCE2EF"/>
          </w:tcPr>
          <w:p>
            <w:pPr>
              <w:ind w:left="60"/>
              <w:spacing w:after="0"/>
              <w:rPr>
                <w:sz w:val="20"/>
                <w:szCs w:val="20"/>
                <w:color w:val="auto"/>
              </w:rPr>
            </w:pPr>
            <w:r>
              <w:rPr>
                <w:rFonts w:ascii="Arial" w:cs="Arial" w:eastAsia="Arial" w:hAnsi="Arial"/>
                <w:sz w:val="16"/>
                <w:szCs w:val="16"/>
                <w:color w:val="auto"/>
              </w:rPr>
              <w:t>Right-of-use assets</w:t>
            </w:r>
          </w:p>
        </w:tc>
        <w:tc>
          <w:tcPr>
            <w:tcW w:w="920" w:type="dxa"/>
            <w:vAlign w:val="bottom"/>
            <w:shd w:val="clear" w:color="auto" w:fill="DCE2EF"/>
          </w:tcPr>
          <w:p>
            <w:pPr>
              <w:spacing w:after="0"/>
              <w:rPr>
                <w:sz w:val="24"/>
                <w:szCs w:val="24"/>
                <w:color w:val="auto"/>
              </w:rPr>
            </w:pPr>
          </w:p>
        </w:tc>
        <w:tc>
          <w:tcPr>
            <w:tcW w:w="18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102.1</w:t>
            </w:r>
          </w:p>
        </w:tc>
        <w:tc>
          <w:tcPr>
            <w:tcW w:w="240" w:type="dxa"/>
            <w:vAlign w:val="bottom"/>
            <w:shd w:val="clear" w:color="auto" w:fill="DCE2EF"/>
          </w:tcPr>
          <w:p>
            <w:pPr>
              <w:spacing w:after="0"/>
              <w:rPr>
                <w:sz w:val="24"/>
                <w:szCs w:val="24"/>
                <w:color w:val="auto"/>
              </w:rPr>
            </w:pPr>
          </w:p>
        </w:tc>
        <w:tc>
          <w:tcPr>
            <w:tcW w:w="110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101.2</w:t>
            </w:r>
          </w:p>
        </w:tc>
        <w:tc>
          <w:tcPr>
            <w:tcW w:w="0" w:type="dxa"/>
            <w:vAlign w:val="bottom"/>
          </w:tcPr>
          <w:p>
            <w:pPr>
              <w:spacing w:after="0"/>
              <w:rPr>
                <w:sz w:val="1"/>
                <w:szCs w:val="1"/>
                <w:color w:val="auto"/>
              </w:rPr>
            </w:pPr>
          </w:p>
        </w:tc>
      </w:tr>
      <w:tr>
        <w:trPr>
          <w:trHeight w:val="276"/>
        </w:trPr>
        <w:tc>
          <w:tcPr>
            <w:tcW w:w="7640" w:type="dxa"/>
            <w:vAlign w:val="bottom"/>
            <w:gridSpan w:val="3"/>
          </w:tcPr>
          <w:p>
            <w:pPr>
              <w:ind w:left="60"/>
              <w:spacing w:after="0"/>
              <w:rPr>
                <w:sz w:val="20"/>
                <w:szCs w:val="20"/>
                <w:color w:val="auto"/>
              </w:rPr>
            </w:pPr>
            <w:r>
              <w:rPr>
                <w:rFonts w:ascii="Arial" w:cs="Arial" w:eastAsia="Arial" w:hAnsi="Arial"/>
                <w:sz w:val="16"/>
                <w:szCs w:val="16"/>
                <w:color w:val="auto"/>
              </w:rPr>
              <w:t>Other intangible assets, net of accumulated amortization</w:t>
            </w:r>
          </w:p>
        </w:tc>
        <w:tc>
          <w:tcPr>
            <w:tcW w:w="9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268.9</w:t>
            </w:r>
          </w:p>
        </w:tc>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282.4</w:t>
            </w:r>
          </w:p>
        </w:tc>
        <w:tc>
          <w:tcPr>
            <w:tcW w:w="0" w:type="dxa"/>
            <w:vAlign w:val="bottom"/>
          </w:tcPr>
          <w:p>
            <w:pPr>
              <w:spacing w:after="0"/>
              <w:rPr>
                <w:sz w:val="1"/>
                <w:szCs w:val="1"/>
                <w:color w:val="auto"/>
              </w:rPr>
            </w:pPr>
          </w:p>
        </w:tc>
      </w:tr>
      <w:tr>
        <w:trPr>
          <w:trHeight w:val="291"/>
        </w:trPr>
        <w:tc>
          <w:tcPr>
            <w:tcW w:w="7640" w:type="dxa"/>
            <w:vAlign w:val="bottom"/>
            <w:gridSpan w:val="3"/>
            <w:shd w:val="clear" w:color="auto" w:fill="DCE2EF"/>
          </w:tcPr>
          <w:p>
            <w:pPr>
              <w:ind w:left="60"/>
              <w:spacing w:after="0"/>
              <w:rPr>
                <w:sz w:val="20"/>
                <w:szCs w:val="20"/>
                <w:color w:val="auto"/>
              </w:rPr>
            </w:pPr>
            <w:r>
              <w:rPr>
                <w:rFonts w:ascii="Arial" w:cs="Arial" w:eastAsia="Arial" w:hAnsi="Arial"/>
                <w:sz w:val="16"/>
                <w:szCs w:val="16"/>
                <w:color w:val="auto"/>
              </w:rPr>
              <w:t>Goodwill</w:t>
            </w:r>
          </w:p>
        </w:tc>
        <w:tc>
          <w:tcPr>
            <w:tcW w:w="920" w:type="dxa"/>
            <w:vAlign w:val="bottom"/>
            <w:shd w:val="clear" w:color="auto" w:fill="DCE2EF"/>
          </w:tcPr>
          <w:p>
            <w:pPr>
              <w:spacing w:after="0"/>
              <w:rPr>
                <w:sz w:val="24"/>
                <w:szCs w:val="24"/>
                <w:color w:val="auto"/>
              </w:rPr>
            </w:pPr>
          </w:p>
        </w:tc>
        <w:tc>
          <w:tcPr>
            <w:tcW w:w="18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2,568.8</w:t>
            </w:r>
          </w:p>
        </w:tc>
        <w:tc>
          <w:tcPr>
            <w:tcW w:w="240" w:type="dxa"/>
            <w:vAlign w:val="bottom"/>
            <w:shd w:val="clear" w:color="auto" w:fill="DCE2EF"/>
          </w:tcPr>
          <w:p>
            <w:pPr>
              <w:spacing w:after="0"/>
              <w:rPr>
                <w:sz w:val="24"/>
                <w:szCs w:val="24"/>
                <w:color w:val="auto"/>
              </w:rPr>
            </w:pPr>
          </w:p>
        </w:tc>
        <w:tc>
          <w:tcPr>
            <w:tcW w:w="110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2,575.9</w:t>
            </w:r>
          </w:p>
        </w:tc>
        <w:tc>
          <w:tcPr>
            <w:tcW w:w="0" w:type="dxa"/>
            <w:vAlign w:val="bottom"/>
          </w:tcPr>
          <w:p>
            <w:pPr>
              <w:spacing w:after="0"/>
              <w:rPr>
                <w:sz w:val="1"/>
                <w:szCs w:val="1"/>
                <w:color w:val="auto"/>
              </w:rPr>
            </w:pPr>
          </w:p>
        </w:tc>
      </w:tr>
      <w:tr>
        <w:trPr>
          <w:trHeight w:val="283"/>
        </w:trPr>
        <w:tc>
          <w:tcPr>
            <w:tcW w:w="7640" w:type="dxa"/>
            <w:vAlign w:val="bottom"/>
            <w:gridSpan w:val="3"/>
          </w:tcPr>
          <w:p>
            <w:pPr>
              <w:ind w:left="60"/>
              <w:spacing w:after="0"/>
              <w:rPr>
                <w:sz w:val="20"/>
                <w:szCs w:val="20"/>
                <w:color w:val="auto"/>
              </w:rPr>
            </w:pPr>
            <w:r>
              <w:rPr>
                <w:rFonts w:ascii="Arial" w:cs="Arial" w:eastAsia="Arial" w:hAnsi="Arial"/>
                <w:sz w:val="16"/>
                <w:szCs w:val="16"/>
                <w:color w:val="auto"/>
              </w:rPr>
              <w:t>Other noncurrent assets</w:t>
            </w:r>
          </w:p>
        </w:tc>
        <w:tc>
          <w:tcPr>
            <w:tcW w:w="9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170.8</w:t>
            </w:r>
          </w:p>
        </w:tc>
        <w:tc>
          <w:tcPr>
            <w:tcW w:w="24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167.5</w:t>
            </w:r>
          </w:p>
        </w:tc>
        <w:tc>
          <w:tcPr>
            <w:tcW w:w="0" w:type="dxa"/>
            <w:vAlign w:val="bottom"/>
          </w:tcPr>
          <w:p>
            <w:pPr>
              <w:spacing w:after="0"/>
              <w:rPr>
                <w:sz w:val="1"/>
                <w:szCs w:val="1"/>
                <w:color w:val="auto"/>
              </w:rPr>
            </w:pPr>
          </w:p>
        </w:tc>
      </w:tr>
      <w:tr>
        <w:trPr>
          <w:trHeight w:val="310"/>
        </w:trPr>
        <w:tc>
          <w:tcPr>
            <w:tcW w:w="7640" w:type="dxa"/>
            <w:vAlign w:val="bottom"/>
            <w:tcBorders>
              <w:bottom w:val="single" w:sz="8" w:color="DCE2EF"/>
            </w:tcBorders>
            <w:gridSpan w:val="3"/>
            <w:shd w:val="clear" w:color="auto" w:fill="DCE2EF"/>
          </w:tcPr>
          <w:p>
            <w:pPr>
              <w:ind w:left="60"/>
              <w:spacing w:after="0"/>
              <w:rPr>
                <w:sz w:val="20"/>
                <w:szCs w:val="20"/>
                <w:color w:val="auto"/>
              </w:rPr>
            </w:pPr>
            <w:r>
              <w:rPr>
                <w:rFonts w:ascii="Arial" w:cs="Arial" w:eastAsia="Arial" w:hAnsi="Arial"/>
                <w:sz w:val="16"/>
                <w:szCs w:val="16"/>
                <w:color w:val="auto"/>
              </w:rPr>
              <w:t>Total assets</w:t>
            </w:r>
          </w:p>
        </w:tc>
        <w:tc>
          <w:tcPr>
            <w:tcW w:w="92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DCE2EF"/>
            </w:tcBorders>
            <w:shd w:val="clear" w:color="auto" w:fill="DCE2EF"/>
          </w:tcPr>
          <w:p>
            <w:pPr>
              <w:spacing w:after="0"/>
              <w:rPr>
                <w:sz w:val="24"/>
                <w:szCs w:val="24"/>
                <w:color w:val="auto"/>
              </w:rPr>
            </w:pP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5,217.4</w:t>
            </w:r>
          </w:p>
        </w:tc>
        <w:tc>
          <w:tcPr>
            <w:tcW w:w="1340" w:type="dxa"/>
            <w:vAlign w:val="bottom"/>
            <w:tcBorders>
              <w:bottom w:val="single" w:sz="8" w:color="DCE2EF"/>
            </w:tcBorders>
            <w:gridSpan w:val="2"/>
            <w:shd w:val="clear" w:color="auto" w:fill="DCE2EF"/>
          </w:tcPr>
          <w:p>
            <w:pPr>
              <w:jc w:val="right"/>
              <w:ind w:right="15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5,097.2</w:t>
            </w:r>
          </w:p>
        </w:tc>
        <w:tc>
          <w:tcPr>
            <w:tcW w:w="0" w:type="dxa"/>
            <w:vAlign w:val="bottom"/>
          </w:tcPr>
          <w:p>
            <w:pPr>
              <w:spacing w:after="0"/>
              <w:rPr>
                <w:sz w:val="1"/>
                <w:szCs w:val="1"/>
                <w:color w:val="auto"/>
              </w:rPr>
            </w:pPr>
          </w:p>
        </w:tc>
      </w:tr>
      <w:tr>
        <w:trPr>
          <w:trHeight w:val="246"/>
        </w:trPr>
        <w:tc>
          <w:tcPr>
            <w:tcW w:w="7640" w:type="dxa"/>
            <w:vAlign w:val="bottom"/>
            <w:tcBorders>
              <w:top w:val="single" w:sz="8" w:color="DCE2EF"/>
            </w:tcBorders>
            <w:gridSpan w:val="3"/>
          </w:tcPr>
          <w:p>
            <w:pPr>
              <w:ind w:left="60"/>
              <w:spacing w:after="0"/>
              <w:rPr>
                <w:sz w:val="20"/>
                <w:szCs w:val="20"/>
                <w:color w:val="auto"/>
              </w:rPr>
            </w:pPr>
            <w:r>
              <w:rPr>
                <w:rFonts w:ascii="Arial" w:cs="Arial" w:eastAsia="Arial" w:hAnsi="Arial"/>
                <w:sz w:val="16"/>
                <w:szCs w:val="16"/>
                <w:b w:val="1"/>
                <w:bCs w:val="1"/>
                <w:color w:val="auto"/>
              </w:rPr>
              <w:t>LIABILITIES AND STOCKHOLDERS’ EQUITY</w:t>
            </w:r>
          </w:p>
        </w:tc>
        <w:tc>
          <w:tcPr>
            <w:tcW w:w="9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240" w:type="dxa"/>
            <w:vAlign w:val="bottom"/>
            <w:tcBorders>
              <w:top w:val="single" w:sz="8" w:color="DCE2EF"/>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87"/>
        </w:trPr>
        <w:tc>
          <w:tcPr>
            <w:tcW w:w="7640" w:type="dxa"/>
            <w:vAlign w:val="bottom"/>
            <w:gridSpan w:val="3"/>
            <w:shd w:val="clear" w:color="auto" w:fill="DCE2EF"/>
          </w:tcPr>
          <w:p>
            <w:pPr>
              <w:ind w:left="60"/>
              <w:spacing w:after="0"/>
              <w:rPr>
                <w:sz w:val="20"/>
                <w:szCs w:val="20"/>
                <w:color w:val="auto"/>
              </w:rPr>
            </w:pPr>
            <w:r>
              <w:rPr>
                <w:rFonts w:ascii="Arial" w:cs="Arial" w:eastAsia="Arial" w:hAnsi="Arial"/>
                <w:sz w:val="16"/>
                <w:szCs w:val="16"/>
                <w:color w:val="auto"/>
              </w:rPr>
              <w:t>Current liabilities</w:t>
            </w:r>
          </w:p>
        </w:tc>
        <w:tc>
          <w:tcPr>
            <w:tcW w:w="920" w:type="dxa"/>
            <w:vAlign w:val="bottom"/>
            <w:shd w:val="clear" w:color="auto" w:fill="DCE2EF"/>
          </w:tcPr>
          <w:p>
            <w:pPr>
              <w:spacing w:after="0"/>
              <w:rPr>
                <w:sz w:val="24"/>
                <w:szCs w:val="24"/>
                <w:color w:val="auto"/>
              </w:rPr>
            </w:pPr>
          </w:p>
        </w:tc>
        <w:tc>
          <w:tcPr>
            <w:tcW w:w="180" w:type="dxa"/>
            <w:vAlign w:val="bottom"/>
            <w:shd w:val="clear" w:color="auto" w:fill="DCE2EF"/>
          </w:tcPr>
          <w:p>
            <w:pPr>
              <w:spacing w:after="0"/>
              <w:rPr>
                <w:sz w:val="24"/>
                <w:szCs w:val="24"/>
                <w:color w:val="auto"/>
              </w:rPr>
            </w:pPr>
          </w:p>
        </w:tc>
        <w:tc>
          <w:tcPr>
            <w:tcW w:w="580" w:type="dxa"/>
            <w:vAlign w:val="bottom"/>
            <w:shd w:val="clear" w:color="auto" w:fill="DCE2EF"/>
          </w:tcPr>
          <w:p>
            <w:pPr>
              <w:spacing w:after="0"/>
              <w:rPr>
                <w:sz w:val="24"/>
                <w:szCs w:val="24"/>
                <w:color w:val="auto"/>
              </w:rPr>
            </w:pPr>
          </w:p>
        </w:tc>
        <w:tc>
          <w:tcPr>
            <w:tcW w:w="240" w:type="dxa"/>
            <w:vAlign w:val="bottom"/>
            <w:shd w:val="clear" w:color="auto" w:fill="DCE2EF"/>
          </w:tcPr>
          <w:p>
            <w:pPr>
              <w:spacing w:after="0"/>
              <w:rPr>
                <w:sz w:val="24"/>
                <w:szCs w:val="24"/>
                <w:color w:val="auto"/>
              </w:rPr>
            </w:pPr>
          </w:p>
        </w:tc>
        <w:tc>
          <w:tcPr>
            <w:tcW w:w="1100" w:type="dxa"/>
            <w:vAlign w:val="bottom"/>
            <w:shd w:val="clear" w:color="auto" w:fill="DCE2EF"/>
          </w:tcPr>
          <w:p>
            <w:pPr>
              <w:spacing w:after="0"/>
              <w:rPr>
                <w:sz w:val="24"/>
                <w:szCs w:val="24"/>
                <w:color w:val="auto"/>
              </w:rPr>
            </w:pPr>
          </w:p>
        </w:tc>
        <w:tc>
          <w:tcPr>
            <w:tcW w:w="580" w:type="dxa"/>
            <w:vAlign w:val="bottom"/>
            <w:shd w:val="clear" w:color="auto" w:fill="DCE2EF"/>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60" w:type="dxa"/>
            <w:vAlign w:val="bottom"/>
          </w:tcPr>
          <w:p>
            <w:pPr>
              <w:spacing w:after="0"/>
              <w:rPr>
                <w:sz w:val="23"/>
                <w:szCs w:val="23"/>
                <w:color w:val="auto"/>
              </w:rPr>
            </w:pPr>
          </w:p>
        </w:tc>
        <w:tc>
          <w:tcPr>
            <w:tcW w:w="7580" w:type="dxa"/>
            <w:vAlign w:val="bottom"/>
            <w:gridSpan w:val="2"/>
          </w:tcPr>
          <w:p>
            <w:pPr>
              <w:ind w:left="240"/>
              <w:spacing w:after="0"/>
              <w:rPr>
                <w:sz w:val="20"/>
                <w:szCs w:val="20"/>
                <w:color w:val="auto"/>
              </w:rPr>
            </w:pPr>
            <w:r>
              <w:rPr>
                <w:rFonts w:ascii="Arial" w:cs="Arial" w:eastAsia="Arial" w:hAnsi="Arial"/>
                <w:sz w:val="16"/>
                <w:szCs w:val="16"/>
                <w:color w:val="auto"/>
              </w:rPr>
              <w:t>Current portion of long-term debt, net</w:t>
            </w:r>
          </w:p>
        </w:tc>
        <w:tc>
          <w:tcPr>
            <w:tcW w:w="9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31.6</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31.6</w:t>
            </w:r>
          </w:p>
        </w:tc>
        <w:tc>
          <w:tcPr>
            <w:tcW w:w="0" w:type="dxa"/>
            <w:vAlign w:val="bottom"/>
          </w:tcPr>
          <w:p>
            <w:pPr>
              <w:spacing w:after="0"/>
              <w:rPr>
                <w:sz w:val="1"/>
                <w:szCs w:val="1"/>
                <w:color w:val="auto"/>
              </w:rPr>
            </w:pPr>
          </w:p>
        </w:tc>
      </w:tr>
      <w:tr>
        <w:trPr>
          <w:trHeight w:val="291"/>
        </w:trPr>
        <w:tc>
          <w:tcPr>
            <w:tcW w:w="60" w:type="dxa"/>
            <w:vAlign w:val="bottom"/>
            <w:shd w:val="clear" w:color="auto" w:fill="DCE2EF"/>
          </w:tcPr>
          <w:p>
            <w:pPr>
              <w:spacing w:after="0"/>
              <w:rPr>
                <w:sz w:val="24"/>
                <w:szCs w:val="24"/>
                <w:color w:val="auto"/>
              </w:rPr>
            </w:pPr>
          </w:p>
        </w:tc>
        <w:tc>
          <w:tcPr>
            <w:tcW w:w="7580" w:type="dxa"/>
            <w:vAlign w:val="bottom"/>
            <w:gridSpan w:val="2"/>
            <w:shd w:val="clear" w:color="auto" w:fill="DCE2EF"/>
          </w:tcPr>
          <w:p>
            <w:pPr>
              <w:ind w:left="240"/>
              <w:spacing w:after="0"/>
              <w:rPr>
                <w:sz w:val="20"/>
                <w:szCs w:val="20"/>
                <w:color w:val="auto"/>
              </w:rPr>
            </w:pPr>
            <w:r>
              <w:rPr>
                <w:rFonts w:ascii="Arial" w:cs="Arial" w:eastAsia="Arial" w:hAnsi="Arial"/>
                <w:sz w:val="16"/>
                <w:szCs w:val="16"/>
                <w:color w:val="auto"/>
              </w:rPr>
              <w:t>Trade accounts payable</w:t>
            </w:r>
          </w:p>
        </w:tc>
        <w:tc>
          <w:tcPr>
            <w:tcW w:w="920" w:type="dxa"/>
            <w:vAlign w:val="bottom"/>
            <w:shd w:val="clear" w:color="auto" w:fill="DCE2EF"/>
          </w:tcPr>
          <w:p>
            <w:pPr>
              <w:spacing w:after="0"/>
              <w:rPr>
                <w:sz w:val="24"/>
                <w:szCs w:val="24"/>
                <w:color w:val="auto"/>
              </w:rPr>
            </w:pPr>
          </w:p>
        </w:tc>
        <w:tc>
          <w:tcPr>
            <w:tcW w:w="18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314.0</w:t>
            </w:r>
          </w:p>
        </w:tc>
        <w:tc>
          <w:tcPr>
            <w:tcW w:w="240" w:type="dxa"/>
            <w:vAlign w:val="bottom"/>
            <w:shd w:val="clear" w:color="auto" w:fill="DCE2EF"/>
          </w:tcPr>
          <w:p>
            <w:pPr>
              <w:spacing w:after="0"/>
              <w:rPr>
                <w:sz w:val="24"/>
                <w:szCs w:val="24"/>
                <w:color w:val="auto"/>
              </w:rPr>
            </w:pPr>
          </w:p>
        </w:tc>
        <w:tc>
          <w:tcPr>
            <w:tcW w:w="110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324.3</w:t>
            </w:r>
          </w:p>
        </w:tc>
        <w:tc>
          <w:tcPr>
            <w:tcW w:w="0" w:type="dxa"/>
            <w:vAlign w:val="bottom"/>
          </w:tcPr>
          <w:p>
            <w:pPr>
              <w:spacing w:after="0"/>
              <w:rPr>
                <w:sz w:val="1"/>
                <w:szCs w:val="1"/>
                <w:color w:val="auto"/>
              </w:rPr>
            </w:pPr>
          </w:p>
        </w:tc>
      </w:tr>
      <w:tr>
        <w:trPr>
          <w:trHeight w:val="276"/>
        </w:trPr>
        <w:tc>
          <w:tcPr>
            <w:tcW w:w="60" w:type="dxa"/>
            <w:vAlign w:val="bottom"/>
          </w:tcPr>
          <w:p>
            <w:pPr>
              <w:spacing w:after="0"/>
              <w:rPr>
                <w:sz w:val="23"/>
                <w:szCs w:val="23"/>
                <w:color w:val="auto"/>
              </w:rPr>
            </w:pPr>
          </w:p>
        </w:tc>
        <w:tc>
          <w:tcPr>
            <w:tcW w:w="7580" w:type="dxa"/>
            <w:vAlign w:val="bottom"/>
            <w:gridSpan w:val="2"/>
          </w:tcPr>
          <w:p>
            <w:pPr>
              <w:ind w:left="240"/>
              <w:spacing w:after="0"/>
              <w:rPr>
                <w:sz w:val="20"/>
                <w:szCs w:val="20"/>
                <w:color w:val="auto"/>
              </w:rPr>
            </w:pPr>
            <w:r>
              <w:rPr>
                <w:rFonts w:ascii="Arial" w:cs="Arial" w:eastAsia="Arial" w:hAnsi="Arial"/>
                <w:sz w:val="16"/>
                <w:szCs w:val="16"/>
                <w:color w:val="auto"/>
              </w:rPr>
              <w:t>Accrued compensation</w:t>
            </w:r>
          </w:p>
        </w:tc>
        <w:tc>
          <w:tcPr>
            <w:tcW w:w="9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184.3</w:t>
            </w:r>
          </w:p>
        </w:tc>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295.6</w:t>
            </w:r>
          </w:p>
        </w:tc>
        <w:tc>
          <w:tcPr>
            <w:tcW w:w="0" w:type="dxa"/>
            <w:vAlign w:val="bottom"/>
          </w:tcPr>
          <w:p>
            <w:pPr>
              <w:spacing w:after="0"/>
              <w:rPr>
                <w:sz w:val="1"/>
                <w:szCs w:val="1"/>
                <w:color w:val="auto"/>
              </w:rPr>
            </w:pPr>
          </w:p>
        </w:tc>
      </w:tr>
      <w:tr>
        <w:trPr>
          <w:trHeight w:val="291"/>
        </w:trPr>
        <w:tc>
          <w:tcPr>
            <w:tcW w:w="60" w:type="dxa"/>
            <w:vAlign w:val="bottom"/>
            <w:shd w:val="clear" w:color="auto" w:fill="DCE2EF"/>
          </w:tcPr>
          <w:p>
            <w:pPr>
              <w:spacing w:after="0"/>
              <w:rPr>
                <w:sz w:val="24"/>
                <w:szCs w:val="24"/>
                <w:color w:val="auto"/>
              </w:rPr>
            </w:pPr>
          </w:p>
        </w:tc>
        <w:tc>
          <w:tcPr>
            <w:tcW w:w="7580" w:type="dxa"/>
            <w:vAlign w:val="bottom"/>
            <w:gridSpan w:val="2"/>
            <w:shd w:val="clear" w:color="auto" w:fill="DCE2EF"/>
          </w:tcPr>
          <w:p>
            <w:pPr>
              <w:ind w:left="240"/>
              <w:spacing w:after="0"/>
              <w:rPr>
                <w:sz w:val="20"/>
                <w:szCs w:val="20"/>
                <w:color w:val="auto"/>
              </w:rPr>
            </w:pPr>
            <w:r>
              <w:rPr>
                <w:rFonts w:ascii="Arial" w:cs="Arial" w:eastAsia="Arial" w:hAnsi="Arial"/>
                <w:sz w:val="16"/>
                <w:szCs w:val="16"/>
                <w:color w:val="auto"/>
              </w:rPr>
              <w:t>Accrued taxes—other than income</w:t>
            </w:r>
          </w:p>
        </w:tc>
        <w:tc>
          <w:tcPr>
            <w:tcW w:w="920" w:type="dxa"/>
            <w:vAlign w:val="bottom"/>
            <w:shd w:val="clear" w:color="auto" w:fill="DCE2EF"/>
          </w:tcPr>
          <w:p>
            <w:pPr>
              <w:spacing w:after="0"/>
              <w:rPr>
                <w:sz w:val="24"/>
                <w:szCs w:val="24"/>
                <w:color w:val="auto"/>
              </w:rPr>
            </w:pPr>
          </w:p>
        </w:tc>
        <w:tc>
          <w:tcPr>
            <w:tcW w:w="18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45.9</w:t>
            </w:r>
          </w:p>
        </w:tc>
        <w:tc>
          <w:tcPr>
            <w:tcW w:w="240" w:type="dxa"/>
            <w:vAlign w:val="bottom"/>
            <w:shd w:val="clear" w:color="auto" w:fill="DCE2EF"/>
          </w:tcPr>
          <w:p>
            <w:pPr>
              <w:spacing w:after="0"/>
              <w:rPr>
                <w:sz w:val="24"/>
                <w:szCs w:val="24"/>
                <w:color w:val="auto"/>
              </w:rPr>
            </w:pPr>
          </w:p>
        </w:tc>
        <w:tc>
          <w:tcPr>
            <w:tcW w:w="110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56.2</w:t>
            </w:r>
          </w:p>
        </w:tc>
        <w:tc>
          <w:tcPr>
            <w:tcW w:w="0" w:type="dxa"/>
            <w:vAlign w:val="bottom"/>
          </w:tcPr>
          <w:p>
            <w:pPr>
              <w:spacing w:after="0"/>
              <w:rPr>
                <w:sz w:val="1"/>
                <w:szCs w:val="1"/>
                <w:color w:val="auto"/>
              </w:rPr>
            </w:pPr>
          </w:p>
        </w:tc>
      </w:tr>
      <w:tr>
        <w:trPr>
          <w:trHeight w:val="276"/>
        </w:trPr>
        <w:tc>
          <w:tcPr>
            <w:tcW w:w="60" w:type="dxa"/>
            <w:vAlign w:val="bottom"/>
          </w:tcPr>
          <w:p>
            <w:pPr>
              <w:spacing w:after="0"/>
              <w:rPr>
                <w:sz w:val="23"/>
                <w:szCs w:val="23"/>
                <w:color w:val="auto"/>
              </w:rPr>
            </w:pPr>
          </w:p>
        </w:tc>
        <w:tc>
          <w:tcPr>
            <w:tcW w:w="7580" w:type="dxa"/>
            <w:vAlign w:val="bottom"/>
            <w:gridSpan w:val="2"/>
          </w:tcPr>
          <w:p>
            <w:pPr>
              <w:ind w:left="240"/>
              <w:spacing w:after="0"/>
              <w:rPr>
                <w:sz w:val="20"/>
                <w:szCs w:val="20"/>
                <w:color w:val="auto"/>
              </w:rPr>
            </w:pPr>
            <w:r>
              <w:rPr>
                <w:rFonts w:ascii="Arial" w:cs="Arial" w:eastAsia="Arial" w:hAnsi="Arial"/>
                <w:sz w:val="16"/>
                <w:szCs w:val="16"/>
                <w:color w:val="auto"/>
              </w:rPr>
              <w:t>Deferred Revenue</w:t>
            </w:r>
          </w:p>
        </w:tc>
        <w:tc>
          <w:tcPr>
            <w:tcW w:w="9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60.1</w:t>
            </w:r>
          </w:p>
        </w:tc>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63.7</w:t>
            </w:r>
          </w:p>
        </w:tc>
        <w:tc>
          <w:tcPr>
            <w:tcW w:w="0" w:type="dxa"/>
            <w:vAlign w:val="bottom"/>
          </w:tcPr>
          <w:p>
            <w:pPr>
              <w:spacing w:after="0"/>
              <w:rPr>
                <w:sz w:val="1"/>
                <w:szCs w:val="1"/>
                <w:color w:val="auto"/>
              </w:rPr>
            </w:pPr>
          </w:p>
        </w:tc>
      </w:tr>
      <w:tr>
        <w:trPr>
          <w:trHeight w:val="291"/>
        </w:trPr>
        <w:tc>
          <w:tcPr>
            <w:tcW w:w="60" w:type="dxa"/>
            <w:vAlign w:val="bottom"/>
            <w:shd w:val="clear" w:color="auto" w:fill="DCE2EF"/>
          </w:tcPr>
          <w:p>
            <w:pPr>
              <w:spacing w:after="0"/>
              <w:rPr>
                <w:sz w:val="24"/>
                <w:szCs w:val="24"/>
                <w:color w:val="auto"/>
              </w:rPr>
            </w:pPr>
          </w:p>
        </w:tc>
        <w:tc>
          <w:tcPr>
            <w:tcW w:w="7580" w:type="dxa"/>
            <w:vAlign w:val="bottom"/>
            <w:gridSpan w:val="2"/>
            <w:shd w:val="clear" w:color="auto" w:fill="DCE2EF"/>
          </w:tcPr>
          <w:p>
            <w:pPr>
              <w:ind w:left="240"/>
              <w:spacing w:after="0"/>
              <w:rPr>
                <w:sz w:val="20"/>
                <w:szCs w:val="20"/>
                <w:color w:val="auto"/>
              </w:rPr>
            </w:pPr>
            <w:r>
              <w:rPr>
                <w:rFonts w:ascii="Arial" w:cs="Arial" w:eastAsia="Arial" w:hAnsi="Arial"/>
                <w:sz w:val="16"/>
                <w:szCs w:val="16"/>
                <w:color w:val="auto"/>
              </w:rPr>
              <w:t>Insurance claims</w:t>
            </w:r>
          </w:p>
        </w:tc>
        <w:tc>
          <w:tcPr>
            <w:tcW w:w="920" w:type="dxa"/>
            <w:vAlign w:val="bottom"/>
            <w:shd w:val="clear" w:color="auto" w:fill="DCE2EF"/>
          </w:tcPr>
          <w:p>
            <w:pPr>
              <w:spacing w:after="0"/>
              <w:rPr>
                <w:sz w:val="24"/>
                <w:szCs w:val="24"/>
                <w:color w:val="auto"/>
              </w:rPr>
            </w:pPr>
          </w:p>
        </w:tc>
        <w:tc>
          <w:tcPr>
            <w:tcW w:w="18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202.3</w:t>
            </w:r>
          </w:p>
        </w:tc>
        <w:tc>
          <w:tcPr>
            <w:tcW w:w="240" w:type="dxa"/>
            <w:vAlign w:val="bottom"/>
            <w:shd w:val="clear" w:color="auto" w:fill="DCE2EF"/>
          </w:tcPr>
          <w:p>
            <w:pPr>
              <w:spacing w:after="0"/>
              <w:rPr>
                <w:sz w:val="24"/>
                <w:szCs w:val="24"/>
                <w:color w:val="auto"/>
              </w:rPr>
            </w:pPr>
          </w:p>
        </w:tc>
        <w:tc>
          <w:tcPr>
            <w:tcW w:w="110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197.5</w:t>
            </w:r>
          </w:p>
        </w:tc>
        <w:tc>
          <w:tcPr>
            <w:tcW w:w="0" w:type="dxa"/>
            <w:vAlign w:val="bottom"/>
          </w:tcPr>
          <w:p>
            <w:pPr>
              <w:spacing w:after="0"/>
              <w:rPr>
                <w:sz w:val="1"/>
                <w:szCs w:val="1"/>
                <w:color w:val="auto"/>
              </w:rPr>
            </w:pPr>
          </w:p>
        </w:tc>
      </w:tr>
      <w:tr>
        <w:trPr>
          <w:trHeight w:val="276"/>
        </w:trPr>
        <w:tc>
          <w:tcPr>
            <w:tcW w:w="60" w:type="dxa"/>
            <w:vAlign w:val="bottom"/>
          </w:tcPr>
          <w:p>
            <w:pPr>
              <w:spacing w:after="0"/>
              <w:rPr>
                <w:sz w:val="23"/>
                <w:szCs w:val="23"/>
                <w:color w:val="auto"/>
              </w:rPr>
            </w:pPr>
          </w:p>
        </w:tc>
        <w:tc>
          <w:tcPr>
            <w:tcW w:w="7580" w:type="dxa"/>
            <w:vAlign w:val="bottom"/>
            <w:gridSpan w:val="2"/>
          </w:tcPr>
          <w:p>
            <w:pPr>
              <w:ind w:left="240"/>
              <w:spacing w:after="0"/>
              <w:rPr>
                <w:sz w:val="20"/>
                <w:szCs w:val="20"/>
                <w:color w:val="auto"/>
              </w:rPr>
            </w:pPr>
            <w:r>
              <w:rPr>
                <w:rFonts w:ascii="Arial" w:cs="Arial" w:eastAsia="Arial" w:hAnsi="Arial"/>
                <w:sz w:val="16"/>
                <w:szCs w:val="16"/>
                <w:color w:val="auto"/>
              </w:rPr>
              <w:t>Income taxes payable</w:t>
            </w:r>
          </w:p>
        </w:tc>
        <w:tc>
          <w:tcPr>
            <w:tcW w:w="9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13.7</w:t>
            </w:r>
          </w:p>
        </w:tc>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91"/>
        </w:trPr>
        <w:tc>
          <w:tcPr>
            <w:tcW w:w="60" w:type="dxa"/>
            <w:vAlign w:val="bottom"/>
            <w:shd w:val="clear" w:color="auto" w:fill="DCE2EF"/>
          </w:tcPr>
          <w:p>
            <w:pPr>
              <w:spacing w:after="0"/>
              <w:rPr>
                <w:sz w:val="24"/>
                <w:szCs w:val="24"/>
                <w:color w:val="auto"/>
              </w:rPr>
            </w:pPr>
          </w:p>
        </w:tc>
        <w:tc>
          <w:tcPr>
            <w:tcW w:w="7580" w:type="dxa"/>
            <w:vAlign w:val="bottom"/>
            <w:gridSpan w:val="2"/>
            <w:shd w:val="clear" w:color="auto" w:fill="DCE2EF"/>
          </w:tcPr>
          <w:p>
            <w:pPr>
              <w:ind w:left="240"/>
              <w:spacing w:after="0"/>
              <w:rPr>
                <w:sz w:val="20"/>
                <w:szCs w:val="20"/>
                <w:color w:val="auto"/>
              </w:rPr>
            </w:pPr>
            <w:r>
              <w:rPr>
                <w:rFonts w:ascii="Arial" w:cs="Arial" w:eastAsia="Arial" w:hAnsi="Arial"/>
                <w:sz w:val="16"/>
                <w:szCs w:val="16"/>
                <w:color w:val="auto"/>
              </w:rPr>
              <w:t>Current portion of lease liabilities</w:t>
            </w:r>
          </w:p>
        </w:tc>
        <w:tc>
          <w:tcPr>
            <w:tcW w:w="920" w:type="dxa"/>
            <w:vAlign w:val="bottom"/>
            <w:shd w:val="clear" w:color="auto" w:fill="DCE2EF"/>
          </w:tcPr>
          <w:p>
            <w:pPr>
              <w:spacing w:after="0"/>
              <w:rPr>
                <w:sz w:val="24"/>
                <w:szCs w:val="24"/>
                <w:color w:val="auto"/>
              </w:rPr>
            </w:pPr>
          </w:p>
        </w:tc>
        <w:tc>
          <w:tcPr>
            <w:tcW w:w="18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27.7</w:t>
            </w:r>
          </w:p>
        </w:tc>
        <w:tc>
          <w:tcPr>
            <w:tcW w:w="240" w:type="dxa"/>
            <w:vAlign w:val="bottom"/>
            <w:shd w:val="clear" w:color="auto" w:fill="DCE2EF"/>
          </w:tcPr>
          <w:p>
            <w:pPr>
              <w:spacing w:after="0"/>
              <w:rPr>
                <w:sz w:val="24"/>
                <w:szCs w:val="24"/>
                <w:color w:val="auto"/>
              </w:rPr>
            </w:pPr>
          </w:p>
        </w:tc>
        <w:tc>
          <w:tcPr>
            <w:tcW w:w="110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26.6</w:t>
            </w:r>
          </w:p>
        </w:tc>
        <w:tc>
          <w:tcPr>
            <w:tcW w:w="0" w:type="dxa"/>
            <w:vAlign w:val="bottom"/>
          </w:tcPr>
          <w:p>
            <w:pPr>
              <w:spacing w:after="0"/>
              <w:rPr>
                <w:sz w:val="1"/>
                <w:szCs w:val="1"/>
                <w:color w:val="auto"/>
              </w:rPr>
            </w:pPr>
          </w:p>
        </w:tc>
      </w:tr>
      <w:tr>
        <w:trPr>
          <w:trHeight w:val="282"/>
        </w:trPr>
        <w:tc>
          <w:tcPr>
            <w:tcW w:w="60" w:type="dxa"/>
            <w:vAlign w:val="bottom"/>
          </w:tcPr>
          <w:p>
            <w:pPr>
              <w:spacing w:after="0"/>
              <w:rPr>
                <w:sz w:val="24"/>
                <w:szCs w:val="24"/>
                <w:color w:val="auto"/>
              </w:rPr>
            </w:pPr>
          </w:p>
        </w:tc>
        <w:tc>
          <w:tcPr>
            <w:tcW w:w="7580" w:type="dxa"/>
            <w:vAlign w:val="bottom"/>
            <w:gridSpan w:val="2"/>
          </w:tcPr>
          <w:p>
            <w:pPr>
              <w:ind w:left="240"/>
              <w:spacing w:after="0"/>
              <w:rPr>
                <w:sz w:val="20"/>
                <w:szCs w:val="20"/>
                <w:color w:val="auto"/>
              </w:rPr>
            </w:pPr>
            <w:r>
              <w:rPr>
                <w:rFonts w:ascii="Arial" w:cs="Arial" w:eastAsia="Arial" w:hAnsi="Arial"/>
                <w:sz w:val="16"/>
                <w:szCs w:val="16"/>
                <w:color w:val="auto"/>
              </w:rPr>
              <w:t>Other accrued liabilities</w:t>
            </w:r>
          </w:p>
        </w:tc>
        <w:tc>
          <w:tcPr>
            <w:tcW w:w="9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381.6</w:t>
            </w:r>
          </w:p>
        </w:tc>
        <w:tc>
          <w:tcPr>
            <w:tcW w:w="24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348.2</w:t>
            </w:r>
          </w:p>
        </w:tc>
        <w:tc>
          <w:tcPr>
            <w:tcW w:w="0" w:type="dxa"/>
            <w:vAlign w:val="bottom"/>
          </w:tcPr>
          <w:p>
            <w:pPr>
              <w:spacing w:after="0"/>
              <w:rPr>
                <w:sz w:val="1"/>
                <w:szCs w:val="1"/>
                <w:color w:val="auto"/>
              </w:rPr>
            </w:pPr>
          </w:p>
        </w:tc>
      </w:tr>
      <w:tr>
        <w:trPr>
          <w:trHeight w:val="258"/>
        </w:trPr>
        <w:tc>
          <w:tcPr>
            <w:tcW w:w="60" w:type="dxa"/>
            <w:vAlign w:val="bottom"/>
            <w:tcBorders>
              <w:bottom w:val="single" w:sz="8" w:color="DCE2EF"/>
            </w:tcBorders>
            <w:shd w:val="clear" w:color="auto" w:fill="DCE2EF"/>
          </w:tcPr>
          <w:p>
            <w:pPr>
              <w:spacing w:after="0"/>
              <w:rPr>
                <w:sz w:val="22"/>
                <w:szCs w:val="22"/>
                <w:color w:val="auto"/>
              </w:rPr>
            </w:pPr>
          </w:p>
        </w:tc>
        <w:tc>
          <w:tcPr>
            <w:tcW w:w="7580" w:type="dxa"/>
            <w:vAlign w:val="bottom"/>
            <w:tcBorders>
              <w:bottom w:val="single" w:sz="8" w:color="DCE2EF"/>
            </w:tcBorders>
            <w:gridSpan w:val="2"/>
            <w:shd w:val="clear" w:color="auto" w:fill="DCE2EF"/>
          </w:tcPr>
          <w:p>
            <w:pPr>
              <w:ind w:left="240"/>
              <w:spacing w:after="0"/>
              <w:rPr>
                <w:sz w:val="20"/>
                <w:szCs w:val="20"/>
                <w:color w:val="auto"/>
              </w:rPr>
            </w:pPr>
            <w:r>
              <w:rPr>
                <w:rFonts w:ascii="Arial" w:cs="Arial" w:eastAsia="Arial" w:hAnsi="Arial"/>
                <w:sz w:val="16"/>
                <w:szCs w:val="16"/>
                <w:color w:val="auto"/>
              </w:rPr>
              <w:t>Total current liabilities</w:t>
            </w:r>
          </w:p>
        </w:tc>
        <w:tc>
          <w:tcPr>
            <w:tcW w:w="920" w:type="dxa"/>
            <w:vAlign w:val="bottom"/>
            <w:tcBorders>
              <w:bottom w:val="single" w:sz="8" w:color="auto"/>
            </w:tcBorders>
            <w:shd w:val="clear" w:color="auto" w:fill="DCE2EF"/>
          </w:tcPr>
          <w:p>
            <w:pPr>
              <w:spacing w:after="0"/>
              <w:rPr>
                <w:sz w:val="22"/>
                <w:szCs w:val="22"/>
                <w:color w:val="auto"/>
              </w:rPr>
            </w:pPr>
          </w:p>
        </w:tc>
        <w:tc>
          <w:tcPr>
            <w:tcW w:w="180" w:type="dxa"/>
            <w:vAlign w:val="bottom"/>
            <w:tcBorders>
              <w:bottom w:val="single" w:sz="8" w:color="auto"/>
            </w:tcBorders>
            <w:shd w:val="clear" w:color="auto" w:fill="DCE2EF"/>
          </w:tcPr>
          <w:p>
            <w:pPr>
              <w:spacing w:after="0"/>
              <w:rPr>
                <w:sz w:val="22"/>
                <w:szCs w:val="22"/>
                <w:color w:val="auto"/>
              </w:rPr>
            </w:pPr>
          </w:p>
        </w:tc>
        <w:tc>
          <w:tcPr>
            <w:tcW w:w="5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1,261.0</w:t>
            </w:r>
          </w:p>
        </w:tc>
        <w:tc>
          <w:tcPr>
            <w:tcW w:w="240" w:type="dxa"/>
            <w:vAlign w:val="bottom"/>
            <w:tcBorders>
              <w:bottom w:val="single" w:sz="8" w:color="DCE2EF"/>
            </w:tcBorders>
            <w:shd w:val="clear" w:color="auto" w:fill="DCE2EF"/>
          </w:tcPr>
          <w:p>
            <w:pPr>
              <w:spacing w:after="0"/>
              <w:rPr>
                <w:sz w:val="22"/>
                <w:szCs w:val="22"/>
                <w:color w:val="auto"/>
              </w:rPr>
            </w:pPr>
          </w:p>
        </w:tc>
        <w:tc>
          <w:tcPr>
            <w:tcW w:w="1100" w:type="dxa"/>
            <w:vAlign w:val="bottom"/>
            <w:tcBorders>
              <w:bottom w:val="single" w:sz="8" w:color="auto"/>
            </w:tcBorders>
            <w:shd w:val="clear" w:color="auto" w:fill="DCE2EF"/>
          </w:tcPr>
          <w:p>
            <w:pPr>
              <w:spacing w:after="0"/>
              <w:rPr>
                <w:sz w:val="22"/>
                <w:szCs w:val="22"/>
                <w:color w:val="auto"/>
              </w:rPr>
            </w:pPr>
          </w:p>
        </w:tc>
        <w:tc>
          <w:tcPr>
            <w:tcW w:w="5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1,348.4</w:t>
            </w:r>
          </w:p>
        </w:tc>
        <w:tc>
          <w:tcPr>
            <w:tcW w:w="0" w:type="dxa"/>
            <w:vAlign w:val="bottom"/>
          </w:tcPr>
          <w:p>
            <w:pPr>
              <w:spacing w:after="0"/>
              <w:rPr>
                <w:sz w:val="1"/>
                <w:szCs w:val="1"/>
                <w:color w:val="auto"/>
              </w:rPr>
            </w:pPr>
          </w:p>
        </w:tc>
      </w:tr>
      <w:tr>
        <w:trPr>
          <w:trHeight w:val="241"/>
        </w:trPr>
        <w:tc>
          <w:tcPr>
            <w:tcW w:w="7640" w:type="dxa"/>
            <w:vAlign w:val="bottom"/>
            <w:gridSpan w:val="3"/>
          </w:tcPr>
          <w:p>
            <w:pPr>
              <w:ind w:left="60"/>
              <w:spacing w:after="0"/>
              <w:rPr>
                <w:sz w:val="20"/>
                <w:szCs w:val="20"/>
                <w:color w:val="auto"/>
              </w:rPr>
            </w:pPr>
            <w:r>
              <w:rPr>
                <w:rFonts w:ascii="Arial" w:cs="Arial" w:eastAsia="Arial" w:hAnsi="Arial"/>
                <w:sz w:val="16"/>
                <w:szCs w:val="16"/>
                <w:color w:val="auto"/>
              </w:rPr>
              <w:t>Long-term debt, net</w:t>
            </w: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1,509.3</w:t>
            </w: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1,302.2</w:t>
            </w:r>
          </w:p>
        </w:tc>
        <w:tc>
          <w:tcPr>
            <w:tcW w:w="0" w:type="dxa"/>
            <w:vAlign w:val="bottom"/>
          </w:tcPr>
          <w:p>
            <w:pPr>
              <w:spacing w:after="0"/>
              <w:rPr>
                <w:sz w:val="1"/>
                <w:szCs w:val="1"/>
                <w:color w:val="auto"/>
              </w:rPr>
            </w:pPr>
          </w:p>
        </w:tc>
      </w:tr>
      <w:tr>
        <w:trPr>
          <w:trHeight w:val="29"/>
        </w:trPr>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9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7640" w:type="dxa"/>
            <w:vAlign w:val="bottom"/>
            <w:gridSpan w:val="3"/>
            <w:shd w:val="clear" w:color="auto" w:fill="DCE2EF"/>
          </w:tcPr>
          <w:p>
            <w:pPr>
              <w:ind w:left="60"/>
              <w:spacing w:after="0"/>
              <w:rPr>
                <w:sz w:val="20"/>
                <w:szCs w:val="20"/>
                <w:color w:val="auto"/>
              </w:rPr>
            </w:pPr>
            <w:r>
              <w:rPr>
                <w:rFonts w:ascii="Arial" w:cs="Arial" w:eastAsia="Arial" w:hAnsi="Arial"/>
                <w:sz w:val="16"/>
                <w:szCs w:val="16"/>
                <w:color w:val="auto"/>
              </w:rPr>
              <w:t>Long-term lease liabilities</w:t>
            </w:r>
          </w:p>
        </w:tc>
        <w:tc>
          <w:tcPr>
            <w:tcW w:w="920" w:type="dxa"/>
            <w:vAlign w:val="bottom"/>
            <w:shd w:val="clear" w:color="auto" w:fill="DCE2EF"/>
          </w:tcPr>
          <w:p>
            <w:pPr>
              <w:spacing w:after="0"/>
              <w:rPr>
                <w:sz w:val="24"/>
                <w:szCs w:val="24"/>
                <w:color w:val="auto"/>
              </w:rPr>
            </w:pPr>
          </w:p>
        </w:tc>
        <w:tc>
          <w:tcPr>
            <w:tcW w:w="18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91.4</w:t>
            </w:r>
          </w:p>
        </w:tc>
        <w:tc>
          <w:tcPr>
            <w:tcW w:w="240" w:type="dxa"/>
            <w:vAlign w:val="bottom"/>
            <w:shd w:val="clear" w:color="auto" w:fill="DCE2EF"/>
          </w:tcPr>
          <w:p>
            <w:pPr>
              <w:spacing w:after="0"/>
              <w:rPr>
                <w:sz w:val="24"/>
                <w:szCs w:val="24"/>
                <w:color w:val="auto"/>
              </w:rPr>
            </w:pPr>
          </w:p>
        </w:tc>
        <w:tc>
          <w:tcPr>
            <w:tcW w:w="110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92.0</w:t>
            </w:r>
          </w:p>
        </w:tc>
        <w:tc>
          <w:tcPr>
            <w:tcW w:w="0" w:type="dxa"/>
            <w:vAlign w:val="bottom"/>
          </w:tcPr>
          <w:p>
            <w:pPr>
              <w:spacing w:after="0"/>
              <w:rPr>
                <w:sz w:val="1"/>
                <w:szCs w:val="1"/>
                <w:color w:val="auto"/>
              </w:rPr>
            </w:pPr>
          </w:p>
        </w:tc>
      </w:tr>
      <w:tr>
        <w:trPr>
          <w:trHeight w:val="276"/>
        </w:trPr>
        <w:tc>
          <w:tcPr>
            <w:tcW w:w="7640" w:type="dxa"/>
            <w:vAlign w:val="bottom"/>
            <w:gridSpan w:val="3"/>
          </w:tcPr>
          <w:p>
            <w:pPr>
              <w:ind w:left="60"/>
              <w:spacing w:after="0"/>
              <w:rPr>
                <w:sz w:val="20"/>
                <w:szCs w:val="20"/>
                <w:color w:val="auto"/>
              </w:rPr>
            </w:pPr>
            <w:r>
              <w:rPr>
                <w:rFonts w:ascii="Arial" w:cs="Arial" w:eastAsia="Arial" w:hAnsi="Arial"/>
                <w:sz w:val="16"/>
                <w:szCs w:val="16"/>
                <w:color w:val="auto"/>
              </w:rPr>
              <w:t>Deferred income tax liability, net</w:t>
            </w:r>
          </w:p>
        </w:tc>
        <w:tc>
          <w:tcPr>
            <w:tcW w:w="9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60.0</w:t>
            </w:r>
          </w:p>
        </w:tc>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60.2</w:t>
            </w:r>
          </w:p>
        </w:tc>
        <w:tc>
          <w:tcPr>
            <w:tcW w:w="0" w:type="dxa"/>
            <w:vAlign w:val="bottom"/>
          </w:tcPr>
          <w:p>
            <w:pPr>
              <w:spacing w:after="0"/>
              <w:rPr>
                <w:sz w:val="1"/>
                <w:szCs w:val="1"/>
                <w:color w:val="auto"/>
              </w:rPr>
            </w:pPr>
          </w:p>
        </w:tc>
      </w:tr>
      <w:tr>
        <w:trPr>
          <w:trHeight w:val="291"/>
        </w:trPr>
        <w:tc>
          <w:tcPr>
            <w:tcW w:w="7640" w:type="dxa"/>
            <w:vAlign w:val="bottom"/>
            <w:gridSpan w:val="3"/>
            <w:shd w:val="clear" w:color="auto" w:fill="DCE2EF"/>
          </w:tcPr>
          <w:p>
            <w:pPr>
              <w:ind w:left="60"/>
              <w:spacing w:after="0"/>
              <w:rPr>
                <w:sz w:val="20"/>
                <w:szCs w:val="20"/>
                <w:color w:val="auto"/>
              </w:rPr>
            </w:pPr>
            <w:r>
              <w:rPr>
                <w:rFonts w:ascii="Arial" w:cs="Arial" w:eastAsia="Arial" w:hAnsi="Arial"/>
                <w:sz w:val="16"/>
                <w:szCs w:val="16"/>
                <w:color w:val="auto"/>
              </w:rPr>
              <w:t>Noncurrent insurance claims</w:t>
            </w:r>
          </w:p>
        </w:tc>
        <w:tc>
          <w:tcPr>
            <w:tcW w:w="920" w:type="dxa"/>
            <w:vAlign w:val="bottom"/>
            <w:shd w:val="clear" w:color="auto" w:fill="DCE2EF"/>
          </w:tcPr>
          <w:p>
            <w:pPr>
              <w:spacing w:after="0"/>
              <w:rPr>
                <w:sz w:val="24"/>
                <w:szCs w:val="24"/>
                <w:color w:val="auto"/>
              </w:rPr>
            </w:pPr>
          </w:p>
        </w:tc>
        <w:tc>
          <w:tcPr>
            <w:tcW w:w="18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426.8</w:t>
            </w:r>
          </w:p>
        </w:tc>
        <w:tc>
          <w:tcPr>
            <w:tcW w:w="240" w:type="dxa"/>
            <w:vAlign w:val="bottom"/>
            <w:shd w:val="clear" w:color="auto" w:fill="DCE2EF"/>
          </w:tcPr>
          <w:p>
            <w:pPr>
              <w:spacing w:after="0"/>
              <w:rPr>
                <w:sz w:val="24"/>
                <w:szCs w:val="24"/>
                <w:color w:val="auto"/>
              </w:rPr>
            </w:pPr>
          </w:p>
        </w:tc>
        <w:tc>
          <w:tcPr>
            <w:tcW w:w="110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421.8</w:t>
            </w:r>
          </w:p>
        </w:tc>
        <w:tc>
          <w:tcPr>
            <w:tcW w:w="0" w:type="dxa"/>
            <w:vAlign w:val="bottom"/>
          </w:tcPr>
          <w:p>
            <w:pPr>
              <w:spacing w:after="0"/>
              <w:rPr>
                <w:sz w:val="1"/>
                <w:szCs w:val="1"/>
                <w:color w:val="auto"/>
              </w:rPr>
            </w:pPr>
          </w:p>
        </w:tc>
      </w:tr>
      <w:tr>
        <w:trPr>
          <w:trHeight w:val="276"/>
        </w:trPr>
        <w:tc>
          <w:tcPr>
            <w:tcW w:w="7640" w:type="dxa"/>
            <w:vAlign w:val="bottom"/>
            <w:gridSpan w:val="3"/>
          </w:tcPr>
          <w:p>
            <w:pPr>
              <w:ind w:left="60"/>
              <w:spacing w:after="0"/>
              <w:rPr>
                <w:sz w:val="20"/>
                <w:szCs w:val="20"/>
                <w:color w:val="auto"/>
              </w:rPr>
            </w:pPr>
            <w:r>
              <w:rPr>
                <w:rFonts w:ascii="Arial" w:cs="Arial" w:eastAsia="Arial" w:hAnsi="Arial"/>
                <w:sz w:val="16"/>
                <w:szCs w:val="16"/>
                <w:color w:val="auto"/>
              </w:rPr>
              <w:t>Other noncurrent liabilities</w:t>
            </w:r>
          </w:p>
        </w:tc>
        <w:tc>
          <w:tcPr>
            <w:tcW w:w="9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85.9</w:t>
            </w:r>
          </w:p>
        </w:tc>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86.8</w:t>
            </w:r>
          </w:p>
        </w:tc>
        <w:tc>
          <w:tcPr>
            <w:tcW w:w="0" w:type="dxa"/>
            <w:vAlign w:val="bottom"/>
          </w:tcPr>
          <w:p>
            <w:pPr>
              <w:spacing w:after="0"/>
              <w:rPr>
                <w:sz w:val="1"/>
                <w:szCs w:val="1"/>
                <w:color w:val="auto"/>
              </w:rPr>
            </w:pPr>
          </w:p>
        </w:tc>
      </w:tr>
      <w:tr>
        <w:trPr>
          <w:trHeight w:val="290"/>
        </w:trPr>
        <w:tc>
          <w:tcPr>
            <w:tcW w:w="7640" w:type="dxa"/>
            <w:vAlign w:val="bottom"/>
            <w:tcBorders>
              <w:bottom w:val="single" w:sz="8" w:color="DCE2EF"/>
            </w:tcBorders>
            <w:gridSpan w:val="3"/>
            <w:shd w:val="clear" w:color="auto" w:fill="DCE2EF"/>
          </w:tcPr>
          <w:p>
            <w:pPr>
              <w:ind w:left="60"/>
              <w:spacing w:after="0"/>
              <w:rPr>
                <w:sz w:val="20"/>
                <w:szCs w:val="20"/>
                <w:color w:val="auto"/>
              </w:rPr>
            </w:pPr>
            <w:r>
              <w:rPr>
                <w:rFonts w:ascii="Arial" w:cs="Arial" w:eastAsia="Arial" w:hAnsi="Arial"/>
                <w:sz w:val="16"/>
                <w:szCs w:val="16"/>
                <w:color w:val="auto"/>
              </w:rPr>
              <w:t>Noncurrent income taxes payable</w:t>
            </w:r>
          </w:p>
        </w:tc>
        <w:tc>
          <w:tcPr>
            <w:tcW w:w="920" w:type="dxa"/>
            <w:vAlign w:val="bottom"/>
            <w:tcBorders>
              <w:bottom w:val="single" w:sz="8" w:color="auto"/>
            </w:tcBorders>
            <w:shd w:val="clear" w:color="auto" w:fill="DCE2EF"/>
          </w:tcPr>
          <w:p>
            <w:pPr>
              <w:spacing w:after="0"/>
              <w:rPr>
                <w:sz w:val="24"/>
                <w:szCs w:val="24"/>
                <w:color w:val="auto"/>
              </w:rPr>
            </w:pPr>
          </w:p>
        </w:tc>
        <w:tc>
          <w:tcPr>
            <w:tcW w:w="180" w:type="dxa"/>
            <w:vAlign w:val="bottom"/>
            <w:tcBorders>
              <w:bottom w:val="single" w:sz="8" w:color="auto"/>
            </w:tcBorders>
            <w:shd w:val="clear" w:color="auto" w:fill="DCE2EF"/>
          </w:tcPr>
          <w:p>
            <w:pPr>
              <w:spacing w:after="0"/>
              <w:rPr>
                <w:sz w:val="24"/>
                <w:szCs w:val="24"/>
                <w:color w:val="auto"/>
              </w:rPr>
            </w:pPr>
          </w:p>
        </w:tc>
        <w:tc>
          <w:tcPr>
            <w:tcW w:w="5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3.8</w:t>
            </w:r>
          </w:p>
        </w:tc>
        <w:tc>
          <w:tcPr>
            <w:tcW w:w="240" w:type="dxa"/>
            <w:vAlign w:val="bottom"/>
            <w:tcBorders>
              <w:bottom w:val="single" w:sz="8" w:color="DCE2EF"/>
            </w:tcBorders>
            <w:shd w:val="clear" w:color="auto" w:fill="DCE2EF"/>
          </w:tcPr>
          <w:p>
            <w:pPr>
              <w:spacing w:after="0"/>
              <w:rPr>
                <w:sz w:val="24"/>
                <w:szCs w:val="24"/>
                <w:color w:val="auto"/>
              </w:rPr>
            </w:pPr>
          </w:p>
        </w:tc>
        <w:tc>
          <w:tcPr>
            <w:tcW w:w="1100" w:type="dxa"/>
            <w:vAlign w:val="bottom"/>
            <w:tcBorders>
              <w:bottom w:val="single" w:sz="8" w:color="auto"/>
            </w:tcBorders>
            <w:shd w:val="clear" w:color="auto" w:fill="DCE2EF"/>
          </w:tcPr>
          <w:p>
            <w:pPr>
              <w:spacing w:after="0"/>
              <w:rPr>
                <w:sz w:val="24"/>
                <w:szCs w:val="24"/>
                <w:color w:val="auto"/>
              </w:rPr>
            </w:pPr>
          </w:p>
        </w:tc>
        <w:tc>
          <w:tcPr>
            <w:tcW w:w="5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35"/>
        </w:trPr>
        <w:tc>
          <w:tcPr>
            <w:tcW w:w="60" w:type="dxa"/>
            <w:vAlign w:val="bottom"/>
          </w:tcPr>
          <w:p>
            <w:pPr>
              <w:spacing w:after="0"/>
              <w:rPr>
                <w:sz w:val="20"/>
                <w:szCs w:val="20"/>
                <w:color w:val="auto"/>
              </w:rPr>
            </w:pPr>
          </w:p>
        </w:tc>
        <w:tc>
          <w:tcPr>
            <w:tcW w:w="7580" w:type="dxa"/>
            <w:vAlign w:val="bottom"/>
            <w:gridSpan w:val="2"/>
          </w:tcPr>
          <w:p>
            <w:pPr>
              <w:ind w:left="240"/>
              <w:spacing w:after="0"/>
              <w:rPr>
                <w:sz w:val="20"/>
                <w:szCs w:val="20"/>
                <w:color w:val="auto"/>
              </w:rPr>
            </w:pPr>
            <w:r>
              <w:rPr>
                <w:rFonts w:ascii="Arial" w:cs="Arial" w:eastAsia="Arial" w:hAnsi="Arial"/>
                <w:sz w:val="16"/>
                <w:szCs w:val="16"/>
                <w:color w:val="auto"/>
              </w:rPr>
              <w:t>Total liabilities</w:t>
            </w: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3,438.2</w:t>
            </w: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3,315.2</w:t>
            </w:r>
          </w:p>
        </w:tc>
        <w:tc>
          <w:tcPr>
            <w:tcW w:w="0" w:type="dxa"/>
            <w:vAlign w:val="bottom"/>
          </w:tcPr>
          <w:p>
            <w:pPr>
              <w:spacing w:after="0"/>
              <w:rPr>
                <w:sz w:val="1"/>
                <w:szCs w:val="1"/>
                <w:color w:val="auto"/>
              </w:rPr>
            </w:pPr>
          </w:p>
        </w:tc>
      </w:tr>
      <w:tr>
        <w:trPr>
          <w:trHeight w:val="29"/>
        </w:trPr>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9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60" w:type="dxa"/>
            <w:vAlign w:val="bottom"/>
            <w:tcBorders>
              <w:bottom w:val="single" w:sz="8" w:color="DCE2EF"/>
            </w:tcBorders>
            <w:shd w:val="clear" w:color="auto" w:fill="DCE2EF"/>
          </w:tcPr>
          <w:p>
            <w:pPr>
              <w:spacing w:after="0"/>
              <w:rPr>
                <w:sz w:val="24"/>
                <w:szCs w:val="24"/>
                <w:color w:val="auto"/>
              </w:rPr>
            </w:pPr>
          </w:p>
        </w:tc>
        <w:tc>
          <w:tcPr>
            <w:tcW w:w="7580" w:type="dxa"/>
            <w:vAlign w:val="bottom"/>
            <w:tcBorders>
              <w:bottom w:val="single" w:sz="8" w:color="DCE2EF"/>
            </w:tcBorders>
            <w:gridSpan w:val="2"/>
            <w:shd w:val="clear" w:color="auto" w:fill="DCE2EF"/>
          </w:tcPr>
          <w:p>
            <w:pPr>
              <w:ind w:left="240"/>
              <w:spacing w:after="0"/>
              <w:rPr>
                <w:sz w:val="20"/>
                <w:szCs w:val="20"/>
                <w:color w:val="auto"/>
              </w:rPr>
            </w:pPr>
            <w:r>
              <w:rPr>
                <w:rFonts w:ascii="Arial" w:cs="Arial" w:eastAsia="Arial" w:hAnsi="Arial"/>
                <w:sz w:val="16"/>
                <w:szCs w:val="16"/>
                <w:color w:val="auto"/>
              </w:rPr>
              <w:t>Total stockholders’ equity</w:t>
            </w:r>
          </w:p>
        </w:tc>
        <w:tc>
          <w:tcPr>
            <w:tcW w:w="920" w:type="dxa"/>
            <w:vAlign w:val="bottom"/>
            <w:tcBorders>
              <w:bottom w:val="single" w:sz="8" w:color="auto"/>
            </w:tcBorders>
            <w:shd w:val="clear" w:color="auto" w:fill="DCE2EF"/>
          </w:tcPr>
          <w:p>
            <w:pPr>
              <w:spacing w:after="0"/>
              <w:rPr>
                <w:sz w:val="24"/>
                <w:szCs w:val="24"/>
                <w:color w:val="auto"/>
              </w:rPr>
            </w:pPr>
          </w:p>
        </w:tc>
        <w:tc>
          <w:tcPr>
            <w:tcW w:w="180" w:type="dxa"/>
            <w:vAlign w:val="bottom"/>
            <w:tcBorders>
              <w:bottom w:val="single" w:sz="8" w:color="auto"/>
            </w:tcBorders>
            <w:shd w:val="clear" w:color="auto" w:fill="DCE2EF"/>
          </w:tcPr>
          <w:p>
            <w:pPr>
              <w:spacing w:after="0"/>
              <w:rPr>
                <w:sz w:val="24"/>
                <w:szCs w:val="24"/>
                <w:color w:val="auto"/>
              </w:rPr>
            </w:pPr>
          </w:p>
        </w:tc>
        <w:tc>
          <w:tcPr>
            <w:tcW w:w="5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1,779.2</w:t>
            </w:r>
          </w:p>
        </w:tc>
        <w:tc>
          <w:tcPr>
            <w:tcW w:w="240" w:type="dxa"/>
            <w:vAlign w:val="bottom"/>
            <w:tcBorders>
              <w:bottom w:val="single" w:sz="8" w:color="DCE2EF"/>
            </w:tcBorders>
            <w:shd w:val="clear" w:color="auto" w:fill="DCE2EF"/>
          </w:tcPr>
          <w:p>
            <w:pPr>
              <w:spacing w:after="0"/>
              <w:rPr>
                <w:sz w:val="24"/>
                <w:szCs w:val="24"/>
                <w:color w:val="auto"/>
              </w:rPr>
            </w:pPr>
          </w:p>
        </w:tc>
        <w:tc>
          <w:tcPr>
            <w:tcW w:w="1100" w:type="dxa"/>
            <w:vAlign w:val="bottom"/>
            <w:tcBorders>
              <w:bottom w:val="single" w:sz="8" w:color="auto"/>
            </w:tcBorders>
            <w:shd w:val="clear" w:color="auto" w:fill="DCE2EF"/>
          </w:tcPr>
          <w:p>
            <w:pPr>
              <w:spacing w:after="0"/>
              <w:rPr>
                <w:sz w:val="24"/>
                <w:szCs w:val="24"/>
                <w:color w:val="auto"/>
              </w:rPr>
            </w:pPr>
          </w:p>
        </w:tc>
        <w:tc>
          <w:tcPr>
            <w:tcW w:w="5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1,781.9</w:t>
            </w:r>
          </w:p>
        </w:tc>
        <w:tc>
          <w:tcPr>
            <w:tcW w:w="0" w:type="dxa"/>
            <w:vAlign w:val="bottom"/>
          </w:tcPr>
          <w:p>
            <w:pPr>
              <w:spacing w:after="0"/>
              <w:rPr>
                <w:sz w:val="1"/>
                <w:szCs w:val="1"/>
                <w:color w:val="auto"/>
              </w:rPr>
            </w:pPr>
          </w:p>
        </w:tc>
      </w:tr>
      <w:tr>
        <w:trPr>
          <w:trHeight w:val="235"/>
        </w:trPr>
        <w:tc>
          <w:tcPr>
            <w:tcW w:w="7640" w:type="dxa"/>
            <w:vAlign w:val="bottom"/>
            <w:gridSpan w:val="3"/>
            <w:vMerge w:val="restart"/>
          </w:tcPr>
          <w:p>
            <w:pPr>
              <w:ind w:left="60"/>
              <w:spacing w:after="0"/>
              <w:rPr>
                <w:sz w:val="20"/>
                <w:szCs w:val="20"/>
                <w:color w:val="auto"/>
              </w:rPr>
            </w:pPr>
            <w:r>
              <w:rPr>
                <w:rFonts w:ascii="Arial" w:cs="Arial" w:eastAsia="Arial" w:hAnsi="Arial"/>
                <w:sz w:val="16"/>
                <w:szCs w:val="16"/>
                <w:color w:val="auto"/>
              </w:rPr>
              <w:t>Total liabilities and stockholders’ equity</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5,217.4</w:t>
            </w:r>
          </w:p>
        </w:tc>
        <w:tc>
          <w:tcPr>
            <w:tcW w:w="134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5,097.2</w:t>
            </w:r>
          </w:p>
        </w:tc>
        <w:tc>
          <w:tcPr>
            <w:tcW w:w="0" w:type="dxa"/>
            <w:vAlign w:val="bottom"/>
          </w:tcPr>
          <w:p>
            <w:pPr>
              <w:spacing w:after="0"/>
              <w:rPr>
                <w:sz w:val="1"/>
                <w:szCs w:val="1"/>
                <w:color w:val="auto"/>
              </w:rPr>
            </w:pPr>
          </w:p>
        </w:tc>
      </w:tr>
      <w:tr>
        <w:trPr>
          <w:trHeight w:val="29"/>
        </w:trPr>
        <w:tc>
          <w:tcPr>
            <w:tcW w:w="7640" w:type="dxa"/>
            <w:vAlign w:val="bottom"/>
            <w:gridSpan w:val="3"/>
            <w:vMerge w:val="continue"/>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-5274310</wp:posOffset>
            </wp:positionV>
            <wp:extent cx="146050" cy="114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46050" cy="1143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-4013835</wp:posOffset>
            </wp:positionV>
            <wp:extent cx="146050" cy="114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46050" cy="1143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-3830955</wp:posOffset>
            </wp:positionV>
            <wp:extent cx="14605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-3805555</wp:posOffset>
            </wp:positionV>
            <wp:extent cx="14605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-1836420</wp:posOffset>
            </wp:positionV>
            <wp:extent cx="146050" cy="114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46050" cy="1143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-1656715</wp:posOffset>
            </wp:positionV>
            <wp:extent cx="146050" cy="114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46050" cy="1143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-576580</wp:posOffset>
            </wp:positionV>
            <wp:extent cx="146050" cy="114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46050" cy="1143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-216535</wp:posOffset>
            </wp:positionV>
            <wp:extent cx="146050" cy="114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46050" cy="1143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sectPr>
      </w:pPr>
    </w:p>
    <w:bookmarkStart w:id="10" w:name="page11"/>
    <w:bookmarkEnd w:id="10"/>
    <w:p>
      <w:pPr>
        <w:ind w:right="4940"/>
        <w:spacing w:after="0" w:line="509" w:lineRule="auto"/>
        <w:rPr>
          <w:sz w:val="20"/>
          <w:szCs w:val="20"/>
          <w:color w:val="auto"/>
        </w:rPr>
      </w:pPr>
      <w:r>
        <w:rPr>
          <w:rFonts w:ascii="Arial" w:cs="Arial" w:eastAsia="Arial" w:hAnsi="Arial"/>
          <w:sz w:val="19"/>
          <w:szCs w:val="19"/>
          <w:b w:val="1"/>
          <w:bCs w:val="1"/>
          <w:color w:val="0046AD"/>
        </w:rPr>
        <w:t>ABM INDUSTRIES INCORPORATED AND SUBSIDIARIES REVENUES AND OPERATING PROFIT BY SEGMENT (UNAUDITED)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3280" w:type="dxa"/>
            <w:vAlign w:val="bottom"/>
            <w:tcBorders>
              <w:bottom w:val="single" w:sz="8" w:color="auto"/>
            </w:tcBorders>
            <w:gridSpan w:val="5"/>
          </w:tcPr>
          <w:p>
            <w:pPr>
              <w:jc w:val="right"/>
              <w:ind w:right="299"/>
              <w:spacing w:after="0"/>
              <w:rPr>
                <w:sz w:val="20"/>
                <w:szCs w:val="20"/>
                <w:color w:val="auto"/>
              </w:rPr>
            </w:pPr>
            <w:r>
              <w:rPr>
                <w:rFonts w:ascii="Arial" w:cs="Arial" w:eastAsia="Arial" w:hAnsi="Arial"/>
                <w:sz w:val="16"/>
                <w:szCs w:val="16"/>
                <w:b w:val="1"/>
                <w:bCs w:val="1"/>
                <w:color w:val="auto"/>
              </w:rPr>
              <w:t>Three Months Ended January 31,</w:t>
            </w:r>
          </w:p>
        </w:tc>
        <w:tc>
          <w:tcPr>
            <w:tcW w:w="200" w:type="dxa"/>
            <w:vAlign w:val="bottom"/>
          </w:tcPr>
          <w:p>
            <w:pPr>
              <w:spacing w:after="0"/>
              <w:rPr>
                <w:sz w:val="19"/>
                <w:szCs w:val="19"/>
                <w:color w:val="auto"/>
              </w:rPr>
            </w:pPr>
          </w:p>
        </w:tc>
        <w:tc>
          <w:tcPr>
            <w:tcW w:w="1320" w:type="dxa"/>
            <w:vAlign w:val="bottom"/>
            <w:vMerge w:val="restart"/>
          </w:tcPr>
          <w:p>
            <w:pPr>
              <w:jc w:val="right"/>
              <w:ind w:right="139"/>
              <w:spacing w:after="0"/>
              <w:rPr>
                <w:sz w:val="20"/>
                <w:szCs w:val="20"/>
                <w:color w:val="auto"/>
              </w:rPr>
            </w:pPr>
            <w:r>
              <w:rPr>
                <w:rFonts w:ascii="Arial" w:cs="Arial" w:eastAsia="Arial" w:hAnsi="Arial"/>
                <w:sz w:val="16"/>
                <w:szCs w:val="16"/>
                <w:b w:val="1"/>
                <w:bCs w:val="1"/>
                <w:color w:val="auto"/>
              </w:rPr>
              <w:t>Increase/</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60" w:type="dxa"/>
            <w:vAlign w:val="bottom"/>
          </w:tcPr>
          <w:p>
            <w:pPr>
              <w:spacing w:after="0"/>
              <w:rPr>
                <w:sz w:val="4"/>
                <w:szCs w:val="4"/>
                <w:color w:val="auto"/>
              </w:rPr>
            </w:pPr>
          </w:p>
        </w:tc>
        <w:tc>
          <w:tcPr>
            <w:tcW w:w="700" w:type="dxa"/>
            <w:vAlign w:val="bottom"/>
          </w:tcPr>
          <w:p>
            <w:pPr>
              <w:spacing w:after="0"/>
              <w:rPr>
                <w:sz w:val="4"/>
                <w:szCs w:val="4"/>
                <w:color w:val="auto"/>
              </w:rPr>
            </w:pPr>
          </w:p>
        </w:tc>
        <w:tc>
          <w:tcPr>
            <w:tcW w:w="5480" w:type="dxa"/>
            <w:vAlign w:val="bottom"/>
          </w:tcPr>
          <w:p>
            <w:pPr>
              <w:spacing w:after="0"/>
              <w:rPr>
                <w:sz w:val="4"/>
                <w:szCs w:val="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2025</w:t>
            </w:r>
          </w:p>
        </w:tc>
        <w:tc>
          <w:tcPr>
            <w:tcW w:w="580" w:type="dxa"/>
            <w:vAlign w:val="bottom"/>
          </w:tcPr>
          <w:p>
            <w:pPr>
              <w:spacing w:after="0"/>
              <w:rPr>
                <w:sz w:val="4"/>
                <w:szCs w:val="4"/>
                <w:color w:val="auto"/>
              </w:rPr>
            </w:pPr>
          </w:p>
        </w:tc>
        <w:tc>
          <w:tcPr>
            <w:tcW w:w="116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2024</w:t>
            </w: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2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6240" w:type="dxa"/>
            <w:vAlign w:val="bottom"/>
            <w:gridSpan w:val="3"/>
          </w:tcPr>
          <w:p>
            <w:pPr>
              <w:ind w:left="6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9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jc w:val="right"/>
              <w:ind w:right="59"/>
              <w:spacing w:after="0" w:line="176" w:lineRule="exact"/>
              <w:rPr>
                <w:sz w:val="20"/>
                <w:szCs w:val="20"/>
                <w:color w:val="auto"/>
              </w:rPr>
            </w:pPr>
            <w:r>
              <w:rPr>
                <w:rFonts w:ascii="Arial" w:cs="Arial" w:eastAsia="Arial" w:hAnsi="Arial"/>
                <w:sz w:val="16"/>
                <w:szCs w:val="16"/>
                <w:b w:val="1"/>
                <w:bCs w:val="1"/>
                <w:color w:val="auto"/>
              </w:rPr>
              <w:t>(Decrease)</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60" w:type="dxa"/>
            <w:vAlign w:val="bottom"/>
            <w:tcBorders>
              <w:bottom w:val="single" w:sz="8" w:color="DCE2EF"/>
            </w:tcBorders>
          </w:tcPr>
          <w:p>
            <w:pPr>
              <w:spacing w:after="0"/>
              <w:rPr>
                <w:sz w:val="2"/>
                <w:szCs w:val="2"/>
                <w:color w:val="auto"/>
              </w:rPr>
            </w:pPr>
          </w:p>
        </w:tc>
        <w:tc>
          <w:tcPr>
            <w:tcW w:w="700" w:type="dxa"/>
            <w:vAlign w:val="bottom"/>
            <w:tcBorders>
              <w:top w:val="single" w:sz="8" w:color="auto"/>
              <w:bottom w:val="single" w:sz="8" w:color="DCE2EF"/>
            </w:tcBorders>
          </w:tcPr>
          <w:p>
            <w:pPr>
              <w:spacing w:after="0"/>
              <w:rPr>
                <w:sz w:val="2"/>
                <w:szCs w:val="2"/>
                <w:color w:val="auto"/>
              </w:rPr>
            </w:pPr>
          </w:p>
        </w:tc>
        <w:tc>
          <w:tcPr>
            <w:tcW w:w="5480" w:type="dxa"/>
            <w:vAlign w:val="bottom"/>
            <w:tcBorders>
              <w:bottom w:val="single" w:sz="8" w:color="DCE2E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DCE2E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DCE2E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240" w:type="dxa"/>
            <w:vAlign w:val="bottom"/>
            <w:tcBorders>
              <w:bottom w:val="single" w:sz="8" w:color="DCE2EF"/>
            </w:tcBorders>
            <w:gridSpan w:val="3"/>
            <w:shd w:val="clear" w:color="auto" w:fill="DCE2EF"/>
          </w:tcPr>
          <w:p>
            <w:pPr>
              <w:ind w:left="60"/>
              <w:spacing w:after="0"/>
              <w:rPr>
                <w:sz w:val="20"/>
                <w:szCs w:val="20"/>
                <w:color w:val="auto"/>
              </w:rPr>
            </w:pPr>
            <w:r>
              <w:rPr>
                <w:rFonts w:ascii="Arial" w:cs="Arial" w:eastAsia="Arial" w:hAnsi="Arial"/>
                <w:sz w:val="16"/>
                <w:szCs w:val="16"/>
                <w:b w:val="1"/>
                <w:bCs w:val="1"/>
                <w:color w:val="auto"/>
              </w:rPr>
              <w:t>Revenues</w:t>
            </w:r>
          </w:p>
        </w:tc>
        <w:tc>
          <w:tcPr>
            <w:tcW w:w="960" w:type="dxa"/>
            <w:vAlign w:val="bottom"/>
            <w:tcBorders>
              <w:bottom w:val="single" w:sz="8" w:color="DCE2EF"/>
            </w:tcBorders>
            <w:shd w:val="clear" w:color="auto" w:fill="DCE2EF"/>
          </w:tcPr>
          <w:p>
            <w:pPr>
              <w:spacing w:after="0"/>
              <w:rPr>
                <w:sz w:val="20"/>
                <w:szCs w:val="20"/>
                <w:color w:val="auto"/>
              </w:rPr>
            </w:pPr>
          </w:p>
        </w:tc>
        <w:tc>
          <w:tcPr>
            <w:tcW w:w="580" w:type="dxa"/>
            <w:vAlign w:val="bottom"/>
            <w:tcBorders>
              <w:bottom w:val="single" w:sz="8" w:color="DCE2EF"/>
            </w:tcBorders>
            <w:shd w:val="clear" w:color="auto" w:fill="DCE2EF"/>
          </w:tcPr>
          <w:p>
            <w:pPr>
              <w:spacing w:after="0"/>
              <w:rPr>
                <w:sz w:val="20"/>
                <w:szCs w:val="20"/>
                <w:color w:val="auto"/>
              </w:rPr>
            </w:pPr>
          </w:p>
        </w:tc>
        <w:tc>
          <w:tcPr>
            <w:tcW w:w="220" w:type="dxa"/>
            <w:vAlign w:val="bottom"/>
            <w:tcBorders>
              <w:bottom w:val="single" w:sz="8" w:color="DCE2EF"/>
            </w:tcBorders>
            <w:shd w:val="clear" w:color="auto" w:fill="DCE2EF"/>
          </w:tcPr>
          <w:p>
            <w:pPr>
              <w:spacing w:after="0"/>
              <w:rPr>
                <w:sz w:val="20"/>
                <w:szCs w:val="20"/>
                <w:color w:val="auto"/>
              </w:rPr>
            </w:pPr>
          </w:p>
        </w:tc>
        <w:tc>
          <w:tcPr>
            <w:tcW w:w="940" w:type="dxa"/>
            <w:vAlign w:val="bottom"/>
            <w:tcBorders>
              <w:bottom w:val="single" w:sz="8" w:color="DCE2EF"/>
            </w:tcBorders>
            <w:shd w:val="clear" w:color="auto" w:fill="DCE2EF"/>
          </w:tcPr>
          <w:p>
            <w:pPr>
              <w:spacing w:after="0"/>
              <w:rPr>
                <w:sz w:val="20"/>
                <w:szCs w:val="20"/>
                <w:color w:val="auto"/>
              </w:rPr>
            </w:pPr>
          </w:p>
        </w:tc>
        <w:tc>
          <w:tcPr>
            <w:tcW w:w="580" w:type="dxa"/>
            <w:vAlign w:val="bottom"/>
            <w:tcBorders>
              <w:bottom w:val="single" w:sz="8" w:color="DCE2EF"/>
            </w:tcBorders>
            <w:shd w:val="clear" w:color="auto" w:fill="DCE2EF"/>
          </w:tcPr>
          <w:p>
            <w:pPr>
              <w:spacing w:after="0"/>
              <w:rPr>
                <w:sz w:val="20"/>
                <w:szCs w:val="20"/>
                <w:color w:val="auto"/>
              </w:rPr>
            </w:pPr>
          </w:p>
        </w:tc>
        <w:tc>
          <w:tcPr>
            <w:tcW w:w="200" w:type="dxa"/>
            <w:vAlign w:val="bottom"/>
            <w:tcBorders>
              <w:bottom w:val="single" w:sz="8" w:color="DCE2EF"/>
            </w:tcBorders>
            <w:shd w:val="clear" w:color="auto" w:fill="DCE2EF"/>
          </w:tcPr>
          <w:p>
            <w:pPr>
              <w:spacing w:after="0"/>
              <w:rPr>
                <w:sz w:val="20"/>
                <w:szCs w:val="20"/>
                <w:color w:val="auto"/>
              </w:rPr>
            </w:pPr>
          </w:p>
        </w:tc>
        <w:tc>
          <w:tcPr>
            <w:tcW w:w="1320" w:type="dxa"/>
            <w:vAlign w:val="bottom"/>
            <w:tcBorders>
              <w:bottom w:val="single" w:sz="8" w:color="DCE2EF"/>
            </w:tcBorders>
            <w:shd w:val="clear" w:color="auto" w:fill="DCE2EF"/>
          </w:tcPr>
          <w:p>
            <w:pPr>
              <w:spacing w:after="0"/>
              <w:rPr>
                <w:sz w:val="20"/>
                <w:szCs w:val="20"/>
                <w:color w:val="auto"/>
              </w:rPr>
            </w:pPr>
          </w:p>
        </w:tc>
        <w:tc>
          <w:tcPr>
            <w:tcW w:w="200" w:type="dxa"/>
            <w:vAlign w:val="bottom"/>
            <w:tcBorders>
              <w:bottom w:val="single" w:sz="8" w:color="DCE2EF"/>
            </w:tcBorders>
            <w:shd w:val="clear" w:color="auto" w:fill="DCE2EF"/>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6240" w:type="dxa"/>
            <w:vAlign w:val="bottom"/>
            <w:gridSpan w:val="3"/>
          </w:tcPr>
          <w:p>
            <w:pPr>
              <w:ind w:left="60"/>
              <w:spacing w:after="0"/>
              <w:rPr>
                <w:sz w:val="20"/>
                <w:szCs w:val="20"/>
                <w:color w:val="auto"/>
              </w:rPr>
            </w:pPr>
            <w:r>
              <w:rPr>
                <w:rFonts w:ascii="Arial" w:cs="Arial" w:eastAsia="Arial" w:hAnsi="Arial"/>
                <w:sz w:val="16"/>
                <w:szCs w:val="16"/>
                <w:color w:val="auto"/>
              </w:rPr>
              <w:t>Business &amp; Industry</w:t>
            </w:r>
          </w:p>
        </w:tc>
        <w:tc>
          <w:tcPr>
            <w:tcW w:w="9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1,022.9</w:t>
            </w:r>
          </w:p>
        </w:tc>
        <w:tc>
          <w:tcPr>
            <w:tcW w:w="116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1,033.1</w:t>
            </w:r>
          </w:p>
        </w:tc>
        <w:tc>
          <w:tcPr>
            <w:tcW w:w="1520" w:type="dxa"/>
            <w:vAlign w:val="bottom"/>
            <w:gridSpan w:val="2"/>
          </w:tcPr>
          <w:p>
            <w:pPr>
              <w:ind w:left="880"/>
              <w:spacing w:after="0"/>
              <w:rPr>
                <w:sz w:val="20"/>
                <w:szCs w:val="20"/>
                <w:color w:val="auto"/>
              </w:rPr>
            </w:pPr>
            <w:r>
              <w:rPr>
                <w:rFonts w:ascii="Arial" w:cs="Arial" w:eastAsia="Arial" w:hAnsi="Arial"/>
                <w:sz w:val="16"/>
                <w:szCs w:val="16"/>
                <w:color w:val="auto"/>
              </w:rPr>
              <w:t>(1.0)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1"/>
        </w:trPr>
        <w:tc>
          <w:tcPr>
            <w:tcW w:w="6240" w:type="dxa"/>
            <w:vAlign w:val="bottom"/>
            <w:gridSpan w:val="3"/>
            <w:shd w:val="clear" w:color="auto" w:fill="DCE2EF"/>
          </w:tcPr>
          <w:p>
            <w:pPr>
              <w:ind w:left="60"/>
              <w:spacing w:after="0"/>
              <w:rPr>
                <w:sz w:val="20"/>
                <w:szCs w:val="20"/>
                <w:color w:val="auto"/>
              </w:rPr>
            </w:pPr>
            <w:r>
              <w:rPr>
                <w:rFonts w:ascii="Arial" w:cs="Arial" w:eastAsia="Arial" w:hAnsi="Arial"/>
                <w:sz w:val="16"/>
                <w:szCs w:val="16"/>
                <w:color w:val="auto"/>
              </w:rPr>
              <w:t>Manufacturing &amp; Distribution</w:t>
            </w:r>
          </w:p>
        </w:tc>
        <w:tc>
          <w:tcPr>
            <w:tcW w:w="96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394.3</w:t>
            </w:r>
          </w:p>
        </w:tc>
        <w:tc>
          <w:tcPr>
            <w:tcW w:w="220" w:type="dxa"/>
            <w:vAlign w:val="bottom"/>
            <w:shd w:val="clear" w:color="auto" w:fill="DCE2EF"/>
          </w:tcPr>
          <w:p>
            <w:pPr>
              <w:spacing w:after="0"/>
              <w:rPr>
                <w:sz w:val="24"/>
                <w:szCs w:val="24"/>
                <w:color w:val="auto"/>
              </w:rPr>
            </w:pPr>
          </w:p>
        </w:tc>
        <w:tc>
          <w:tcPr>
            <w:tcW w:w="94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400.9</w:t>
            </w:r>
          </w:p>
        </w:tc>
        <w:tc>
          <w:tcPr>
            <w:tcW w:w="1520" w:type="dxa"/>
            <w:vAlign w:val="bottom"/>
            <w:gridSpan w:val="2"/>
            <w:shd w:val="clear" w:color="auto" w:fill="DCE2EF"/>
          </w:tcPr>
          <w:p>
            <w:pPr>
              <w:ind w:left="880"/>
              <w:spacing w:after="0"/>
              <w:rPr>
                <w:sz w:val="20"/>
                <w:szCs w:val="20"/>
                <w:color w:val="auto"/>
              </w:rPr>
            </w:pPr>
            <w:r>
              <w:rPr>
                <w:rFonts w:ascii="Arial" w:cs="Arial" w:eastAsia="Arial" w:hAnsi="Arial"/>
                <w:sz w:val="16"/>
                <w:szCs w:val="16"/>
                <w:color w:val="auto"/>
              </w:rPr>
              <w:t>(1.6)</w:t>
            </w:r>
          </w:p>
        </w:tc>
        <w:tc>
          <w:tcPr>
            <w:tcW w:w="2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6"/>
        </w:trPr>
        <w:tc>
          <w:tcPr>
            <w:tcW w:w="6240" w:type="dxa"/>
            <w:vAlign w:val="bottom"/>
            <w:gridSpan w:val="3"/>
          </w:tcPr>
          <w:p>
            <w:pPr>
              <w:ind w:left="60"/>
              <w:spacing w:after="0"/>
              <w:rPr>
                <w:sz w:val="20"/>
                <w:szCs w:val="20"/>
                <w:color w:val="auto"/>
              </w:rPr>
            </w:pPr>
            <w:r>
              <w:rPr>
                <w:rFonts w:ascii="Arial" w:cs="Arial" w:eastAsia="Arial" w:hAnsi="Arial"/>
                <w:sz w:val="16"/>
                <w:szCs w:val="16"/>
                <w:color w:val="auto"/>
              </w:rPr>
              <w:t>Aviation</w:t>
            </w:r>
          </w:p>
        </w:tc>
        <w:tc>
          <w:tcPr>
            <w:tcW w:w="96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270.1</w:t>
            </w: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249.5</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8.2</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1"/>
        </w:trPr>
        <w:tc>
          <w:tcPr>
            <w:tcW w:w="6240" w:type="dxa"/>
            <w:vAlign w:val="bottom"/>
            <w:gridSpan w:val="3"/>
            <w:shd w:val="clear" w:color="auto" w:fill="DCE2EF"/>
          </w:tcPr>
          <w:p>
            <w:pPr>
              <w:ind w:left="60"/>
              <w:spacing w:after="0"/>
              <w:rPr>
                <w:sz w:val="20"/>
                <w:szCs w:val="20"/>
                <w:color w:val="auto"/>
              </w:rPr>
            </w:pPr>
            <w:r>
              <w:rPr>
                <w:rFonts w:ascii="Arial" w:cs="Arial" w:eastAsia="Arial" w:hAnsi="Arial"/>
                <w:sz w:val="16"/>
                <w:szCs w:val="16"/>
                <w:color w:val="auto"/>
              </w:rPr>
              <w:t>Education</w:t>
            </w:r>
          </w:p>
        </w:tc>
        <w:tc>
          <w:tcPr>
            <w:tcW w:w="96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225.3</w:t>
            </w:r>
          </w:p>
        </w:tc>
        <w:tc>
          <w:tcPr>
            <w:tcW w:w="220" w:type="dxa"/>
            <w:vAlign w:val="bottom"/>
            <w:shd w:val="clear" w:color="auto" w:fill="DCE2EF"/>
          </w:tcPr>
          <w:p>
            <w:pPr>
              <w:spacing w:after="0"/>
              <w:rPr>
                <w:sz w:val="24"/>
                <w:szCs w:val="24"/>
                <w:color w:val="auto"/>
              </w:rPr>
            </w:pPr>
          </w:p>
        </w:tc>
        <w:tc>
          <w:tcPr>
            <w:tcW w:w="94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220.1</w:t>
            </w:r>
          </w:p>
        </w:tc>
        <w:tc>
          <w:tcPr>
            <w:tcW w:w="1520" w:type="dxa"/>
            <w:vAlign w:val="bottom"/>
            <w:gridSpan w:val="2"/>
            <w:shd w:val="clear" w:color="auto" w:fill="DCE2EF"/>
          </w:tcPr>
          <w:p>
            <w:pPr>
              <w:jc w:val="right"/>
              <w:spacing w:after="0"/>
              <w:rPr>
                <w:sz w:val="20"/>
                <w:szCs w:val="20"/>
                <w:color w:val="auto"/>
              </w:rPr>
            </w:pPr>
            <w:r>
              <w:rPr>
                <w:rFonts w:ascii="Arial" w:cs="Arial" w:eastAsia="Arial" w:hAnsi="Arial"/>
                <w:sz w:val="16"/>
                <w:szCs w:val="16"/>
                <w:color w:val="auto"/>
              </w:rPr>
              <w:t>2.4</w:t>
            </w:r>
          </w:p>
        </w:tc>
        <w:tc>
          <w:tcPr>
            <w:tcW w:w="2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7"/>
        </w:trPr>
        <w:tc>
          <w:tcPr>
            <w:tcW w:w="6240" w:type="dxa"/>
            <w:vAlign w:val="bottom"/>
            <w:tcBorders>
              <w:bottom w:val="single" w:sz="8" w:color="DCE2EF"/>
            </w:tcBorders>
            <w:gridSpan w:val="3"/>
          </w:tcPr>
          <w:p>
            <w:pPr>
              <w:ind w:left="60"/>
              <w:spacing w:after="0"/>
              <w:rPr>
                <w:sz w:val="20"/>
                <w:szCs w:val="20"/>
                <w:color w:val="auto"/>
              </w:rPr>
            </w:pPr>
            <w:r>
              <w:rPr>
                <w:rFonts w:ascii="Arial" w:cs="Arial" w:eastAsia="Arial" w:hAnsi="Arial"/>
                <w:sz w:val="16"/>
                <w:szCs w:val="16"/>
                <w:color w:val="auto"/>
              </w:rPr>
              <w:t>Technical Solutions</w:t>
            </w:r>
          </w:p>
        </w:tc>
        <w:tc>
          <w:tcPr>
            <w:tcW w:w="9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202.3</w:t>
            </w:r>
          </w:p>
        </w:tc>
        <w:tc>
          <w:tcPr>
            <w:tcW w:w="220" w:type="dxa"/>
            <w:vAlign w:val="bottom"/>
            <w:tcBorders>
              <w:bottom w:val="single" w:sz="8" w:color="DCE2EF"/>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165.9</w:t>
            </w:r>
          </w:p>
        </w:tc>
        <w:tc>
          <w:tcPr>
            <w:tcW w:w="1520" w:type="dxa"/>
            <w:vAlign w:val="bottom"/>
            <w:tcBorders>
              <w:bottom w:val="single" w:sz="8" w:color="DCE2EF"/>
            </w:tcBorders>
            <w:gridSpan w:val="2"/>
          </w:tcPr>
          <w:p>
            <w:pPr>
              <w:ind w:left="880"/>
              <w:spacing w:after="0"/>
              <w:rPr>
                <w:sz w:val="20"/>
                <w:szCs w:val="20"/>
                <w:color w:val="auto"/>
              </w:rPr>
            </w:pPr>
            <w:r>
              <w:rPr>
                <w:rFonts w:ascii="Arial" w:cs="Arial" w:eastAsia="Arial" w:hAnsi="Arial"/>
                <w:sz w:val="16"/>
                <w:szCs w:val="16"/>
                <w:color w:val="auto"/>
              </w:rPr>
              <w:t>21.9</w:t>
            </w:r>
          </w:p>
        </w:tc>
        <w:tc>
          <w:tcPr>
            <w:tcW w:w="200" w:type="dxa"/>
            <w:vAlign w:val="bottom"/>
            <w:tcBorders>
              <w:bottom w:val="single" w:sz="8" w:color="DCE2EF"/>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10"/>
        </w:trPr>
        <w:tc>
          <w:tcPr>
            <w:tcW w:w="6240" w:type="dxa"/>
            <w:vAlign w:val="bottom"/>
            <w:gridSpan w:val="3"/>
            <w:shd w:val="clear" w:color="auto" w:fill="DCE2EF"/>
          </w:tcPr>
          <w:p>
            <w:pPr>
              <w:ind w:left="60"/>
              <w:spacing w:after="0"/>
              <w:rPr>
                <w:sz w:val="20"/>
                <w:szCs w:val="20"/>
                <w:color w:val="auto"/>
              </w:rPr>
            </w:pPr>
            <w:r>
              <w:rPr>
                <w:rFonts w:ascii="Arial" w:cs="Arial" w:eastAsia="Arial" w:hAnsi="Arial"/>
                <w:sz w:val="16"/>
                <w:szCs w:val="16"/>
                <w:b w:val="1"/>
                <w:bCs w:val="1"/>
                <w:color w:val="auto"/>
              </w:rPr>
              <w:t>Total Revenues</w:t>
            </w:r>
          </w:p>
        </w:tc>
        <w:tc>
          <w:tcPr>
            <w:tcW w:w="960" w:type="dxa"/>
            <w:vAlign w:val="bottom"/>
            <w:shd w:val="clear" w:color="auto" w:fill="DCE2EF"/>
          </w:tcPr>
          <w:p>
            <w:pPr>
              <w:jc w:val="right"/>
              <w:ind w:right="179"/>
              <w:spacing w:after="0"/>
              <w:rPr>
                <w:sz w:val="20"/>
                <w:szCs w:val="20"/>
                <w:color w:val="auto"/>
              </w:rPr>
            </w:pPr>
            <w:r>
              <w:rPr>
                <w:rFonts w:ascii="Arial" w:cs="Arial" w:eastAsia="Arial" w:hAnsi="Arial"/>
                <w:sz w:val="16"/>
                <w:szCs w:val="16"/>
                <w:color w:val="auto"/>
              </w:rPr>
              <w:t>$</w:t>
            </w: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2,114.9</w:t>
            </w:r>
          </w:p>
        </w:tc>
        <w:tc>
          <w:tcPr>
            <w:tcW w:w="1160" w:type="dxa"/>
            <w:vAlign w:val="bottom"/>
            <w:gridSpan w:val="2"/>
            <w:shd w:val="clear" w:color="auto" w:fill="DCE2EF"/>
          </w:tcPr>
          <w:p>
            <w:pPr>
              <w:jc w:val="right"/>
              <w:ind w:right="179"/>
              <w:spacing w:after="0"/>
              <w:rPr>
                <w:sz w:val="20"/>
                <w:szCs w:val="20"/>
                <w:color w:val="auto"/>
              </w:rPr>
            </w:pPr>
            <w:r>
              <w:rPr>
                <w:rFonts w:ascii="Arial" w:cs="Arial" w:eastAsia="Arial" w:hAnsi="Arial"/>
                <w:sz w:val="16"/>
                <w:szCs w:val="16"/>
                <w:color w:val="auto"/>
              </w:rPr>
              <w:t>$</w:t>
            </w: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2,069.6</w:t>
            </w:r>
          </w:p>
        </w:tc>
        <w:tc>
          <w:tcPr>
            <w:tcW w:w="1520" w:type="dxa"/>
            <w:vAlign w:val="bottom"/>
            <w:gridSpan w:val="2"/>
            <w:shd w:val="clear" w:color="auto" w:fill="DCE2EF"/>
          </w:tcPr>
          <w:p>
            <w:pPr>
              <w:jc w:val="right"/>
              <w:spacing w:after="0"/>
              <w:rPr>
                <w:sz w:val="20"/>
                <w:szCs w:val="20"/>
                <w:color w:val="auto"/>
              </w:rPr>
            </w:pPr>
            <w:r>
              <w:rPr>
                <w:rFonts w:ascii="Arial" w:cs="Arial" w:eastAsia="Arial" w:hAnsi="Arial"/>
                <w:sz w:val="16"/>
                <w:szCs w:val="16"/>
                <w:color w:val="auto"/>
              </w:rPr>
              <w:t>2.2</w:t>
            </w:r>
          </w:p>
        </w:tc>
        <w:tc>
          <w:tcPr>
            <w:tcW w:w="2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6240" w:type="dxa"/>
            <w:vAlign w:val="bottom"/>
            <w:tcBorders>
              <w:top w:val="single" w:sz="8" w:color="DCE2EF"/>
            </w:tcBorders>
            <w:gridSpan w:val="3"/>
          </w:tcPr>
          <w:p>
            <w:pPr>
              <w:ind w:left="60"/>
              <w:spacing w:after="0"/>
              <w:rPr>
                <w:sz w:val="20"/>
                <w:szCs w:val="20"/>
                <w:color w:val="auto"/>
              </w:rPr>
            </w:pPr>
            <w:r>
              <w:rPr>
                <w:rFonts w:ascii="Arial" w:cs="Arial" w:eastAsia="Arial" w:hAnsi="Arial"/>
                <w:sz w:val="16"/>
                <w:szCs w:val="16"/>
                <w:b w:val="1"/>
                <w:bCs w:val="1"/>
                <w:color w:val="auto"/>
              </w:rPr>
              <w:t>Operating profit</w:t>
            </w:r>
          </w:p>
        </w:tc>
        <w:tc>
          <w:tcPr>
            <w:tcW w:w="96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220" w:type="dxa"/>
            <w:vAlign w:val="bottom"/>
            <w:tcBorders>
              <w:top w:val="single" w:sz="8" w:color="DCE2EF"/>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200" w:type="dxa"/>
            <w:vAlign w:val="bottom"/>
            <w:tcBorders>
              <w:top w:val="single" w:sz="8" w:color="DCE2EF"/>
            </w:tcBorders>
          </w:tcPr>
          <w:p>
            <w:pPr>
              <w:spacing w:after="0"/>
              <w:rPr>
                <w:sz w:val="22"/>
                <w:szCs w:val="22"/>
                <w:color w:val="auto"/>
              </w:rPr>
            </w:pPr>
          </w:p>
        </w:tc>
        <w:tc>
          <w:tcPr>
            <w:tcW w:w="1320" w:type="dxa"/>
            <w:vAlign w:val="bottom"/>
            <w:tcBorders>
              <w:top w:val="single" w:sz="8" w:color="DCE2EF"/>
            </w:tcBorders>
          </w:tcPr>
          <w:p>
            <w:pPr>
              <w:spacing w:after="0"/>
              <w:rPr>
                <w:sz w:val="22"/>
                <w:szCs w:val="22"/>
                <w:color w:val="auto"/>
              </w:rPr>
            </w:pPr>
          </w:p>
        </w:tc>
        <w:tc>
          <w:tcPr>
            <w:tcW w:w="200" w:type="dxa"/>
            <w:vAlign w:val="bottom"/>
            <w:tcBorders>
              <w:top w:val="single" w:sz="8" w:color="DCE2EF"/>
            </w:tcBorders>
          </w:tcPr>
          <w:p>
            <w:pPr>
              <w:spacing w:after="0"/>
              <w:rPr>
                <w:sz w:val="22"/>
                <w:szCs w:val="22"/>
                <w:color w:val="auto"/>
              </w:rPr>
            </w:pPr>
          </w:p>
        </w:tc>
        <w:tc>
          <w:tcPr>
            <w:tcW w:w="0" w:type="dxa"/>
            <w:vAlign w:val="bottom"/>
          </w:tcPr>
          <w:p>
            <w:pPr>
              <w:spacing w:after="0"/>
              <w:rPr>
                <w:sz w:val="1"/>
                <w:szCs w:val="1"/>
                <w:color w:val="auto"/>
              </w:rPr>
            </w:pPr>
          </w:p>
        </w:tc>
      </w:tr>
      <w:tr>
        <w:trPr>
          <w:trHeight w:val="287"/>
        </w:trPr>
        <w:tc>
          <w:tcPr>
            <w:tcW w:w="6240" w:type="dxa"/>
            <w:vAlign w:val="bottom"/>
            <w:gridSpan w:val="3"/>
            <w:shd w:val="clear" w:color="auto" w:fill="DCE2EF"/>
          </w:tcPr>
          <w:p>
            <w:pPr>
              <w:ind w:left="60"/>
              <w:spacing w:after="0"/>
              <w:rPr>
                <w:sz w:val="20"/>
                <w:szCs w:val="20"/>
                <w:color w:val="auto"/>
              </w:rPr>
            </w:pPr>
            <w:r>
              <w:rPr>
                <w:rFonts w:ascii="Arial" w:cs="Arial" w:eastAsia="Arial" w:hAnsi="Arial"/>
                <w:sz w:val="16"/>
                <w:szCs w:val="16"/>
                <w:color w:val="auto"/>
              </w:rPr>
              <w:t>Business &amp; Industry</w:t>
            </w:r>
          </w:p>
        </w:tc>
        <w:tc>
          <w:tcPr>
            <w:tcW w:w="9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79.4</w:t>
            </w:r>
          </w:p>
        </w:tc>
        <w:tc>
          <w:tcPr>
            <w:tcW w:w="1160" w:type="dxa"/>
            <w:vAlign w:val="bottom"/>
            <w:gridSpan w:val="2"/>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79.6</w:t>
            </w:r>
          </w:p>
        </w:tc>
        <w:tc>
          <w:tcPr>
            <w:tcW w:w="1520" w:type="dxa"/>
            <w:vAlign w:val="bottom"/>
            <w:gridSpan w:val="2"/>
            <w:shd w:val="clear" w:color="auto" w:fill="DCE2EF"/>
          </w:tcPr>
          <w:p>
            <w:pPr>
              <w:ind w:left="880"/>
              <w:spacing w:after="0"/>
              <w:rPr>
                <w:sz w:val="20"/>
                <w:szCs w:val="20"/>
                <w:color w:val="auto"/>
              </w:rPr>
            </w:pPr>
            <w:r>
              <w:rPr>
                <w:rFonts w:ascii="Arial" w:cs="Arial" w:eastAsia="Arial" w:hAnsi="Arial"/>
                <w:sz w:val="16"/>
                <w:szCs w:val="16"/>
                <w:color w:val="auto"/>
              </w:rPr>
              <w:t>(0.3)</w:t>
            </w:r>
          </w:p>
        </w:tc>
        <w:tc>
          <w:tcPr>
            <w:tcW w:w="2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6"/>
        </w:trPr>
        <w:tc>
          <w:tcPr>
            <w:tcW w:w="6240" w:type="dxa"/>
            <w:vAlign w:val="bottom"/>
            <w:gridSpan w:val="3"/>
          </w:tcPr>
          <w:p>
            <w:pPr>
              <w:ind w:left="60"/>
              <w:spacing w:after="0"/>
              <w:rPr>
                <w:sz w:val="20"/>
                <w:szCs w:val="20"/>
                <w:color w:val="auto"/>
              </w:rPr>
            </w:pPr>
            <w:r>
              <w:rPr>
                <w:rFonts w:ascii="Arial" w:cs="Arial" w:eastAsia="Arial" w:hAnsi="Arial"/>
                <w:sz w:val="16"/>
                <w:szCs w:val="16"/>
                <w:color w:val="auto"/>
              </w:rPr>
              <w:t>Manufacturing &amp; Distribution</w:t>
            </w:r>
          </w:p>
        </w:tc>
        <w:tc>
          <w:tcPr>
            <w:tcW w:w="96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39.4</w:t>
            </w: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41.3</w:t>
            </w:r>
          </w:p>
        </w:tc>
        <w:tc>
          <w:tcPr>
            <w:tcW w:w="1520" w:type="dxa"/>
            <w:vAlign w:val="bottom"/>
            <w:gridSpan w:val="2"/>
          </w:tcPr>
          <w:p>
            <w:pPr>
              <w:ind w:left="880"/>
              <w:spacing w:after="0"/>
              <w:rPr>
                <w:sz w:val="20"/>
                <w:szCs w:val="20"/>
                <w:color w:val="auto"/>
              </w:rPr>
            </w:pPr>
            <w:r>
              <w:rPr>
                <w:rFonts w:ascii="Arial" w:cs="Arial" w:eastAsia="Arial" w:hAnsi="Arial"/>
                <w:sz w:val="16"/>
                <w:szCs w:val="16"/>
                <w:color w:val="auto"/>
              </w:rPr>
              <w:t>(4.8)</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1"/>
        </w:trPr>
        <w:tc>
          <w:tcPr>
            <w:tcW w:w="6240" w:type="dxa"/>
            <w:vAlign w:val="bottom"/>
            <w:gridSpan w:val="3"/>
            <w:shd w:val="clear" w:color="auto" w:fill="DCE2EF"/>
          </w:tcPr>
          <w:p>
            <w:pPr>
              <w:ind w:left="60"/>
              <w:spacing w:after="0"/>
              <w:rPr>
                <w:sz w:val="20"/>
                <w:szCs w:val="20"/>
                <w:color w:val="auto"/>
              </w:rPr>
            </w:pPr>
            <w:r>
              <w:rPr>
                <w:rFonts w:ascii="Arial" w:cs="Arial" w:eastAsia="Arial" w:hAnsi="Arial"/>
                <w:sz w:val="16"/>
                <w:szCs w:val="16"/>
                <w:color w:val="auto"/>
              </w:rPr>
              <w:t>Aviation</w:t>
            </w:r>
          </w:p>
        </w:tc>
        <w:tc>
          <w:tcPr>
            <w:tcW w:w="96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12.2</w:t>
            </w:r>
          </w:p>
        </w:tc>
        <w:tc>
          <w:tcPr>
            <w:tcW w:w="220" w:type="dxa"/>
            <w:vAlign w:val="bottom"/>
            <w:shd w:val="clear" w:color="auto" w:fill="DCE2EF"/>
          </w:tcPr>
          <w:p>
            <w:pPr>
              <w:spacing w:after="0"/>
              <w:rPr>
                <w:sz w:val="24"/>
                <w:szCs w:val="24"/>
                <w:color w:val="auto"/>
              </w:rPr>
            </w:pPr>
          </w:p>
        </w:tc>
        <w:tc>
          <w:tcPr>
            <w:tcW w:w="94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9.7</w:t>
            </w:r>
          </w:p>
        </w:tc>
        <w:tc>
          <w:tcPr>
            <w:tcW w:w="1520" w:type="dxa"/>
            <w:vAlign w:val="bottom"/>
            <w:gridSpan w:val="2"/>
            <w:shd w:val="clear" w:color="auto" w:fill="DCE2EF"/>
          </w:tcPr>
          <w:p>
            <w:pPr>
              <w:ind w:left="880"/>
              <w:spacing w:after="0"/>
              <w:rPr>
                <w:sz w:val="20"/>
                <w:szCs w:val="20"/>
                <w:color w:val="auto"/>
              </w:rPr>
            </w:pPr>
            <w:r>
              <w:rPr>
                <w:rFonts w:ascii="Arial" w:cs="Arial" w:eastAsia="Arial" w:hAnsi="Arial"/>
                <w:sz w:val="16"/>
                <w:szCs w:val="16"/>
                <w:color w:val="auto"/>
              </w:rPr>
              <w:t>25.9</w:t>
            </w:r>
          </w:p>
        </w:tc>
        <w:tc>
          <w:tcPr>
            <w:tcW w:w="2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6"/>
        </w:trPr>
        <w:tc>
          <w:tcPr>
            <w:tcW w:w="6240" w:type="dxa"/>
            <w:vAlign w:val="bottom"/>
            <w:gridSpan w:val="3"/>
          </w:tcPr>
          <w:p>
            <w:pPr>
              <w:ind w:left="60"/>
              <w:spacing w:after="0"/>
              <w:rPr>
                <w:sz w:val="20"/>
                <w:szCs w:val="20"/>
                <w:color w:val="auto"/>
              </w:rPr>
            </w:pPr>
            <w:r>
              <w:rPr>
                <w:rFonts w:ascii="Arial" w:cs="Arial" w:eastAsia="Arial" w:hAnsi="Arial"/>
                <w:sz w:val="16"/>
                <w:szCs w:val="16"/>
                <w:color w:val="auto"/>
              </w:rPr>
              <w:t>Education</w:t>
            </w:r>
          </w:p>
        </w:tc>
        <w:tc>
          <w:tcPr>
            <w:tcW w:w="96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14.0</w:t>
            </w: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12.7</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9.9</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1"/>
        </w:trPr>
        <w:tc>
          <w:tcPr>
            <w:tcW w:w="6240" w:type="dxa"/>
            <w:vAlign w:val="bottom"/>
            <w:gridSpan w:val="3"/>
            <w:shd w:val="clear" w:color="auto" w:fill="DCE2EF"/>
          </w:tcPr>
          <w:p>
            <w:pPr>
              <w:ind w:left="60"/>
              <w:spacing w:after="0"/>
              <w:rPr>
                <w:sz w:val="20"/>
                <w:szCs w:val="20"/>
                <w:color w:val="auto"/>
              </w:rPr>
            </w:pPr>
            <w:r>
              <w:rPr>
                <w:rFonts w:ascii="Arial" w:cs="Arial" w:eastAsia="Arial" w:hAnsi="Arial"/>
                <w:sz w:val="16"/>
                <w:szCs w:val="16"/>
                <w:color w:val="auto"/>
              </w:rPr>
              <w:t>Technical Solutions</w:t>
            </w:r>
          </w:p>
        </w:tc>
        <w:tc>
          <w:tcPr>
            <w:tcW w:w="96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16.6</w:t>
            </w:r>
          </w:p>
        </w:tc>
        <w:tc>
          <w:tcPr>
            <w:tcW w:w="220" w:type="dxa"/>
            <w:vAlign w:val="bottom"/>
            <w:shd w:val="clear" w:color="auto" w:fill="DCE2EF"/>
          </w:tcPr>
          <w:p>
            <w:pPr>
              <w:spacing w:after="0"/>
              <w:rPr>
                <w:sz w:val="24"/>
                <w:szCs w:val="24"/>
                <w:color w:val="auto"/>
              </w:rPr>
            </w:pPr>
          </w:p>
        </w:tc>
        <w:tc>
          <w:tcPr>
            <w:tcW w:w="94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6.6</w:t>
            </w:r>
          </w:p>
        </w:tc>
        <w:tc>
          <w:tcPr>
            <w:tcW w:w="200" w:type="dxa"/>
            <w:vAlign w:val="bottom"/>
            <w:shd w:val="clear" w:color="auto" w:fill="DCE2EF"/>
          </w:tcPr>
          <w:p>
            <w:pPr>
              <w:spacing w:after="0"/>
              <w:rPr>
                <w:sz w:val="24"/>
                <w:szCs w:val="24"/>
                <w:color w:val="auto"/>
              </w:rPr>
            </w:pPr>
          </w:p>
        </w:tc>
        <w:tc>
          <w:tcPr>
            <w:tcW w:w="1520" w:type="dxa"/>
            <w:vAlign w:val="bottom"/>
            <w:gridSpan w:val="2"/>
            <w:shd w:val="clear" w:color="auto" w:fill="DCE2EF"/>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76"/>
        </w:trPr>
        <w:tc>
          <w:tcPr>
            <w:tcW w:w="6240" w:type="dxa"/>
            <w:vAlign w:val="bottom"/>
            <w:gridSpan w:val="3"/>
          </w:tcPr>
          <w:p>
            <w:pPr>
              <w:ind w:left="60"/>
              <w:spacing w:after="0"/>
              <w:rPr>
                <w:sz w:val="20"/>
                <w:szCs w:val="20"/>
                <w:color w:val="auto"/>
              </w:rPr>
            </w:pPr>
            <w:r>
              <w:rPr>
                <w:rFonts w:ascii="Arial" w:cs="Arial" w:eastAsia="Arial" w:hAnsi="Arial"/>
                <w:sz w:val="16"/>
                <w:szCs w:val="16"/>
                <w:color w:val="auto"/>
              </w:rPr>
              <w:t>Corporate</w:t>
            </w:r>
          </w:p>
        </w:tc>
        <w:tc>
          <w:tcPr>
            <w:tcW w:w="96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(83.2)</w:t>
            </w: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(74.7)</w:t>
            </w:r>
          </w:p>
        </w:tc>
        <w:tc>
          <w:tcPr>
            <w:tcW w:w="1520" w:type="dxa"/>
            <w:vAlign w:val="bottom"/>
            <w:gridSpan w:val="2"/>
          </w:tcPr>
          <w:p>
            <w:pPr>
              <w:ind w:left="880"/>
              <w:spacing w:after="0"/>
              <w:rPr>
                <w:sz w:val="20"/>
                <w:szCs w:val="20"/>
                <w:color w:val="auto"/>
              </w:rPr>
            </w:pPr>
            <w:r>
              <w:rPr>
                <w:rFonts w:ascii="Arial" w:cs="Arial" w:eastAsia="Arial" w:hAnsi="Arial"/>
                <w:sz w:val="16"/>
                <w:szCs w:val="16"/>
                <w:color w:val="auto"/>
              </w:rPr>
              <w:t>(11.4)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6240" w:type="dxa"/>
            <w:vAlign w:val="bottom"/>
            <w:gridSpan w:val="3"/>
            <w:shd w:val="clear" w:color="auto" w:fill="DCE2EF"/>
          </w:tcPr>
          <w:p>
            <w:pPr>
              <w:ind w:left="60"/>
              <w:spacing w:after="0"/>
              <w:rPr>
                <w:sz w:val="20"/>
                <w:szCs w:val="20"/>
                <w:color w:val="auto"/>
              </w:rPr>
            </w:pPr>
            <w:r>
              <w:rPr>
                <w:rFonts w:ascii="Arial" w:cs="Arial" w:eastAsia="Arial" w:hAnsi="Arial"/>
                <w:sz w:val="16"/>
                <w:szCs w:val="16"/>
                <w:color w:val="auto"/>
              </w:rPr>
              <w:t>Adjustment for income from unconsolidated affiliates, included in Aviation and</w:t>
            </w:r>
          </w:p>
        </w:tc>
        <w:tc>
          <w:tcPr>
            <w:tcW w:w="960" w:type="dxa"/>
            <w:vAlign w:val="bottom"/>
            <w:shd w:val="clear" w:color="auto" w:fill="DCE2EF"/>
          </w:tcPr>
          <w:p>
            <w:pPr>
              <w:spacing w:after="0"/>
              <w:rPr>
                <w:sz w:val="21"/>
                <w:szCs w:val="21"/>
                <w:color w:val="auto"/>
              </w:rPr>
            </w:pPr>
          </w:p>
        </w:tc>
        <w:tc>
          <w:tcPr>
            <w:tcW w:w="580" w:type="dxa"/>
            <w:vAlign w:val="bottom"/>
            <w:shd w:val="clear" w:color="auto" w:fill="DCE2EF"/>
          </w:tcPr>
          <w:p>
            <w:pPr>
              <w:spacing w:after="0"/>
              <w:rPr>
                <w:sz w:val="21"/>
                <w:szCs w:val="21"/>
                <w:color w:val="auto"/>
              </w:rPr>
            </w:pPr>
          </w:p>
        </w:tc>
        <w:tc>
          <w:tcPr>
            <w:tcW w:w="220" w:type="dxa"/>
            <w:vAlign w:val="bottom"/>
            <w:shd w:val="clear" w:color="auto" w:fill="DCE2EF"/>
          </w:tcPr>
          <w:p>
            <w:pPr>
              <w:spacing w:after="0"/>
              <w:rPr>
                <w:sz w:val="21"/>
                <w:szCs w:val="21"/>
                <w:color w:val="auto"/>
              </w:rPr>
            </w:pPr>
          </w:p>
        </w:tc>
        <w:tc>
          <w:tcPr>
            <w:tcW w:w="940" w:type="dxa"/>
            <w:vAlign w:val="bottom"/>
            <w:shd w:val="clear" w:color="auto" w:fill="DCE2EF"/>
          </w:tcPr>
          <w:p>
            <w:pPr>
              <w:spacing w:after="0"/>
              <w:rPr>
                <w:sz w:val="21"/>
                <w:szCs w:val="21"/>
                <w:color w:val="auto"/>
              </w:rPr>
            </w:pPr>
          </w:p>
        </w:tc>
        <w:tc>
          <w:tcPr>
            <w:tcW w:w="580" w:type="dxa"/>
            <w:vAlign w:val="bottom"/>
            <w:shd w:val="clear" w:color="auto" w:fill="DCE2EF"/>
          </w:tcPr>
          <w:p>
            <w:pPr>
              <w:spacing w:after="0"/>
              <w:rPr>
                <w:sz w:val="21"/>
                <w:szCs w:val="21"/>
                <w:color w:val="auto"/>
              </w:rPr>
            </w:pPr>
          </w:p>
        </w:tc>
        <w:tc>
          <w:tcPr>
            <w:tcW w:w="200" w:type="dxa"/>
            <w:vAlign w:val="bottom"/>
            <w:shd w:val="clear" w:color="auto" w:fill="DCE2EF"/>
          </w:tcPr>
          <w:p>
            <w:pPr>
              <w:spacing w:after="0"/>
              <w:rPr>
                <w:sz w:val="21"/>
                <w:szCs w:val="21"/>
                <w:color w:val="auto"/>
              </w:rPr>
            </w:pPr>
          </w:p>
        </w:tc>
        <w:tc>
          <w:tcPr>
            <w:tcW w:w="1320" w:type="dxa"/>
            <w:vAlign w:val="bottom"/>
            <w:shd w:val="clear" w:color="auto" w:fill="DCE2EF"/>
          </w:tcPr>
          <w:p>
            <w:pPr>
              <w:spacing w:after="0"/>
              <w:rPr>
                <w:sz w:val="21"/>
                <w:szCs w:val="21"/>
                <w:color w:val="auto"/>
              </w:rPr>
            </w:pPr>
          </w:p>
        </w:tc>
        <w:tc>
          <w:tcPr>
            <w:tcW w:w="200" w:type="dxa"/>
            <w:vAlign w:val="bottom"/>
            <w:shd w:val="clear" w:color="auto" w:fill="DCE2E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240" w:type="dxa"/>
            <w:vAlign w:val="bottom"/>
            <w:gridSpan w:val="3"/>
            <w:shd w:val="clear" w:color="auto" w:fill="DCE2EF"/>
          </w:tcPr>
          <w:p>
            <w:pPr>
              <w:ind w:left="60"/>
              <w:spacing w:after="0"/>
              <w:rPr>
                <w:sz w:val="20"/>
                <w:szCs w:val="20"/>
                <w:color w:val="auto"/>
              </w:rPr>
            </w:pPr>
            <w:r>
              <w:rPr>
                <w:rFonts w:ascii="Arial" w:cs="Arial" w:eastAsia="Arial" w:hAnsi="Arial"/>
                <w:sz w:val="16"/>
                <w:szCs w:val="16"/>
                <w:color w:val="auto"/>
              </w:rPr>
              <w:t>Technical Solutions</w:t>
            </w:r>
          </w:p>
        </w:tc>
        <w:tc>
          <w:tcPr>
            <w:tcW w:w="960" w:type="dxa"/>
            <w:vAlign w:val="bottom"/>
            <w:tcBorders>
              <w:bottom w:val="single" w:sz="8" w:color="auto"/>
            </w:tcBorders>
            <w:shd w:val="clear" w:color="auto" w:fill="DCE2EF"/>
          </w:tcPr>
          <w:p>
            <w:pPr>
              <w:spacing w:after="0"/>
              <w:rPr>
                <w:sz w:val="20"/>
                <w:szCs w:val="20"/>
                <w:color w:val="auto"/>
              </w:rPr>
            </w:pPr>
          </w:p>
        </w:tc>
        <w:tc>
          <w:tcPr>
            <w:tcW w:w="5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(0.8)</w:t>
            </w:r>
          </w:p>
        </w:tc>
        <w:tc>
          <w:tcPr>
            <w:tcW w:w="220" w:type="dxa"/>
            <w:vAlign w:val="bottom"/>
            <w:shd w:val="clear" w:color="auto" w:fill="DCE2EF"/>
          </w:tcPr>
          <w:p>
            <w:pPr>
              <w:spacing w:after="0"/>
              <w:rPr>
                <w:sz w:val="20"/>
                <w:szCs w:val="20"/>
                <w:color w:val="auto"/>
              </w:rPr>
            </w:pPr>
          </w:p>
        </w:tc>
        <w:tc>
          <w:tcPr>
            <w:tcW w:w="940" w:type="dxa"/>
            <w:vAlign w:val="bottom"/>
            <w:tcBorders>
              <w:bottom w:val="single" w:sz="8" w:color="auto"/>
            </w:tcBorders>
            <w:shd w:val="clear" w:color="auto" w:fill="DCE2EF"/>
          </w:tcPr>
          <w:p>
            <w:pPr>
              <w:spacing w:after="0"/>
              <w:rPr>
                <w:sz w:val="20"/>
                <w:szCs w:val="20"/>
                <w:color w:val="auto"/>
              </w:rPr>
            </w:pPr>
          </w:p>
        </w:tc>
        <w:tc>
          <w:tcPr>
            <w:tcW w:w="5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(1.3)</w:t>
            </w:r>
          </w:p>
        </w:tc>
        <w:tc>
          <w:tcPr>
            <w:tcW w:w="1520" w:type="dxa"/>
            <w:vAlign w:val="bottom"/>
            <w:gridSpan w:val="2"/>
            <w:shd w:val="clear" w:color="auto" w:fill="DCE2EF"/>
          </w:tcPr>
          <w:p>
            <w:pPr>
              <w:ind w:left="880"/>
              <w:spacing w:after="0"/>
              <w:rPr>
                <w:sz w:val="20"/>
                <w:szCs w:val="20"/>
                <w:color w:val="auto"/>
              </w:rPr>
            </w:pPr>
            <w:r>
              <w:rPr>
                <w:rFonts w:ascii="Arial" w:cs="Arial" w:eastAsia="Arial" w:hAnsi="Arial"/>
                <w:sz w:val="16"/>
                <w:szCs w:val="16"/>
                <w:color w:val="auto"/>
              </w:rPr>
              <w:t>39.9</w:t>
            </w:r>
          </w:p>
        </w:tc>
        <w:tc>
          <w:tcPr>
            <w:tcW w:w="2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6"/>
        </w:trPr>
        <w:tc>
          <w:tcPr>
            <w:tcW w:w="6240" w:type="dxa"/>
            <w:vAlign w:val="bottom"/>
            <w:gridSpan w:val="3"/>
          </w:tcPr>
          <w:p>
            <w:pPr>
              <w:ind w:left="60"/>
              <w:spacing w:after="0"/>
              <w:rPr>
                <w:sz w:val="20"/>
                <w:szCs w:val="20"/>
                <w:color w:val="auto"/>
              </w:rPr>
            </w:pPr>
            <w:r>
              <w:rPr>
                <w:rFonts w:ascii="Arial" w:cs="Arial" w:eastAsia="Arial" w:hAnsi="Arial"/>
                <w:sz w:val="16"/>
                <w:szCs w:val="16"/>
                <w:b w:val="1"/>
                <w:bCs w:val="1"/>
                <w:color w:val="auto"/>
              </w:rPr>
              <w:t>Total operating profit</w:t>
            </w:r>
          </w:p>
        </w:tc>
        <w:tc>
          <w:tcPr>
            <w:tcW w:w="96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77.6</w:t>
            </w: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74.1</w:t>
            </w:r>
          </w:p>
        </w:tc>
        <w:tc>
          <w:tcPr>
            <w:tcW w:w="1720" w:type="dxa"/>
            <w:vAlign w:val="bottom"/>
            <w:gridSpan w:val="3"/>
          </w:tcPr>
          <w:p>
            <w:pPr>
              <w:jc w:val="right"/>
              <w:spacing w:after="0"/>
              <w:rPr>
                <w:sz w:val="20"/>
                <w:szCs w:val="20"/>
                <w:color w:val="auto"/>
              </w:rPr>
            </w:pPr>
            <w:r>
              <w:rPr>
                <w:rFonts w:ascii="Arial" w:cs="Arial" w:eastAsia="Arial" w:hAnsi="Arial"/>
                <w:sz w:val="16"/>
                <w:szCs w:val="16"/>
                <w:color w:val="auto"/>
              </w:rPr>
              <w:t>4.7 %</w:t>
            </w:r>
          </w:p>
        </w:tc>
        <w:tc>
          <w:tcPr>
            <w:tcW w:w="0" w:type="dxa"/>
            <w:vAlign w:val="bottom"/>
          </w:tcPr>
          <w:p>
            <w:pPr>
              <w:spacing w:after="0"/>
              <w:rPr>
                <w:sz w:val="1"/>
                <w:szCs w:val="1"/>
                <w:color w:val="auto"/>
              </w:rPr>
            </w:pPr>
          </w:p>
        </w:tc>
      </w:tr>
      <w:tr>
        <w:trPr>
          <w:trHeight w:val="291"/>
        </w:trPr>
        <w:tc>
          <w:tcPr>
            <w:tcW w:w="6240" w:type="dxa"/>
            <w:vAlign w:val="bottom"/>
            <w:gridSpan w:val="3"/>
            <w:shd w:val="clear" w:color="auto" w:fill="DCE2EF"/>
          </w:tcPr>
          <w:p>
            <w:pPr>
              <w:ind w:left="60"/>
              <w:spacing w:after="0"/>
              <w:rPr>
                <w:sz w:val="20"/>
                <w:szCs w:val="20"/>
                <w:color w:val="auto"/>
              </w:rPr>
            </w:pPr>
            <w:r>
              <w:rPr>
                <w:rFonts w:ascii="Arial" w:cs="Arial" w:eastAsia="Arial" w:hAnsi="Arial"/>
                <w:sz w:val="16"/>
                <w:szCs w:val="16"/>
                <w:color w:val="auto"/>
              </w:rPr>
              <w:t>Income from unconsolidated affiliates</w:t>
            </w:r>
          </w:p>
        </w:tc>
        <w:tc>
          <w:tcPr>
            <w:tcW w:w="96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0.8</w:t>
            </w:r>
          </w:p>
        </w:tc>
        <w:tc>
          <w:tcPr>
            <w:tcW w:w="220" w:type="dxa"/>
            <w:vAlign w:val="bottom"/>
            <w:shd w:val="clear" w:color="auto" w:fill="DCE2EF"/>
          </w:tcPr>
          <w:p>
            <w:pPr>
              <w:spacing w:after="0"/>
              <w:rPr>
                <w:sz w:val="24"/>
                <w:szCs w:val="24"/>
                <w:color w:val="auto"/>
              </w:rPr>
            </w:pPr>
          </w:p>
        </w:tc>
        <w:tc>
          <w:tcPr>
            <w:tcW w:w="94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1.3</w:t>
            </w:r>
          </w:p>
        </w:tc>
        <w:tc>
          <w:tcPr>
            <w:tcW w:w="1520" w:type="dxa"/>
            <w:vAlign w:val="bottom"/>
            <w:gridSpan w:val="2"/>
            <w:shd w:val="clear" w:color="auto" w:fill="DCE2EF"/>
          </w:tcPr>
          <w:p>
            <w:pPr>
              <w:ind w:left="880"/>
              <w:spacing w:after="0"/>
              <w:rPr>
                <w:sz w:val="20"/>
                <w:szCs w:val="20"/>
                <w:color w:val="auto"/>
              </w:rPr>
            </w:pPr>
            <w:r>
              <w:rPr>
                <w:rFonts w:ascii="Arial" w:cs="Arial" w:eastAsia="Arial" w:hAnsi="Arial"/>
                <w:sz w:val="16"/>
                <w:szCs w:val="16"/>
                <w:color w:val="auto"/>
              </w:rPr>
              <w:t>(39.9)</w:t>
            </w:r>
          </w:p>
        </w:tc>
        <w:tc>
          <w:tcPr>
            <w:tcW w:w="2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6240" w:type="dxa"/>
            <w:vAlign w:val="bottom"/>
            <w:gridSpan w:val="3"/>
          </w:tcPr>
          <w:p>
            <w:pPr>
              <w:ind w:left="60"/>
              <w:spacing w:after="0"/>
              <w:rPr>
                <w:sz w:val="20"/>
                <w:szCs w:val="20"/>
                <w:color w:val="auto"/>
              </w:rPr>
            </w:pPr>
            <w:r>
              <w:rPr>
                <w:rFonts w:ascii="Arial" w:cs="Arial" w:eastAsia="Arial" w:hAnsi="Arial"/>
                <w:sz w:val="16"/>
                <w:szCs w:val="16"/>
                <w:color w:val="auto"/>
              </w:rPr>
              <w:t>Interest expense</w:t>
            </w:r>
          </w:p>
        </w:tc>
        <w:tc>
          <w:tcPr>
            <w:tcW w:w="9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w:t>
            </w:r>
          </w:p>
        </w:tc>
        <w:tc>
          <w:tcPr>
            <w:tcW w:w="22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w:t>
            </w:r>
          </w:p>
        </w:tc>
        <w:tc>
          <w:tcPr>
            <w:tcW w:w="1520" w:type="dxa"/>
            <w:vAlign w:val="bottom"/>
            <w:gridSpan w:val="2"/>
          </w:tcPr>
          <w:p>
            <w:pPr>
              <w:ind w:left="880"/>
              <w:spacing w:after="0"/>
              <w:rPr>
                <w:sz w:val="20"/>
                <w:szCs w:val="20"/>
                <w:color w:val="auto"/>
              </w:rPr>
            </w:pPr>
            <w:r>
              <w:rPr>
                <w:rFonts w:ascii="Arial" w:cs="Arial" w:eastAsia="Arial" w:hAnsi="Arial"/>
                <w:sz w:val="16"/>
                <w:szCs w:val="16"/>
                <w:color w:val="auto"/>
              </w:rPr>
              <w:t>(7.1)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4"/>
        </w:trPr>
        <w:tc>
          <w:tcPr>
            <w:tcW w:w="6240" w:type="dxa"/>
            <w:vAlign w:val="bottom"/>
            <w:tcBorders>
              <w:bottom w:val="single" w:sz="8" w:color="DCE2EF"/>
            </w:tcBorders>
            <w:gridSpan w:val="3"/>
            <w:shd w:val="clear" w:color="auto" w:fill="DCE2EF"/>
          </w:tcPr>
          <w:p>
            <w:pPr>
              <w:ind w:left="60"/>
              <w:spacing w:after="0"/>
              <w:rPr>
                <w:sz w:val="20"/>
                <w:szCs w:val="20"/>
                <w:color w:val="auto"/>
              </w:rPr>
            </w:pPr>
            <w:r>
              <w:rPr>
                <w:rFonts w:ascii="Arial" w:cs="Arial" w:eastAsia="Arial" w:hAnsi="Arial"/>
                <w:sz w:val="16"/>
                <w:szCs w:val="16"/>
                <w:color w:val="auto"/>
              </w:rPr>
              <w:t>Income before income taxes</w:t>
            </w:r>
          </w:p>
        </w:tc>
        <w:tc>
          <w:tcPr>
            <w:tcW w:w="960" w:type="dxa"/>
            <w:vAlign w:val="bottom"/>
            <w:tcBorders>
              <w:bottom w:val="single" w:sz="8" w:color="DCE2EF"/>
            </w:tcBorders>
            <w:shd w:val="clear" w:color="auto" w:fill="DCE2EF"/>
          </w:tcPr>
          <w:p>
            <w:pPr>
              <w:spacing w:after="0"/>
              <w:rPr>
                <w:sz w:val="21"/>
                <w:szCs w:val="21"/>
                <w:color w:val="auto"/>
              </w:rPr>
            </w:pP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55.5</w:t>
            </w:r>
          </w:p>
        </w:tc>
        <w:tc>
          <w:tcPr>
            <w:tcW w:w="220" w:type="dxa"/>
            <w:vAlign w:val="bottom"/>
            <w:tcBorders>
              <w:bottom w:val="single" w:sz="8" w:color="DCE2EF"/>
            </w:tcBorders>
            <w:shd w:val="clear" w:color="auto" w:fill="DCE2EF"/>
          </w:tcPr>
          <w:p>
            <w:pPr>
              <w:spacing w:after="0"/>
              <w:rPr>
                <w:sz w:val="21"/>
                <w:szCs w:val="21"/>
                <w:color w:val="auto"/>
              </w:rPr>
            </w:pPr>
          </w:p>
        </w:tc>
        <w:tc>
          <w:tcPr>
            <w:tcW w:w="940" w:type="dxa"/>
            <w:vAlign w:val="bottom"/>
            <w:tcBorders>
              <w:bottom w:val="single" w:sz="8" w:color="DCE2EF"/>
            </w:tcBorders>
            <w:shd w:val="clear" w:color="auto" w:fill="DCE2EF"/>
          </w:tcPr>
          <w:p>
            <w:pPr>
              <w:spacing w:after="0"/>
              <w:rPr>
                <w:sz w:val="21"/>
                <w:szCs w:val="21"/>
                <w:color w:val="auto"/>
              </w:rPr>
            </w:pP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54.0</w:t>
            </w:r>
          </w:p>
        </w:tc>
        <w:tc>
          <w:tcPr>
            <w:tcW w:w="1720" w:type="dxa"/>
            <w:vAlign w:val="bottom"/>
            <w:tcBorders>
              <w:bottom w:val="single" w:sz="8" w:color="DCE2EF"/>
            </w:tcBorders>
            <w:gridSpan w:val="3"/>
            <w:shd w:val="clear" w:color="auto" w:fill="DCE2EF"/>
          </w:tcPr>
          <w:p>
            <w:pPr>
              <w:jc w:val="right"/>
              <w:spacing w:after="0"/>
              <w:rPr>
                <w:sz w:val="20"/>
                <w:szCs w:val="20"/>
                <w:color w:val="auto"/>
              </w:rPr>
            </w:pPr>
            <w:r>
              <w:rPr>
                <w:rFonts w:ascii="Arial" w:cs="Arial" w:eastAsia="Arial" w:hAnsi="Arial"/>
                <w:sz w:val="16"/>
                <w:szCs w:val="16"/>
                <w:color w:val="auto"/>
              </w:rPr>
              <w:t>2.8 %</w:t>
            </w:r>
          </w:p>
        </w:tc>
        <w:tc>
          <w:tcPr>
            <w:tcW w:w="0" w:type="dxa"/>
            <w:vAlign w:val="bottom"/>
          </w:tcPr>
          <w:p>
            <w:pPr>
              <w:spacing w:after="0"/>
              <w:rPr>
                <w:sz w:val="1"/>
                <w:szCs w:val="1"/>
                <w:color w:val="auto"/>
              </w:rPr>
            </w:pPr>
          </w:p>
        </w:tc>
      </w:tr>
      <w:tr>
        <w:trPr>
          <w:trHeight w:val="277"/>
        </w:trPr>
        <w:tc>
          <w:tcPr>
            <w:tcW w:w="6240" w:type="dxa"/>
            <w:vAlign w:val="bottom"/>
            <w:tcBorders>
              <w:bottom w:val="single" w:sz="8" w:color="DCE2EF"/>
            </w:tcBorders>
            <w:gridSpan w:val="3"/>
          </w:tcPr>
          <w:p>
            <w:pPr>
              <w:ind w:left="60"/>
              <w:spacing w:after="0"/>
              <w:rPr>
                <w:sz w:val="20"/>
                <w:szCs w:val="20"/>
                <w:color w:val="auto"/>
              </w:rPr>
            </w:pPr>
            <w:r>
              <w:rPr>
                <w:rFonts w:ascii="Arial" w:cs="Arial" w:eastAsia="Arial" w:hAnsi="Arial"/>
                <w:sz w:val="16"/>
                <w:szCs w:val="16"/>
                <w:color w:val="auto"/>
              </w:rPr>
              <w:t>Income tax provision</w:t>
            </w:r>
          </w:p>
        </w:tc>
        <w:tc>
          <w:tcPr>
            <w:tcW w:w="9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w:t>
            </w:r>
          </w:p>
        </w:tc>
        <w:tc>
          <w:tcPr>
            <w:tcW w:w="220" w:type="dxa"/>
            <w:vAlign w:val="bottom"/>
            <w:tcBorders>
              <w:bottom w:val="single" w:sz="8" w:color="DCE2EF"/>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w:t>
            </w:r>
          </w:p>
        </w:tc>
        <w:tc>
          <w:tcPr>
            <w:tcW w:w="1520" w:type="dxa"/>
            <w:vAlign w:val="bottom"/>
            <w:tcBorders>
              <w:bottom w:val="single" w:sz="8" w:color="DCE2EF"/>
            </w:tcBorders>
            <w:gridSpan w:val="2"/>
          </w:tcPr>
          <w:p>
            <w:pPr>
              <w:ind w:left="880"/>
              <w:spacing w:after="0"/>
              <w:rPr>
                <w:sz w:val="20"/>
                <w:szCs w:val="20"/>
                <w:color w:val="auto"/>
              </w:rPr>
            </w:pPr>
            <w:r>
              <w:rPr>
                <w:rFonts w:ascii="Arial" w:cs="Arial" w:eastAsia="Arial" w:hAnsi="Arial"/>
                <w:sz w:val="16"/>
                <w:szCs w:val="16"/>
                <w:color w:val="auto"/>
              </w:rPr>
              <w:t>(27.5)</w:t>
            </w:r>
          </w:p>
        </w:tc>
        <w:tc>
          <w:tcPr>
            <w:tcW w:w="200" w:type="dxa"/>
            <w:vAlign w:val="bottom"/>
            <w:tcBorders>
              <w:bottom w:val="single" w:sz="8" w:color="DCE2EF"/>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10"/>
        </w:trPr>
        <w:tc>
          <w:tcPr>
            <w:tcW w:w="6240" w:type="dxa"/>
            <w:vAlign w:val="bottom"/>
            <w:tcBorders>
              <w:bottom w:val="single" w:sz="8" w:color="DCE2EF"/>
            </w:tcBorders>
            <w:gridSpan w:val="3"/>
            <w:shd w:val="clear" w:color="auto" w:fill="DCE2EF"/>
          </w:tcPr>
          <w:p>
            <w:pPr>
              <w:ind w:left="60"/>
              <w:spacing w:after="0"/>
              <w:rPr>
                <w:sz w:val="20"/>
                <w:szCs w:val="20"/>
                <w:color w:val="auto"/>
              </w:rPr>
            </w:pPr>
            <w:r>
              <w:rPr>
                <w:rFonts w:ascii="Arial" w:cs="Arial" w:eastAsia="Arial" w:hAnsi="Arial"/>
                <w:sz w:val="16"/>
                <w:szCs w:val="16"/>
                <w:b w:val="1"/>
                <w:bCs w:val="1"/>
                <w:color w:val="auto"/>
              </w:rPr>
              <w:t>Net income</w:t>
            </w:r>
          </w:p>
        </w:tc>
        <w:tc>
          <w:tcPr>
            <w:tcW w:w="9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43.6</w:t>
            </w:r>
          </w:p>
        </w:tc>
        <w:tc>
          <w:tcPr>
            <w:tcW w:w="220" w:type="dxa"/>
            <w:vAlign w:val="bottom"/>
            <w:tcBorders>
              <w:bottom w:val="single" w:sz="8" w:color="DCE2EF"/>
            </w:tcBorders>
            <w:shd w:val="clear" w:color="auto" w:fill="DCE2EF"/>
          </w:tcPr>
          <w:p>
            <w:pPr>
              <w:spacing w:after="0"/>
              <w:rPr>
                <w:sz w:val="24"/>
                <w:szCs w:val="24"/>
                <w:color w:val="auto"/>
              </w:rPr>
            </w:pPr>
          </w:p>
        </w:tc>
        <w:tc>
          <w:tcPr>
            <w:tcW w:w="9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44.7</w:t>
            </w:r>
          </w:p>
        </w:tc>
        <w:tc>
          <w:tcPr>
            <w:tcW w:w="1520" w:type="dxa"/>
            <w:vAlign w:val="bottom"/>
            <w:tcBorders>
              <w:bottom w:val="single" w:sz="8" w:color="DCE2EF"/>
            </w:tcBorders>
            <w:gridSpan w:val="2"/>
            <w:shd w:val="clear" w:color="auto" w:fill="DCE2EF"/>
          </w:tcPr>
          <w:p>
            <w:pPr>
              <w:ind w:left="880"/>
              <w:spacing w:after="0"/>
              <w:rPr>
                <w:sz w:val="20"/>
                <w:szCs w:val="20"/>
                <w:color w:val="auto"/>
              </w:rPr>
            </w:pPr>
            <w:r>
              <w:rPr>
                <w:rFonts w:ascii="Arial" w:cs="Arial" w:eastAsia="Arial" w:hAnsi="Arial"/>
                <w:sz w:val="16"/>
                <w:szCs w:val="16"/>
                <w:color w:val="auto"/>
              </w:rPr>
              <w:t>(2.4)</w:t>
            </w:r>
          </w:p>
        </w:tc>
        <w:tc>
          <w:tcPr>
            <w:tcW w:w="20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4933950</wp:posOffset>
            </wp:positionH>
            <wp:positionV relativeFrom="paragraph">
              <wp:posOffset>-2699385</wp:posOffset>
            </wp:positionV>
            <wp:extent cx="14541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-2673985</wp:posOffset>
            </wp:positionV>
            <wp:extent cx="14541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-2879725</wp:posOffset>
            </wp:positionV>
            <wp:extent cx="14541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-2699385</wp:posOffset>
            </wp:positionV>
            <wp:extent cx="1371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-2673985</wp:posOffset>
            </wp:positionV>
            <wp:extent cx="13716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-2879725</wp:posOffset>
            </wp:positionV>
            <wp:extent cx="1371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-33655</wp:posOffset>
            </wp:positionV>
            <wp:extent cx="14541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-8255</wp:posOffset>
            </wp:positionV>
            <wp:extent cx="14541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-213995</wp:posOffset>
            </wp:positionV>
            <wp:extent cx="14541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-33655</wp:posOffset>
            </wp:positionV>
            <wp:extent cx="13716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-8255</wp:posOffset>
            </wp:positionV>
            <wp:extent cx="13716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-213995</wp:posOffset>
            </wp:positionV>
            <wp:extent cx="13716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94" w:lineRule="exact"/>
        <w:rPr>
          <w:sz w:val="20"/>
          <w:szCs w:val="20"/>
          <w:color w:val="auto"/>
        </w:rPr>
      </w:pPr>
    </w:p>
    <w:p>
      <w:pPr>
        <w:spacing w:after="0"/>
        <w:rPr>
          <w:sz w:val="20"/>
          <w:szCs w:val="20"/>
          <w:color w:val="auto"/>
        </w:rPr>
      </w:pPr>
      <w:r>
        <w:rPr>
          <w:rFonts w:ascii="Arial" w:cs="Arial" w:eastAsia="Arial" w:hAnsi="Arial"/>
          <w:sz w:val="12"/>
          <w:szCs w:val="12"/>
          <w:color w:val="auto"/>
        </w:rPr>
        <w:t>*Not meaningful (due to variance greater than or equal to +/-100%)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sectPr>
      </w:pPr>
    </w:p>
    <w:bookmarkStart w:id="11" w:name="page12"/>
    <w:bookmarkEnd w:id="1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226695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2" w:name="page13"/>
    <w:bookmarkEnd w:id="12"/>
    <w:p>
      <w:pPr>
        <w:ind w:right="4280"/>
        <w:spacing w:after="0" w:line="297" w:lineRule="auto"/>
        <w:rPr>
          <w:sz w:val="20"/>
          <w:szCs w:val="20"/>
          <w:color w:val="auto"/>
        </w:rPr>
      </w:pPr>
      <w:r>
        <w:rPr>
          <w:rFonts w:ascii="Arial" w:cs="Arial" w:eastAsia="Arial" w:hAnsi="Arial"/>
          <w:sz w:val="19"/>
          <w:szCs w:val="19"/>
          <w:b w:val="1"/>
          <w:bCs w:val="1"/>
          <w:color w:val="0046AD"/>
        </w:rPr>
        <w:t>ABM INDUSTRIES INCORPORATED AND SUBSIDIARIES RECONCILIATIONS OF NON-GAAP FINANCIAL MEASURES (UNAUDITED)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460" w:type="dxa"/>
            <w:vAlign w:val="bottom"/>
            <w:gridSpan w:val="3"/>
          </w:tcPr>
          <w:p>
            <w:pPr>
              <w:spacing w:after="0"/>
              <w:rPr>
                <w:sz w:val="20"/>
                <w:szCs w:val="20"/>
                <w:color w:val="auto"/>
              </w:rPr>
            </w:pPr>
            <w:r>
              <w:rPr>
                <w:rFonts w:ascii="Times New Roman" w:cs="Times New Roman" w:eastAsia="Times New Roman" w:hAnsi="Times New Roman"/>
                <w:sz w:val="13"/>
                <w:szCs w:val="13"/>
                <w:i w:val="1"/>
                <w:iCs w:val="1"/>
                <w:color w:val="auto"/>
              </w:rPr>
              <w:t>(in millions, except per share amounts)</w:t>
            </w: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50"/>
        </w:trPr>
        <w:tc>
          <w:tcPr>
            <w:tcW w:w="1980" w:type="dxa"/>
            <w:vAlign w:val="bottom"/>
            <w:tcBorders>
              <w:top w:val="single" w:sz="8" w:color="auto"/>
            </w:tcBorders>
          </w:tcPr>
          <w:p>
            <w:pPr>
              <w:spacing w:after="0"/>
              <w:rPr>
                <w:sz w:val="21"/>
                <w:szCs w:val="21"/>
                <w:color w:val="auto"/>
              </w:rPr>
            </w:pPr>
          </w:p>
        </w:tc>
        <w:tc>
          <w:tcPr>
            <w:tcW w:w="5460" w:type="dxa"/>
            <w:vAlign w:val="bottom"/>
          </w:tcPr>
          <w:p>
            <w:pPr>
              <w:spacing w:after="0"/>
              <w:rPr>
                <w:sz w:val="21"/>
                <w:szCs w:val="21"/>
                <w:color w:val="auto"/>
              </w:rPr>
            </w:pPr>
          </w:p>
        </w:tc>
        <w:tc>
          <w:tcPr>
            <w:tcW w:w="3160" w:type="dxa"/>
            <w:vAlign w:val="bottom"/>
            <w:tcBorders>
              <w:bottom w:val="single" w:sz="8" w:color="auto"/>
            </w:tcBorders>
            <w:gridSpan w:val="5"/>
          </w:tcPr>
          <w:p>
            <w:pPr>
              <w:jc w:val="right"/>
              <w:ind w:right="106"/>
              <w:spacing w:after="0"/>
              <w:rPr>
                <w:sz w:val="20"/>
                <w:szCs w:val="20"/>
                <w:color w:val="auto"/>
              </w:rPr>
            </w:pPr>
            <w:r>
              <w:rPr>
                <w:rFonts w:ascii="Arial" w:cs="Arial" w:eastAsia="Arial" w:hAnsi="Arial"/>
                <w:sz w:val="15"/>
                <w:szCs w:val="15"/>
                <w:b w:val="1"/>
                <w:bCs w:val="1"/>
                <w:color w:val="auto"/>
              </w:rPr>
              <w:t>Three Months Ended January 31,</w:t>
            </w:r>
          </w:p>
        </w:tc>
        <w:tc>
          <w:tcPr>
            <w:tcW w:w="4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r>
      <w:tr>
        <w:trPr>
          <w:trHeight w:val="231"/>
        </w:trPr>
        <w:tc>
          <w:tcPr>
            <w:tcW w:w="7440" w:type="dxa"/>
            <w:vAlign w:val="bottom"/>
            <w:gridSpan w:val="2"/>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2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b w:val="1"/>
                <w:bCs w:val="1"/>
                <w:color w:val="auto"/>
              </w:rPr>
              <w:t>2024</w:t>
            </w:r>
          </w:p>
        </w:tc>
        <w:tc>
          <w:tcPr>
            <w:tcW w:w="4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31"/>
        </w:trPr>
        <w:tc>
          <w:tcPr>
            <w:tcW w:w="8460" w:type="dxa"/>
            <w:vAlign w:val="bottom"/>
            <w:gridSpan w:val="3"/>
            <w:shd w:val="clear" w:color="auto" w:fill="DCE2EF"/>
          </w:tcPr>
          <w:p>
            <w:pPr>
              <w:ind w:left="60"/>
              <w:spacing w:after="0"/>
              <w:rPr>
                <w:sz w:val="20"/>
                <w:szCs w:val="20"/>
                <w:color w:val="auto"/>
              </w:rPr>
            </w:pPr>
            <w:r>
              <w:rPr>
                <w:rFonts w:ascii="Arial" w:cs="Arial" w:eastAsia="Arial" w:hAnsi="Arial"/>
                <w:sz w:val="15"/>
                <w:szCs w:val="15"/>
                <w:b w:val="1"/>
                <w:bCs w:val="1"/>
                <w:color w:val="auto"/>
              </w:rPr>
              <w:t>Reconciliation of Net Income to Adjusted Net Income</w:t>
            </w:r>
          </w:p>
        </w:tc>
        <w:tc>
          <w:tcPr>
            <w:tcW w:w="220" w:type="dxa"/>
            <w:vAlign w:val="bottom"/>
            <w:shd w:val="clear" w:color="auto" w:fill="DCE2EF"/>
          </w:tcPr>
          <w:p>
            <w:pPr>
              <w:spacing w:after="0"/>
              <w:rPr>
                <w:sz w:val="20"/>
                <w:szCs w:val="20"/>
                <w:color w:val="auto"/>
              </w:rPr>
            </w:pPr>
          </w:p>
        </w:tc>
        <w:tc>
          <w:tcPr>
            <w:tcW w:w="420" w:type="dxa"/>
            <w:vAlign w:val="bottom"/>
            <w:shd w:val="clear" w:color="auto" w:fill="DCE2EF"/>
          </w:tcPr>
          <w:p>
            <w:pPr>
              <w:spacing w:after="0"/>
              <w:rPr>
                <w:sz w:val="20"/>
                <w:szCs w:val="20"/>
                <w:color w:val="auto"/>
              </w:rPr>
            </w:pPr>
          </w:p>
        </w:tc>
        <w:tc>
          <w:tcPr>
            <w:tcW w:w="220" w:type="dxa"/>
            <w:vAlign w:val="bottom"/>
            <w:shd w:val="clear" w:color="auto" w:fill="DCE2EF"/>
          </w:tcPr>
          <w:p>
            <w:pPr>
              <w:spacing w:after="0"/>
              <w:rPr>
                <w:sz w:val="20"/>
                <w:szCs w:val="20"/>
                <w:color w:val="auto"/>
              </w:rPr>
            </w:pPr>
          </w:p>
        </w:tc>
        <w:tc>
          <w:tcPr>
            <w:tcW w:w="1280" w:type="dxa"/>
            <w:vAlign w:val="bottom"/>
            <w:shd w:val="clear" w:color="auto" w:fill="DCE2EF"/>
          </w:tcPr>
          <w:p>
            <w:pPr>
              <w:spacing w:after="0"/>
              <w:rPr>
                <w:sz w:val="20"/>
                <w:szCs w:val="20"/>
                <w:color w:val="auto"/>
              </w:rPr>
            </w:pPr>
          </w:p>
        </w:tc>
        <w:tc>
          <w:tcPr>
            <w:tcW w:w="420" w:type="dxa"/>
            <w:vAlign w:val="bottom"/>
            <w:shd w:val="clear" w:color="auto" w:fill="DCE2EF"/>
          </w:tcPr>
          <w:p>
            <w:pPr>
              <w:spacing w:after="0"/>
              <w:rPr>
                <w:sz w:val="20"/>
                <w:szCs w:val="20"/>
                <w:color w:val="auto"/>
              </w:rPr>
            </w:pPr>
          </w:p>
        </w:tc>
        <w:tc>
          <w:tcPr>
            <w:tcW w:w="220" w:type="dxa"/>
            <w:vAlign w:val="bottom"/>
            <w:shd w:val="clear" w:color="auto" w:fill="DCE2EF"/>
          </w:tcPr>
          <w:p>
            <w:pPr>
              <w:spacing w:after="0"/>
              <w:rPr>
                <w:sz w:val="20"/>
                <w:szCs w:val="20"/>
                <w:color w:val="auto"/>
              </w:rPr>
            </w:pPr>
          </w:p>
        </w:tc>
      </w:tr>
      <w:tr>
        <w:trPr>
          <w:trHeight w:val="160"/>
        </w:trPr>
        <w:tc>
          <w:tcPr>
            <w:tcW w:w="1980" w:type="dxa"/>
            <w:vAlign w:val="bottom"/>
            <w:shd w:val="clear" w:color="auto" w:fill="DCE2EF"/>
          </w:tcPr>
          <w:p>
            <w:pPr>
              <w:spacing w:after="0"/>
              <w:rPr>
                <w:sz w:val="13"/>
                <w:szCs w:val="13"/>
                <w:color w:val="auto"/>
              </w:rPr>
            </w:pPr>
          </w:p>
        </w:tc>
        <w:tc>
          <w:tcPr>
            <w:tcW w:w="5460" w:type="dxa"/>
            <w:vAlign w:val="bottom"/>
            <w:shd w:val="clear" w:color="auto" w:fill="DCE2EF"/>
          </w:tcPr>
          <w:p>
            <w:pPr>
              <w:spacing w:after="0"/>
              <w:rPr>
                <w:sz w:val="13"/>
                <w:szCs w:val="13"/>
                <w:color w:val="auto"/>
              </w:rPr>
            </w:pPr>
          </w:p>
        </w:tc>
        <w:tc>
          <w:tcPr>
            <w:tcW w:w="1020" w:type="dxa"/>
            <w:vAlign w:val="bottom"/>
            <w:shd w:val="clear" w:color="auto" w:fill="DCE2EF"/>
          </w:tcPr>
          <w:p>
            <w:pPr>
              <w:spacing w:after="0"/>
              <w:rPr>
                <w:sz w:val="13"/>
                <w:szCs w:val="13"/>
                <w:color w:val="auto"/>
              </w:rPr>
            </w:pPr>
          </w:p>
        </w:tc>
        <w:tc>
          <w:tcPr>
            <w:tcW w:w="220" w:type="dxa"/>
            <w:vAlign w:val="bottom"/>
            <w:shd w:val="clear" w:color="auto" w:fill="DCE2EF"/>
          </w:tcPr>
          <w:p>
            <w:pPr>
              <w:spacing w:after="0"/>
              <w:rPr>
                <w:sz w:val="13"/>
                <w:szCs w:val="13"/>
                <w:color w:val="auto"/>
              </w:rPr>
            </w:pPr>
          </w:p>
        </w:tc>
        <w:tc>
          <w:tcPr>
            <w:tcW w:w="420" w:type="dxa"/>
            <w:vAlign w:val="bottom"/>
            <w:shd w:val="clear" w:color="auto" w:fill="DCE2EF"/>
          </w:tcPr>
          <w:p>
            <w:pPr>
              <w:spacing w:after="0"/>
              <w:rPr>
                <w:sz w:val="13"/>
                <w:szCs w:val="13"/>
                <w:color w:val="auto"/>
              </w:rPr>
            </w:pPr>
          </w:p>
        </w:tc>
        <w:tc>
          <w:tcPr>
            <w:tcW w:w="220" w:type="dxa"/>
            <w:vAlign w:val="bottom"/>
            <w:shd w:val="clear" w:color="auto" w:fill="DCE2EF"/>
          </w:tcPr>
          <w:p>
            <w:pPr>
              <w:spacing w:after="0"/>
              <w:rPr>
                <w:sz w:val="13"/>
                <w:szCs w:val="13"/>
                <w:color w:val="auto"/>
              </w:rPr>
            </w:pPr>
          </w:p>
        </w:tc>
        <w:tc>
          <w:tcPr>
            <w:tcW w:w="1280" w:type="dxa"/>
            <w:vAlign w:val="bottom"/>
            <w:shd w:val="clear" w:color="auto" w:fill="DCE2EF"/>
          </w:tcPr>
          <w:p>
            <w:pPr>
              <w:spacing w:after="0"/>
              <w:rPr>
                <w:sz w:val="13"/>
                <w:szCs w:val="13"/>
                <w:color w:val="auto"/>
              </w:rPr>
            </w:pPr>
          </w:p>
        </w:tc>
        <w:tc>
          <w:tcPr>
            <w:tcW w:w="420" w:type="dxa"/>
            <w:vAlign w:val="bottom"/>
            <w:shd w:val="clear" w:color="auto" w:fill="DCE2EF"/>
          </w:tcPr>
          <w:p>
            <w:pPr>
              <w:spacing w:after="0"/>
              <w:rPr>
                <w:sz w:val="13"/>
                <w:szCs w:val="13"/>
                <w:color w:val="auto"/>
              </w:rPr>
            </w:pPr>
          </w:p>
        </w:tc>
        <w:tc>
          <w:tcPr>
            <w:tcW w:w="220" w:type="dxa"/>
            <w:vAlign w:val="bottom"/>
            <w:shd w:val="clear" w:color="auto" w:fill="DCE2EF"/>
          </w:tcPr>
          <w:p>
            <w:pPr>
              <w:spacing w:after="0"/>
              <w:rPr>
                <w:sz w:val="13"/>
                <w:szCs w:val="13"/>
                <w:color w:val="auto"/>
              </w:rPr>
            </w:pPr>
          </w:p>
        </w:tc>
      </w:tr>
      <w:tr>
        <w:trPr>
          <w:trHeight w:val="254"/>
        </w:trPr>
        <w:tc>
          <w:tcPr>
            <w:tcW w:w="8460" w:type="dxa"/>
            <w:vAlign w:val="bottom"/>
            <w:gridSpan w:val="3"/>
          </w:tcPr>
          <w:p>
            <w:pPr>
              <w:ind w:left="60"/>
              <w:spacing w:after="0"/>
              <w:rPr>
                <w:sz w:val="20"/>
                <w:szCs w:val="20"/>
                <w:color w:val="auto"/>
              </w:rPr>
            </w:pPr>
            <w:r>
              <w:rPr>
                <w:rFonts w:ascii="Arial" w:cs="Arial" w:eastAsia="Arial" w:hAnsi="Arial"/>
                <w:sz w:val="15"/>
                <w:szCs w:val="15"/>
                <w:color w:val="auto"/>
              </w:rPr>
              <w:t>Net income</w:t>
            </w: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43.6</w:t>
            </w:r>
          </w:p>
        </w:tc>
        <w:tc>
          <w:tcPr>
            <w:tcW w:w="1500" w:type="dxa"/>
            <w:vAlign w:val="bottom"/>
            <w:gridSpan w:val="2"/>
          </w:tcPr>
          <w:p>
            <w:pPr>
              <w:jc w:val="right"/>
              <w:ind w:right="46"/>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44.7</w:t>
            </w:r>
          </w:p>
        </w:tc>
        <w:tc>
          <w:tcPr>
            <w:tcW w:w="220" w:type="dxa"/>
            <w:vAlign w:val="bottom"/>
          </w:tcPr>
          <w:p>
            <w:pPr>
              <w:spacing w:after="0"/>
              <w:rPr>
                <w:sz w:val="22"/>
                <w:szCs w:val="22"/>
                <w:color w:val="auto"/>
              </w:rPr>
            </w:pPr>
          </w:p>
        </w:tc>
      </w:tr>
      <w:tr>
        <w:trPr>
          <w:trHeight w:val="259"/>
        </w:trPr>
        <w:tc>
          <w:tcPr>
            <w:tcW w:w="8460" w:type="dxa"/>
            <w:vAlign w:val="bottom"/>
            <w:gridSpan w:val="3"/>
            <w:shd w:val="clear" w:color="auto" w:fill="DCE2EF"/>
          </w:tcPr>
          <w:p>
            <w:pPr>
              <w:ind w:left="60"/>
              <w:spacing w:after="0"/>
              <w:rPr>
                <w:sz w:val="20"/>
                <w:szCs w:val="20"/>
                <w:color w:val="auto"/>
              </w:rPr>
            </w:pPr>
            <w:r>
              <w:rPr>
                <w:rFonts w:ascii="Arial" w:cs="Arial" w:eastAsia="Arial" w:hAnsi="Arial"/>
                <w:sz w:val="15"/>
                <w:szCs w:val="15"/>
                <w:color w:val="auto"/>
              </w:rPr>
              <w:t>Items impacting comparability</w:t>
            </w:r>
            <w:r>
              <w:rPr>
                <w:rFonts w:ascii="Arial" w:cs="Arial" w:eastAsia="Arial" w:hAnsi="Arial"/>
                <w:sz w:val="20"/>
                <w:szCs w:val="20"/>
                <w:color w:val="auto"/>
                <w:vertAlign w:val="superscript"/>
              </w:rPr>
              <w:t>(a)</w:t>
            </w:r>
          </w:p>
        </w:tc>
        <w:tc>
          <w:tcPr>
            <w:tcW w:w="220" w:type="dxa"/>
            <w:vAlign w:val="bottom"/>
            <w:shd w:val="clear" w:color="auto" w:fill="DCE2EF"/>
          </w:tcPr>
          <w:p>
            <w:pPr>
              <w:spacing w:after="0"/>
              <w:rPr>
                <w:sz w:val="22"/>
                <w:szCs w:val="22"/>
                <w:color w:val="auto"/>
              </w:rPr>
            </w:pPr>
          </w:p>
        </w:tc>
        <w:tc>
          <w:tcPr>
            <w:tcW w:w="420" w:type="dxa"/>
            <w:vAlign w:val="bottom"/>
            <w:shd w:val="clear" w:color="auto" w:fill="DCE2EF"/>
          </w:tcPr>
          <w:p>
            <w:pPr>
              <w:spacing w:after="0"/>
              <w:rPr>
                <w:sz w:val="22"/>
                <w:szCs w:val="22"/>
                <w:color w:val="auto"/>
              </w:rPr>
            </w:pPr>
          </w:p>
        </w:tc>
        <w:tc>
          <w:tcPr>
            <w:tcW w:w="220" w:type="dxa"/>
            <w:vAlign w:val="bottom"/>
            <w:shd w:val="clear" w:color="auto" w:fill="DCE2EF"/>
          </w:tcPr>
          <w:p>
            <w:pPr>
              <w:spacing w:after="0"/>
              <w:rPr>
                <w:sz w:val="22"/>
                <w:szCs w:val="22"/>
                <w:color w:val="auto"/>
              </w:rPr>
            </w:pPr>
          </w:p>
        </w:tc>
        <w:tc>
          <w:tcPr>
            <w:tcW w:w="1280" w:type="dxa"/>
            <w:vAlign w:val="bottom"/>
            <w:shd w:val="clear" w:color="auto" w:fill="DCE2EF"/>
          </w:tcPr>
          <w:p>
            <w:pPr>
              <w:spacing w:after="0"/>
              <w:rPr>
                <w:sz w:val="22"/>
                <w:szCs w:val="22"/>
                <w:color w:val="auto"/>
              </w:rPr>
            </w:pPr>
          </w:p>
        </w:tc>
        <w:tc>
          <w:tcPr>
            <w:tcW w:w="420" w:type="dxa"/>
            <w:vAlign w:val="bottom"/>
            <w:shd w:val="clear" w:color="auto" w:fill="DCE2EF"/>
          </w:tcPr>
          <w:p>
            <w:pPr>
              <w:spacing w:after="0"/>
              <w:rPr>
                <w:sz w:val="22"/>
                <w:szCs w:val="22"/>
                <w:color w:val="auto"/>
              </w:rPr>
            </w:pPr>
          </w:p>
        </w:tc>
        <w:tc>
          <w:tcPr>
            <w:tcW w:w="220" w:type="dxa"/>
            <w:vAlign w:val="bottom"/>
            <w:shd w:val="clear" w:color="auto" w:fill="DCE2EF"/>
          </w:tcPr>
          <w:p>
            <w:pPr>
              <w:spacing w:after="0"/>
              <w:rPr>
                <w:sz w:val="22"/>
                <w:szCs w:val="22"/>
                <w:color w:val="auto"/>
              </w:rPr>
            </w:pPr>
          </w:p>
        </w:tc>
      </w:tr>
      <w:tr>
        <w:trPr>
          <w:trHeight w:val="257"/>
        </w:trPr>
        <w:tc>
          <w:tcPr>
            <w:tcW w:w="8460" w:type="dxa"/>
            <w:vAlign w:val="bottom"/>
            <w:gridSpan w:val="3"/>
          </w:tcPr>
          <w:p>
            <w:pPr>
              <w:ind w:left="200"/>
              <w:spacing w:after="0"/>
              <w:rPr>
                <w:sz w:val="20"/>
                <w:szCs w:val="20"/>
                <w:color w:val="auto"/>
              </w:rPr>
            </w:pPr>
            <w:r>
              <w:rPr>
                <w:rFonts w:ascii="Arial" w:cs="Arial" w:eastAsia="Arial" w:hAnsi="Arial"/>
                <w:sz w:val="15"/>
                <w:szCs w:val="15"/>
                <w:color w:val="auto"/>
              </w:rPr>
              <w:t>Prior year self-insurance adjustment</w:t>
            </w:r>
            <w:r>
              <w:rPr>
                <w:rFonts w:ascii="Arial" w:cs="Arial" w:eastAsia="Arial" w:hAnsi="Arial"/>
                <w:sz w:val="20"/>
                <w:szCs w:val="20"/>
                <w:color w:val="auto"/>
                <w:vertAlign w:val="superscript"/>
              </w:rPr>
              <w:t>(b)</w:t>
            </w:r>
          </w:p>
        </w:tc>
        <w:tc>
          <w:tcPr>
            <w:tcW w:w="22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5.3</w:t>
            </w:r>
          </w:p>
        </w:tc>
        <w:tc>
          <w:tcPr>
            <w:tcW w:w="220" w:type="dxa"/>
            <w:vAlign w:val="bottom"/>
          </w:tcPr>
          <w:p>
            <w:pPr>
              <w:spacing w:after="0"/>
              <w:rPr>
                <w:sz w:val="22"/>
                <w:szCs w:val="22"/>
                <w:color w:val="auto"/>
              </w:rPr>
            </w:pPr>
          </w:p>
        </w:tc>
      </w:tr>
      <w:tr>
        <w:trPr>
          <w:trHeight w:val="257"/>
        </w:trPr>
        <w:tc>
          <w:tcPr>
            <w:tcW w:w="8460" w:type="dxa"/>
            <w:vAlign w:val="bottom"/>
            <w:gridSpan w:val="3"/>
            <w:shd w:val="clear" w:color="auto" w:fill="DCE2EF"/>
          </w:tcPr>
          <w:p>
            <w:pPr>
              <w:ind w:left="200"/>
              <w:spacing w:after="0"/>
              <w:rPr>
                <w:sz w:val="20"/>
                <w:szCs w:val="20"/>
                <w:color w:val="auto"/>
              </w:rPr>
            </w:pPr>
            <w:r>
              <w:rPr>
                <w:rFonts w:ascii="Arial" w:cs="Arial" w:eastAsia="Arial" w:hAnsi="Arial"/>
                <w:sz w:val="15"/>
                <w:szCs w:val="15"/>
                <w:color w:val="auto"/>
              </w:rPr>
              <w:t>Legal costs and other settlements</w:t>
            </w:r>
          </w:p>
        </w:tc>
        <w:tc>
          <w:tcPr>
            <w:tcW w:w="220" w:type="dxa"/>
            <w:vAlign w:val="bottom"/>
            <w:shd w:val="clear" w:color="auto" w:fill="DCE2EF"/>
          </w:tcPr>
          <w:p>
            <w:pPr>
              <w:spacing w:after="0"/>
              <w:rPr>
                <w:sz w:val="22"/>
                <w:szCs w:val="22"/>
                <w:color w:val="auto"/>
              </w:rPr>
            </w:pPr>
          </w:p>
        </w:tc>
        <w:tc>
          <w:tcPr>
            <w:tcW w:w="4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4.8</w:t>
            </w:r>
          </w:p>
        </w:tc>
        <w:tc>
          <w:tcPr>
            <w:tcW w:w="220" w:type="dxa"/>
            <w:vAlign w:val="bottom"/>
            <w:shd w:val="clear" w:color="auto" w:fill="DCE2EF"/>
          </w:tcPr>
          <w:p>
            <w:pPr>
              <w:spacing w:after="0"/>
              <w:rPr>
                <w:sz w:val="22"/>
                <w:szCs w:val="22"/>
                <w:color w:val="auto"/>
              </w:rPr>
            </w:pPr>
          </w:p>
        </w:tc>
        <w:tc>
          <w:tcPr>
            <w:tcW w:w="1280" w:type="dxa"/>
            <w:vAlign w:val="bottom"/>
            <w:shd w:val="clear" w:color="auto" w:fill="DCE2EF"/>
          </w:tcPr>
          <w:p>
            <w:pPr>
              <w:spacing w:after="0"/>
              <w:rPr>
                <w:sz w:val="22"/>
                <w:szCs w:val="22"/>
                <w:color w:val="auto"/>
              </w:rPr>
            </w:pPr>
          </w:p>
        </w:tc>
        <w:tc>
          <w:tcPr>
            <w:tcW w:w="640" w:type="dxa"/>
            <w:vAlign w:val="bottom"/>
            <w:gridSpan w:val="2"/>
            <w:shd w:val="clear" w:color="auto" w:fill="DCE2EF"/>
          </w:tcPr>
          <w:p>
            <w:pPr>
              <w:jc w:val="right"/>
              <w:ind w:right="240"/>
              <w:spacing w:after="0"/>
              <w:rPr>
                <w:sz w:val="20"/>
                <w:szCs w:val="20"/>
                <w:color w:val="auto"/>
              </w:rPr>
            </w:pPr>
            <w:r>
              <w:rPr>
                <w:rFonts w:ascii="Arial" w:cs="Arial" w:eastAsia="Arial" w:hAnsi="Arial"/>
                <w:sz w:val="14"/>
                <w:szCs w:val="14"/>
                <w:color w:val="auto"/>
              </w:rPr>
              <w:t>—</w:t>
            </w:r>
          </w:p>
        </w:tc>
      </w:tr>
      <w:tr>
        <w:trPr>
          <w:trHeight w:val="257"/>
        </w:trPr>
        <w:tc>
          <w:tcPr>
            <w:tcW w:w="8460" w:type="dxa"/>
            <w:vAlign w:val="bottom"/>
            <w:gridSpan w:val="3"/>
          </w:tcPr>
          <w:p>
            <w:pPr>
              <w:ind w:left="200"/>
              <w:spacing w:after="0"/>
              <w:rPr>
                <w:sz w:val="20"/>
                <w:szCs w:val="20"/>
                <w:color w:val="auto"/>
              </w:rPr>
            </w:pPr>
            <w:r>
              <w:rPr>
                <w:rFonts w:ascii="Arial" w:cs="Arial" w:eastAsia="Arial" w:hAnsi="Arial"/>
                <w:sz w:val="15"/>
                <w:szCs w:val="15"/>
                <w:color w:val="auto"/>
              </w:rPr>
              <w:t>Acquisition and integration related costs</w:t>
            </w:r>
            <w:r>
              <w:rPr>
                <w:rFonts w:ascii="Arial" w:cs="Arial" w:eastAsia="Arial" w:hAnsi="Arial"/>
                <w:sz w:val="20"/>
                <w:szCs w:val="20"/>
                <w:color w:val="auto"/>
                <w:vertAlign w:val="superscript"/>
              </w:rPr>
              <w:t>(c)</w:t>
            </w:r>
          </w:p>
        </w:tc>
        <w:tc>
          <w:tcPr>
            <w:tcW w:w="22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3.4</w:t>
            </w: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1.4</w:t>
            </w:r>
          </w:p>
        </w:tc>
        <w:tc>
          <w:tcPr>
            <w:tcW w:w="220" w:type="dxa"/>
            <w:vAlign w:val="bottom"/>
          </w:tcPr>
          <w:p>
            <w:pPr>
              <w:spacing w:after="0"/>
              <w:rPr>
                <w:sz w:val="22"/>
                <w:szCs w:val="22"/>
                <w:color w:val="auto"/>
              </w:rPr>
            </w:pPr>
          </w:p>
        </w:tc>
      </w:tr>
      <w:tr>
        <w:trPr>
          <w:trHeight w:val="256"/>
        </w:trPr>
        <w:tc>
          <w:tcPr>
            <w:tcW w:w="8460" w:type="dxa"/>
            <w:vAlign w:val="bottom"/>
            <w:gridSpan w:val="3"/>
            <w:shd w:val="clear" w:color="auto" w:fill="DCE2EF"/>
          </w:tcPr>
          <w:p>
            <w:pPr>
              <w:ind w:left="220"/>
              <w:spacing w:after="0"/>
              <w:rPr>
                <w:sz w:val="20"/>
                <w:szCs w:val="20"/>
                <w:color w:val="auto"/>
              </w:rPr>
            </w:pPr>
            <w:r>
              <w:rPr>
                <w:rFonts w:ascii="Arial" w:cs="Arial" w:eastAsia="Arial" w:hAnsi="Arial"/>
                <w:sz w:val="15"/>
                <w:szCs w:val="15"/>
                <w:color w:val="auto"/>
              </w:rPr>
              <w:t>Transformation initiative costs</w:t>
            </w:r>
            <w:r>
              <w:rPr>
                <w:rFonts w:ascii="Arial" w:cs="Arial" w:eastAsia="Arial" w:hAnsi="Arial"/>
                <w:sz w:val="20"/>
                <w:szCs w:val="20"/>
                <w:color w:val="auto"/>
                <w:vertAlign w:val="superscript"/>
              </w:rPr>
              <w:t>(d)</w:t>
            </w:r>
          </w:p>
        </w:tc>
        <w:tc>
          <w:tcPr>
            <w:tcW w:w="220" w:type="dxa"/>
            <w:vAlign w:val="bottom"/>
            <w:shd w:val="clear" w:color="auto" w:fill="DCE2EF"/>
          </w:tcPr>
          <w:p>
            <w:pPr>
              <w:spacing w:after="0"/>
              <w:rPr>
                <w:sz w:val="22"/>
                <w:szCs w:val="22"/>
                <w:color w:val="auto"/>
              </w:rPr>
            </w:pPr>
          </w:p>
        </w:tc>
        <w:tc>
          <w:tcPr>
            <w:tcW w:w="4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8.3</w:t>
            </w:r>
          </w:p>
        </w:tc>
        <w:tc>
          <w:tcPr>
            <w:tcW w:w="220" w:type="dxa"/>
            <w:vAlign w:val="bottom"/>
            <w:shd w:val="clear" w:color="auto" w:fill="DCE2EF"/>
          </w:tcPr>
          <w:p>
            <w:pPr>
              <w:spacing w:after="0"/>
              <w:rPr>
                <w:sz w:val="22"/>
                <w:szCs w:val="22"/>
                <w:color w:val="auto"/>
              </w:rPr>
            </w:pPr>
          </w:p>
        </w:tc>
        <w:tc>
          <w:tcPr>
            <w:tcW w:w="1280" w:type="dxa"/>
            <w:vAlign w:val="bottom"/>
            <w:shd w:val="clear" w:color="auto" w:fill="DCE2EF"/>
          </w:tcPr>
          <w:p>
            <w:pPr>
              <w:spacing w:after="0"/>
              <w:rPr>
                <w:sz w:val="22"/>
                <w:szCs w:val="22"/>
                <w:color w:val="auto"/>
              </w:rPr>
            </w:pPr>
          </w:p>
        </w:tc>
        <w:tc>
          <w:tcPr>
            <w:tcW w:w="4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7.0</w:t>
            </w:r>
          </w:p>
        </w:tc>
        <w:tc>
          <w:tcPr>
            <w:tcW w:w="220" w:type="dxa"/>
            <w:vAlign w:val="bottom"/>
            <w:shd w:val="clear" w:color="auto" w:fill="DCE2EF"/>
          </w:tcPr>
          <w:p>
            <w:pPr>
              <w:spacing w:after="0"/>
              <w:rPr>
                <w:sz w:val="22"/>
                <w:szCs w:val="22"/>
                <w:color w:val="auto"/>
              </w:rPr>
            </w:pPr>
          </w:p>
        </w:tc>
      </w:tr>
      <w:tr>
        <w:trPr>
          <w:trHeight w:val="254"/>
        </w:trPr>
        <w:tc>
          <w:tcPr>
            <w:tcW w:w="7440" w:type="dxa"/>
            <w:vAlign w:val="bottom"/>
            <w:gridSpan w:val="2"/>
          </w:tcPr>
          <w:p>
            <w:pPr>
              <w:ind w:left="200"/>
              <w:spacing w:after="0"/>
              <w:rPr>
                <w:sz w:val="20"/>
                <w:szCs w:val="20"/>
                <w:color w:val="auto"/>
              </w:rPr>
            </w:pPr>
            <w:r>
              <w:rPr>
                <w:rFonts w:ascii="Arial" w:cs="Arial" w:eastAsia="Arial" w:hAnsi="Arial"/>
                <w:sz w:val="15"/>
                <w:szCs w:val="15"/>
                <w:color w:val="auto"/>
              </w:rPr>
              <w:t>Other</w:t>
            </w:r>
          </w:p>
        </w:tc>
        <w:tc>
          <w:tcPr>
            <w:tcW w:w="10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0.8</w:t>
            </w:r>
          </w:p>
        </w:tc>
        <w:tc>
          <w:tcPr>
            <w:tcW w:w="220" w:type="dxa"/>
            <w:vAlign w:val="bottom"/>
          </w:tcPr>
          <w:p>
            <w:pPr>
              <w:spacing w:after="0"/>
              <w:rPr>
                <w:sz w:val="22"/>
                <w:szCs w:val="22"/>
                <w:color w:val="auto"/>
              </w:rPr>
            </w:pPr>
          </w:p>
        </w:tc>
      </w:tr>
      <w:tr>
        <w:trPr>
          <w:trHeight w:val="239"/>
        </w:trPr>
        <w:tc>
          <w:tcPr>
            <w:tcW w:w="8460" w:type="dxa"/>
            <w:vAlign w:val="bottom"/>
            <w:gridSpan w:val="3"/>
            <w:shd w:val="clear" w:color="auto" w:fill="DCE2EF"/>
          </w:tcPr>
          <w:p>
            <w:pPr>
              <w:ind w:left="60"/>
              <w:spacing w:after="0"/>
              <w:rPr>
                <w:sz w:val="20"/>
                <w:szCs w:val="20"/>
                <w:color w:val="auto"/>
              </w:rPr>
            </w:pPr>
            <w:r>
              <w:rPr>
                <w:rFonts w:ascii="Arial" w:cs="Arial" w:eastAsia="Arial" w:hAnsi="Arial"/>
                <w:sz w:val="15"/>
                <w:szCs w:val="15"/>
                <w:color w:val="auto"/>
              </w:rPr>
              <w:t>Total items impacting comparability</w:t>
            </w:r>
          </w:p>
        </w:tc>
        <w:tc>
          <w:tcPr>
            <w:tcW w:w="220" w:type="dxa"/>
            <w:vAlign w:val="bottom"/>
            <w:shd w:val="clear" w:color="auto" w:fill="DCE2EF"/>
          </w:tcPr>
          <w:p>
            <w:pPr>
              <w:spacing w:after="0"/>
              <w:rPr>
                <w:sz w:val="20"/>
                <w:szCs w:val="20"/>
                <w:color w:val="auto"/>
              </w:rPr>
            </w:pPr>
          </w:p>
        </w:tc>
        <w:tc>
          <w:tcPr>
            <w:tcW w:w="4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16.4</w:t>
            </w:r>
          </w:p>
        </w:tc>
        <w:tc>
          <w:tcPr>
            <w:tcW w:w="220" w:type="dxa"/>
            <w:vAlign w:val="bottom"/>
            <w:shd w:val="clear" w:color="auto" w:fill="DCE2EF"/>
          </w:tcPr>
          <w:p>
            <w:pPr>
              <w:spacing w:after="0"/>
              <w:rPr>
                <w:sz w:val="20"/>
                <w:szCs w:val="20"/>
                <w:color w:val="auto"/>
              </w:rPr>
            </w:pPr>
          </w:p>
        </w:tc>
        <w:tc>
          <w:tcPr>
            <w:tcW w:w="1280" w:type="dxa"/>
            <w:vAlign w:val="bottom"/>
            <w:shd w:val="clear" w:color="auto" w:fill="DCE2EF"/>
          </w:tcPr>
          <w:p>
            <w:pPr>
              <w:spacing w:after="0"/>
              <w:rPr>
                <w:sz w:val="20"/>
                <w:szCs w:val="20"/>
                <w:color w:val="auto"/>
              </w:rPr>
            </w:pPr>
          </w:p>
        </w:tc>
        <w:tc>
          <w:tcPr>
            <w:tcW w:w="4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14.5</w:t>
            </w:r>
          </w:p>
        </w:tc>
        <w:tc>
          <w:tcPr>
            <w:tcW w:w="220" w:type="dxa"/>
            <w:vAlign w:val="bottom"/>
            <w:shd w:val="clear" w:color="auto" w:fill="DCE2EF"/>
          </w:tcPr>
          <w:p>
            <w:pPr>
              <w:spacing w:after="0"/>
              <w:rPr>
                <w:sz w:val="20"/>
                <w:szCs w:val="20"/>
                <w:color w:val="auto"/>
              </w:rPr>
            </w:pPr>
          </w:p>
        </w:tc>
      </w:tr>
      <w:tr>
        <w:trPr>
          <w:trHeight w:val="257"/>
        </w:trPr>
        <w:tc>
          <w:tcPr>
            <w:tcW w:w="7440" w:type="dxa"/>
            <w:vAlign w:val="bottom"/>
            <w:gridSpan w:val="2"/>
          </w:tcPr>
          <w:p>
            <w:pPr>
              <w:ind w:left="60"/>
              <w:spacing w:after="0"/>
              <w:rPr>
                <w:sz w:val="20"/>
                <w:szCs w:val="20"/>
                <w:color w:val="auto"/>
              </w:rPr>
            </w:pPr>
            <w:r>
              <w:rPr>
                <w:rFonts w:ascii="Arial" w:cs="Arial" w:eastAsia="Arial" w:hAnsi="Arial"/>
                <w:sz w:val="15"/>
                <w:szCs w:val="15"/>
                <w:color w:val="auto"/>
              </w:rPr>
              <w:t xml:space="preserve">Income tax benefit </w:t>
            </w:r>
            <w:r>
              <w:rPr>
                <w:rFonts w:ascii="Arial" w:cs="Arial" w:eastAsia="Arial" w:hAnsi="Arial"/>
                <w:sz w:val="20"/>
                <w:szCs w:val="20"/>
                <w:color w:val="auto"/>
                <w:vertAlign w:val="superscript"/>
              </w:rPr>
              <w:t>(e)(f)</w:t>
            </w:r>
          </w:p>
        </w:tc>
        <w:tc>
          <w:tcPr>
            <w:tcW w:w="10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w:t>
            </w:r>
          </w:p>
        </w:tc>
        <w:tc>
          <w:tcPr>
            <w:tcW w:w="220" w:type="dxa"/>
            <w:vAlign w:val="bottom"/>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w:t>
            </w:r>
          </w:p>
        </w:tc>
        <w:tc>
          <w:tcPr>
            <w:tcW w:w="220" w:type="dxa"/>
            <w:vAlign w:val="bottom"/>
          </w:tcPr>
          <w:p>
            <w:pPr>
              <w:spacing w:after="0"/>
              <w:rPr>
                <w:sz w:val="22"/>
                <w:szCs w:val="22"/>
                <w:color w:val="auto"/>
              </w:rPr>
            </w:pPr>
          </w:p>
        </w:tc>
      </w:tr>
      <w:tr>
        <w:trPr>
          <w:trHeight w:val="230"/>
        </w:trPr>
        <w:tc>
          <w:tcPr>
            <w:tcW w:w="7440" w:type="dxa"/>
            <w:vAlign w:val="bottom"/>
            <w:tcBorders>
              <w:bottom w:val="single" w:sz="8" w:color="DCE2EF"/>
            </w:tcBorders>
            <w:gridSpan w:val="2"/>
            <w:shd w:val="clear" w:color="auto" w:fill="DCE2EF"/>
          </w:tcPr>
          <w:p>
            <w:pPr>
              <w:ind w:left="60"/>
              <w:spacing w:after="0"/>
              <w:rPr>
                <w:sz w:val="20"/>
                <w:szCs w:val="20"/>
                <w:color w:val="auto"/>
              </w:rPr>
            </w:pPr>
            <w:r>
              <w:rPr>
                <w:rFonts w:ascii="Arial" w:cs="Arial" w:eastAsia="Arial" w:hAnsi="Arial"/>
                <w:sz w:val="15"/>
                <w:szCs w:val="15"/>
                <w:color w:val="auto"/>
              </w:rPr>
              <w:t>Items impacting comparability, net of taxes</w:t>
            </w:r>
          </w:p>
        </w:tc>
        <w:tc>
          <w:tcPr>
            <w:tcW w:w="1020" w:type="dxa"/>
            <w:vAlign w:val="bottom"/>
            <w:tcBorders>
              <w:bottom w:val="single" w:sz="8" w:color="auto"/>
            </w:tcBorders>
            <w:shd w:val="clear" w:color="auto" w:fill="DCE2EF"/>
          </w:tcPr>
          <w:p>
            <w:pPr>
              <w:spacing w:after="0"/>
              <w:rPr>
                <w:sz w:val="20"/>
                <w:szCs w:val="20"/>
                <w:color w:val="auto"/>
              </w:rPr>
            </w:pPr>
          </w:p>
        </w:tc>
        <w:tc>
          <w:tcPr>
            <w:tcW w:w="220" w:type="dxa"/>
            <w:vAlign w:val="bottom"/>
            <w:tcBorders>
              <w:bottom w:val="single" w:sz="8" w:color="auto"/>
            </w:tcBorders>
            <w:shd w:val="clear" w:color="auto" w:fill="DCE2EF"/>
          </w:tcPr>
          <w:p>
            <w:pPr>
              <w:spacing w:after="0"/>
              <w:rPr>
                <w:sz w:val="20"/>
                <w:szCs w:val="20"/>
                <w:color w:val="auto"/>
              </w:rPr>
            </w:pPr>
          </w:p>
        </w:tc>
        <w:tc>
          <w:tcPr>
            <w:tcW w:w="4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11.7</w:t>
            </w:r>
          </w:p>
        </w:tc>
        <w:tc>
          <w:tcPr>
            <w:tcW w:w="220" w:type="dxa"/>
            <w:vAlign w:val="bottom"/>
            <w:tcBorders>
              <w:bottom w:val="single" w:sz="8" w:color="DCE2EF"/>
            </w:tcBorders>
            <w:shd w:val="clear" w:color="auto" w:fill="DCE2EF"/>
          </w:tcPr>
          <w:p>
            <w:pPr>
              <w:spacing w:after="0"/>
              <w:rPr>
                <w:sz w:val="20"/>
                <w:szCs w:val="20"/>
                <w:color w:val="auto"/>
              </w:rPr>
            </w:pPr>
          </w:p>
        </w:tc>
        <w:tc>
          <w:tcPr>
            <w:tcW w:w="1280" w:type="dxa"/>
            <w:vAlign w:val="bottom"/>
            <w:tcBorders>
              <w:bottom w:val="single" w:sz="8" w:color="auto"/>
            </w:tcBorders>
            <w:shd w:val="clear" w:color="auto" w:fill="DCE2EF"/>
          </w:tcPr>
          <w:p>
            <w:pPr>
              <w:spacing w:after="0"/>
              <w:rPr>
                <w:sz w:val="20"/>
                <w:szCs w:val="20"/>
                <w:color w:val="auto"/>
              </w:rPr>
            </w:pPr>
          </w:p>
        </w:tc>
        <w:tc>
          <w:tcPr>
            <w:tcW w:w="4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10.1</w:t>
            </w:r>
          </w:p>
        </w:tc>
        <w:tc>
          <w:tcPr>
            <w:tcW w:w="220" w:type="dxa"/>
            <w:vAlign w:val="bottom"/>
            <w:tcBorders>
              <w:bottom w:val="single" w:sz="8" w:color="DCE2EF"/>
            </w:tcBorders>
            <w:shd w:val="clear" w:color="auto" w:fill="DCE2EF"/>
          </w:tcPr>
          <w:p>
            <w:pPr>
              <w:spacing w:after="0"/>
              <w:rPr>
                <w:sz w:val="20"/>
                <w:szCs w:val="20"/>
                <w:color w:val="auto"/>
              </w:rPr>
            </w:pPr>
          </w:p>
        </w:tc>
      </w:tr>
      <w:tr>
        <w:trPr>
          <w:trHeight w:val="237"/>
        </w:trPr>
        <w:tc>
          <w:tcPr>
            <w:tcW w:w="7440" w:type="dxa"/>
            <w:vAlign w:val="bottom"/>
            <w:gridSpan w:val="2"/>
          </w:tcPr>
          <w:p>
            <w:pPr>
              <w:ind w:left="60"/>
              <w:spacing w:after="0"/>
              <w:rPr>
                <w:sz w:val="20"/>
                <w:szCs w:val="20"/>
                <w:color w:val="auto"/>
              </w:rPr>
            </w:pPr>
            <w:r>
              <w:rPr>
                <w:rFonts w:ascii="Arial" w:cs="Arial" w:eastAsia="Arial" w:hAnsi="Arial"/>
                <w:sz w:val="15"/>
                <w:szCs w:val="15"/>
                <w:color w:val="auto"/>
              </w:rPr>
              <w:t>Adjusted net income</w:t>
            </w:r>
          </w:p>
        </w:tc>
        <w:tc>
          <w:tcPr>
            <w:tcW w:w="10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55.3</w:t>
            </w:r>
          </w:p>
        </w:tc>
        <w:tc>
          <w:tcPr>
            <w:tcW w:w="220" w:type="dxa"/>
            <w:vAlign w:val="bottom"/>
          </w:tcPr>
          <w:p>
            <w:pPr>
              <w:spacing w:after="0"/>
              <w:rPr>
                <w:sz w:val="20"/>
                <w:szCs w:val="20"/>
                <w:color w:val="auto"/>
              </w:rPr>
            </w:pPr>
          </w:p>
        </w:tc>
        <w:tc>
          <w:tcPr>
            <w:tcW w:w="1280" w:type="dxa"/>
            <w:vAlign w:val="bottom"/>
            <w:tcBorders>
              <w:bottom w:val="single" w:sz="8" w:color="auto"/>
            </w:tcBorders>
          </w:tcPr>
          <w:p>
            <w:pPr>
              <w:jc w:val="right"/>
              <w:ind w:right="46"/>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54.8</w:t>
            </w:r>
          </w:p>
        </w:tc>
        <w:tc>
          <w:tcPr>
            <w:tcW w:w="2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-662305</wp:posOffset>
            </wp:positionV>
            <wp:extent cx="137160" cy="114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37160" cy="1143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-662305</wp:posOffset>
            </wp:positionV>
            <wp:extent cx="145415" cy="114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45415" cy="1143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-173355</wp:posOffset>
            </wp:positionV>
            <wp:extent cx="137160" cy="114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37160" cy="1143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-173355</wp:posOffset>
            </wp:positionV>
            <wp:extent cx="145415" cy="114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45415" cy="11430"/>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440" w:type="dxa"/>
            <w:vAlign w:val="bottom"/>
          </w:tcPr>
          <w:p>
            <w:pPr>
              <w:spacing w:after="0"/>
              <w:rPr>
                <w:sz w:val="18"/>
                <w:szCs w:val="18"/>
                <w:color w:val="auto"/>
              </w:rPr>
            </w:pPr>
          </w:p>
        </w:tc>
        <w:tc>
          <w:tcPr>
            <w:tcW w:w="310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5"/>
                <w:szCs w:val="15"/>
                <w:b w:val="1"/>
                <w:bCs w:val="1"/>
                <w:color w:val="auto"/>
              </w:rPr>
              <w:t>Three Months Ended January 31,</w:t>
            </w:r>
          </w:p>
        </w:tc>
        <w:tc>
          <w:tcPr>
            <w:tcW w:w="4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44"/>
        </w:trPr>
        <w:tc>
          <w:tcPr>
            <w:tcW w:w="7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5"/>
                <w:szCs w:val="15"/>
                <w:b w:val="1"/>
                <w:bCs w:val="1"/>
                <w:color w:val="auto"/>
              </w:rPr>
              <w:t>2025</w:t>
            </w:r>
          </w:p>
        </w:tc>
        <w:tc>
          <w:tcPr>
            <w:tcW w:w="62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5"/>
                <w:szCs w:val="15"/>
                <w:b w:val="1"/>
                <w:bCs w:val="1"/>
                <w:color w:val="auto"/>
              </w:rPr>
              <w:t>2024</w:t>
            </w: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31"/>
        </w:trPr>
        <w:tc>
          <w:tcPr>
            <w:tcW w:w="7440" w:type="dxa"/>
            <w:vAlign w:val="bottom"/>
            <w:shd w:val="clear" w:color="auto" w:fill="DCE2EF"/>
          </w:tcPr>
          <w:p>
            <w:pPr>
              <w:ind w:left="60"/>
              <w:spacing w:after="0"/>
              <w:rPr>
                <w:sz w:val="20"/>
                <w:szCs w:val="20"/>
                <w:color w:val="auto"/>
              </w:rPr>
            </w:pPr>
            <w:r>
              <w:rPr>
                <w:rFonts w:ascii="Arial" w:cs="Arial" w:eastAsia="Arial" w:hAnsi="Arial"/>
                <w:sz w:val="15"/>
                <w:szCs w:val="15"/>
                <w:b w:val="1"/>
                <w:bCs w:val="1"/>
                <w:color w:val="auto"/>
              </w:rPr>
              <w:t>Reconciliation of Net Income to Adjusted EBITDA</w:t>
            </w:r>
          </w:p>
        </w:tc>
        <w:tc>
          <w:tcPr>
            <w:tcW w:w="1040" w:type="dxa"/>
            <w:vAlign w:val="bottom"/>
            <w:tcBorders>
              <w:top w:val="single" w:sz="8" w:color="auto"/>
            </w:tcBorders>
            <w:shd w:val="clear" w:color="auto" w:fill="DCE2EF"/>
          </w:tcPr>
          <w:p>
            <w:pPr>
              <w:spacing w:after="0"/>
              <w:rPr>
                <w:sz w:val="20"/>
                <w:szCs w:val="20"/>
                <w:color w:val="auto"/>
              </w:rPr>
            </w:pPr>
          </w:p>
        </w:tc>
        <w:tc>
          <w:tcPr>
            <w:tcW w:w="620" w:type="dxa"/>
            <w:vAlign w:val="bottom"/>
            <w:tcBorders>
              <w:top w:val="single" w:sz="8" w:color="auto"/>
            </w:tcBorders>
            <w:shd w:val="clear" w:color="auto" w:fill="DCE2EF"/>
          </w:tcPr>
          <w:p>
            <w:pPr>
              <w:spacing w:after="0"/>
              <w:rPr>
                <w:sz w:val="20"/>
                <w:szCs w:val="20"/>
                <w:color w:val="auto"/>
              </w:rPr>
            </w:pPr>
          </w:p>
        </w:tc>
        <w:tc>
          <w:tcPr>
            <w:tcW w:w="220" w:type="dxa"/>
            <w:vAlign w:val="bottom"/>
            <w:shd w:val="clear" w:color="auto" w:fill="DCE2EF"/>
          </w:tcPr>
          <w:p>
            <w:pPr>
              <w:spacing w:after="0"/>
              <w:rPr>
                <w:sz w:val="20"/>
                <w:szCs w:val="20"/>
                <w:color w:val="auto"/>
              </w:rPr>
            </w:pPr>
          </w:p>
        </w:tc>
        <w:tc>
          <w:tcPr>
            <w:tcW w:w="1220" w:type="dxa"/>
            <w:vAlign w:val="bottom"/>
            <w:tcBorders>
              <w:top w:val="single" w:sz="8" w:color="auto"/>
            </w:tcBorders>
            <w:shd w:val="clear" w:color="auto" w:fill="DCE2EF"/>
          </w:tcPr>
          <w:p>
            <w:pPr>
              <w:spacing w:after="0"/>
              <w:rPr>
                <w:sz w:val="20"/>
                <w:szCs w:val="20"/>
                <w:color w:val="auto"/>
              </w:rPr>
            </w:pPr>
          </w:p>
        </w:tc>
        <w:tc>
          <w:tcPr>
            <w:tcW w:w="480" w:type="dxa"/>
            <w:vAlign w:val="bottom"/>
            <w:tcBorders>
              <w:top w:val="single" w:sz="8" w:color="auto"/>
            </w:tcBorders>
            <w:shd w:val="clear" w:color="auto" w:fill="DCE2EF"/>
          </w:tcPr>
          <w:p>
            <w:pPr>
              <w:spacing w:after="0"/>
              <w:rPr>
                <w:sz w:val="20"/>
                <w:szCs w:val="20"/>
                <w:color w:val="auto"/>
              </w:rPr>
            </w:pPr>
          </w:p>
        </w:tc>
        <w:tc>
          <w:tcPr>
            <w:tcW w:w="220" w:type="dxa"/>
            <w:vAlign w:val="bottom"/>
            <w:shd w:val="clear" w:color="auto" w:fill="DCE2EF"/>
          </w:tcPr>
          <w:p>
            <w:pPr>
              <w:spacing w:after="0"/>
              <w:rPr>
                <w:sz w:val="20"/>
                <w:szCs w:val="20"/>
                <w:color w:val="auto"/>
              </w:rPr>
            </w:pPr>
          </w:p>
        </w:tc>
      </w:tr>
      <w:tr>
        <w:trPr>
          <w:trHeight w:val="160"/>
        </w:trPr>
        <w:tc>
          <w:tcPr>
            <w:tcW w:w="7440" w:type="dxa"/>
            <w:vAlign w:val="bottom"/>
            <w:shd w:val="clear" w:color="auto" w:fill="DCE2EF"/>
          </w:tcPr>
          <w:p>
            <w:pPr>
              <w:spacing w:after="0"/>
              <w:rPr>
                <w:sz w:val="13"/>
                <w:szCs w:val="13"/>
                <w:color w:val="auto"/>
              </w:rPr>
            </w:pPr>
          </w:p>
        </w:tc>
        <w:tc>
          <w:tcPr>
            <w:tcW w:w="1040" w:type="dxa"/>
            <w:vAlign w:val="bottom"/>
            <w:shd w:val="clear" w:color="auto" w:fill="DCE2EF"/>
          </w:tcPr>
          <w:p>
            <w:pPr>
              <w:spacing w:after="0"/>
              <w:rPr>
                <w:sz w:val="13"/>
                <w:szCs w:val="13"/>
                <w:color w:val="auto"/>
              </w:rPr>
            </w:pPr>
          </w:p>
        </w:tc>
        <w:tc>
          <w:tcPr>
            <w:tcW w:w="620" w:type="dxa"/>
            <w:vAlign w:val="bottom"/>
            <w:shd w:val="clear" w:color="auto" w:fill="DCE2EF"/>
          </w:tcPr>
          <w:p>
            <w:pPr>
              <w:spacing w:after="0"/>
              <w:rPr>
                <w:sz w:val="13"/>
                <w:szCs w:val="13"/>
                <w:color w:val="auto"/>
              </w:rPr>
            </w:pPr>
          </w:p>
        </w:tc>
        <w:tc>
          <w:tcPr>
            <w:tcW w:w="220" w:type="dxa"/>
            <w:vAlign w:val="bottom"/>
            <w:shd w:val="clear" w:color="auto" w:fill="DCE2EF"/>
          </w:tcPr>
          <w:p>
            <w:pPr>
              <w:spacing w:after="0"/>
              <w:rPr>
                <w:sz w:val="13"/>
                <w:szCs w:val="13"/>
                <w:color w:val="auto"/>
              </w:rPr>
            </w:pPr>
          </w:p>
        </w:tc>
        <w:tc>
          <w:tcPr>
            <w:tcW w:w="1220" w:type="dxa"/>
            <w:vAlign w:val="bottom"/>
            <w:shd w:val="clear" w:color="auto" w:fill="DCE2EF"/>
          </w:tcPr>
          <w:p>
            <w:pPr>
              <w:spacing w:after="0"/>
              <w:rPr>
                <w:sz w:val="13"/>
                <w:szCs w:val="13"/>
                <w:color w:val="auto"/>
              </w:rPr>
            </w:pPr>
          </w:p>
        </w:tc>
        <w:tc>
          <w:tcPr>
            <w:tcW w:w="480" w:type="dxa"/>
            <w:vAlign w:val="bottom"/>
            <w:shd w:val="clear" w:color="auto" w:fill="DCE2EF"/>
          </w:tcPr>
          <w:p>
            <w:pPr>
              <w:spacing w:after="0"/>
              <w:rPr>
                <w:sz w:val="13"/>
                <w:szCs w:val="13"/>
                <w:color w:val="auto"/>
              </w:rPr>
            </w:pPr>
          </w:p>
        </w:tc>
        <w:tc>
          <w:tcPr>
            <w:tcW w:w="220" w:type="dxa"/>
            <w:vAlign w:val="bottom"/>
            <w:shd w:val="clear" w:color="auto" w:fill="DCE2EF"/>
          </w:tcPr>
          <w:p>
            <w:pPr>
              <w:spacing w:after="0"/>
              <w:rPr>
                <w:sz w:val="13"/>
                <w:szCs w:val="13"/>
                <w:color w:val="auto"/>
              </w:rPr>
            </w:pPr>
          </w:p>
        </w:tc>
      </w:tr>
      <w:tr>
        <w:trPr>
          <w:trHeight w:val="257"/>
        </w:trPr>
        <w:tc>
          <w:tcPr>
            <w:tcW w:w="7440" w:type="dxa"/>
            <w:vAlign w:val="bottom"/>
          </w:tcPr>
          <w:p>
            <w:pPr>
              <w:ind w:left="60"/>
              <w:spacing w:after="0"/>
              <w:rPr>
                <w:sz w:val="20"/>
                <w:szCs w:val="20"/>
                <w:color w:val="auto"/>
              </w:rPr>
            </w:pPr>
            <w:r>
              <w:rPr>
                <w:rFonts w:ascii="Arial" w:cs="Arial" w:eastAsia="Arial" w:hAnsi="Arial"/>
                <w:sz w:val="15"/>
                <w:szCs w:val="15"/>
                <w:b w:val="1"/>
                <w:bCs w:val="1"/>
                <w:color w:val="auto"/>
              </w:rPr>
              <w:t>Net Income</w:t>
            </w:r>
          </w:p>
        </w:tc>
        <w:tc>
          <w:tcPr>
            <w:tcW w:w="104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   43.6</w:t>
            </w:r>
          </w:p>
        </w:tc>
        <w:tc>
          <w:tcPr>
            <w:tcW w:w="14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44.7</w:t>
            </w:r>
          </w:p>
        </w:tc>
        <w:tc>
          <w:tcPr>
            <w:tcW w:w="220" w:type="dxa"/>
            <w:vAlign w:val="bottom"/>
          </w:tcPr>
          <w:p>
            <w:pPr>
              <w:spacing w:after="0"/>
              <w:rPr>
                <w:sz w:val="22"/>
                <w:szCs w:val="22"/>
                <w:color w:val="auto"/>
              </w:rPr>
            </w:pPr>
          </w:p>
        </w:tc>
      </w:tr>
      <w:tr>
        <w:trPr>
          <w:trHeight w:val="257"/>
        </w:trPr>
        <w:tc>
          <w:tcPr>
            <w:tcW w:w="7440" w:type="dxa"/>
            <w:vAlign w:val="bottom"/>
            <w:shd w:val="clear" w:color="auto" w:fill="DCE2EF"/>
          </w:tcPr>
          <w:p>
            <w:pPr>
              <w:ind w:left="140"/>
              <w:spacing w:after="0"/>
              <w:rPr>
                <w:sz w:val="20"/>
                <w:szCs w:val="20"/>
                <w:color w:val="auto"/>
              </w:rPr>
            </w:pPr>
            <w:r>
              <w:rPr>
                <w:rFonts w:ascii="Arial" w:cs="Arial" w:eastAsia="Arial" w:hAnsi="Arial"/>
                <w:sz w:val="15"/>
                <w:szCs w:val="15"/>
                <w:color w:val="auto"/>
              </w:rPr>
              <w:t>Items impacting comparability</w:t>
            </w:r>
          </w:p>
        </w:tc>
        <w:tc>
          <w:tcPr>
            <w:tcW w:w="1040" w:type="dxa"/>
            <w:vAlign w:val="bottom"/>
            <w:shd w:val="clear" w:color="auto" w:fill="DCE2EF"/>
          </w:tcPr>
          <w:p>
            <w:pPr>
              <w:spacing w:after="0"/>
              <w:rPr>
                <w:sz w:val="22"/>
                <w:szCs w:val="22"/>
                <w:color w:val="auto"/>
              </w:rPr>
            </w:pPr>
          </w:p>
        </w:tc>
        <w:tc>
          <w:tcPr>
            <w:tcW w:w="620" w:type="dxa"/>
            <w:vAlign w:val="bottom"/>
            <w:shd w:val="clear" w:color="auto" w:fill="DCE2EF"/>
          </w:tcPr>
          <w:p>
            <w:pPr>
              <w:jc w:val="right"/>
              <w:spacing w:after="0"/>
              <w:rPr>
                <w:sz w:val="20"/>
                <w:szCs w:val="20"/>
                <w:color w:val="auto"/>
              </w:rPr>
            </w:pPr>
            <w:r>
              <w:rPr>
                <w:rFonts w:ascii="Arial" w:cs="Arial" w:eastAsia="Arial" w:hAnsi="Arial"/>
                <w:sz w:val="15"/>
                <w:szCs w:val="15"/>
                <w:color w:val="auto"/>
              </w:rPr>
              <w:t>16.4</w:t>
            </w:r>
          </w:p>
        </w:tc>
        <w:tc>
          <w:tcPr>
            <w:tcW w:w="220" w:type="dxa"/>
            <w:vAlign w:val="bottom"/>
            <w:shd w:val="clear" w:color="auto" w:fill="DCE2EF"/>
          </w:tcPr>
          <w:p>
            <w:pPr>
              <w:spacing w:after="0"/>
              <w:rPr>
                <w:sz w:val="22"/>
                <w:szCs w:val="22"/>
                <w:color w:val="auto"/>
              </w:rPr>
            </w:pPr>
          </w:p>
        </w:tc>
        <w:tc>
          <w:tcPr>
            <w:tcW w:w="1220" w:type="dxa"/>
            <w:vAlign w:val="bottom"/>
            <w:shd w:val="clear" w:color="auto" w:fill="DCE2EF"/>
          </w:tcPr>
          <w:p>
            <w:pPr>
              <w:spacing w:after="0"/>
              <w:rPr>
                <w:sz w:val="22"/>
                <w:szCs w:val="22"/>
                <w:color w:val="auto"/>
              </w:rPr>
            </w:pPr>
          </w:p>
        </w:tc>
        <w:tc>
          <w:tcPr>
            <w:tcW w:w="480" w:type="dxa"/>
            <w:vAlign w:val="bottom"/>
            <w:shd w:val="clear" w:color="auto" w:fill="DCE2EF"/>
          </w:tcPr>
          <w:p>
            <w:pPr>
              <w:jc w:val="right"/>
              <w:spacing w:after="0"/>
              <w:rPr>
                <w:sz w:val="20"/>
                <w:szCs w:val="20"/>
                <w:color w:val="auto"/>
              </w:rPr>
            </w:pPr>
            <w:r>
              <w:rPr>
                <w:rFonts w:ascii="Arial" w:cs="Arial" w:eastAsia="Arial" w:hAnsi="Arial"/>
                <w:sz w:val="15"/>
                <w:szCs w:val="15"/>
                <w:color w:val="auto"/>
              </w:rPr>
              <w:t>14.5</w:t>
            </w:r>
          </w:p>
        </w:tc>
        <w:tc>
          <w:tcPr>
            <w:tcW w:w="220" w:type="dxa"/>
            <w:vAlign w:val="bottom"/>
            <w:shd w:val="clear" w:color="auto" w:fill="DCE2EF"/>
          </w:tcPr>
          <w:p>
            <w:pPr>
              <w:spacing w:after="0"/>
              <w:rPr>
                <w:sz w:val="22"/>
                <w:szCs w:val="22"/>
                <w:color w:val="auto"/>
              </w:rPr>
            </w:pPr>
          </w:p>
        </w:tc>
      </w:tr>
      <w:tr>
        <w:trPr>
          <w:trHeight w:val="253"/>
        </w:trPr>
        <w:tc>
          <w:tcPr>
            <w:tcW w:w="7440" w:type="dxa"/>
            <w:vAlign w:val="bottom"/>
          </w:tcPr>
          <w:p>
            <w:pPr>
              <w:ind w:left="140"/>
              <w:spacing w:after="0"/>
              <w:rPr>
                <w:sz w:val="20"/>
                <w:szCs w:val="20"/>
                <w:color w:val="auto"/>
              </w:rPr>
            </w:pPr>
            <w:r>
              <w:rPr>
                <w:rFonts w:ascii="Arial" w:cs="Arial" w:eastAsia="Arial" w:hAnsi="Arial"/>
                <w:sz w:val="15"/>
                <w:szCs w:val="15"/>
                <w:color w:val="auto"/>
              </w:rPr>
              <w:t>Income taxes provision</w:t>
            </w:r>
          </w:p>
        </w:tc>
        <w:tc>
          <w:tcPr>
            <w:tcW w:w="104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11.9</w:t>
            </w:r>
          </w:p>
        </w:tc>
        <w:tc>
          <w:tcPr>
            <w:tcW w:w="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9.3</w:t>
            </w:r>
          </w:p>
        </w:tc>
        <w:tc>
          <w:tcPr>
            <w:tcW w:w="220" w:type="dxa"/>
            <w:vAlign w:val="bottom"/>
          </w:tcPr>
          <w:p>
            <w:pPr>
              <w:spacing w:after="0"/>
              <w:rPr>
                <w:sz w:val="22"/>
                <w:szCs w:val="22"/>
                <w:color w:val="auto"/>
              </w:rPr>
            </w:pPr>
          </w:p>
        </w:tc>
      </w:tr>
      <w:tr>
        <w:trPr>
          <w:trHeight w:val="260"/>
        </w:trPr>
        <w:tc>
          <w:tcPr>
            <w:tcW w:w="7440" w:type="dxa"/>
            <w:vAlign w:val="bottom"/>
            <w:shd w:val="clear" w:color="auto" w:fill="DCE2EF"/>
          </w:tcPr>
          <w:p>
            <w:pPr>
              <w:ind w:left="140"/>
              <w:spacing w:after="0"/>
              <w:rPr>
                <w:sz w:val="20"/>
                <w:szCs w:val="20"/>
                <w:color w:val="auto"/>
              </w:rPr>
            </w:pPr>
            <w:r>
              <w:rPr>
                <w:rFonts w:ascii="Arial" w:cs="Arial" w:eastAsia="Arial" w:hAnsi="Arial"/>
                <w:sz w:val="15"/>
                <w:szCs w:val="15"/>
                <w:color w:val="auto"/>
              </w:rPr>
              <w:t>Interest expense</w:t>
            </w:r>
          </w:p>
        </w:tc>
        <w:tc>
          <w:tcPr>
            <w:tcW w:w="1040" w:type="dxa"/>
            <w:vAlign w:val="bottom"/>
            <w:shd w:val="clear" w:color="auto" w:fill="DCE2EF"/>
          </w:tcPr>
          <w:p>
            <w:pPr>
              <w:spacing w:after="0"/>
              <w:rPr>
                <w:sz w:val="22"/>
                <w:szCs w:val="22"/>
                <w:color w:val="auto"/>
              </w:rPr>
            </w:pPr>
          </w:p>
        </w:tc>
        <w:tc>
          <w:tcPr>
            <w:tcW w:w="620" w:type="dxa"/>
            <w:vAlign w:val="bottom"/>
            <w:shd w:val="clear" w:color="auto" w:fill="DCE2EF"/>
          </w:tcPr>
          <w:p>
            <w:pPr>
              <w:jc w:val="right"/>
              <w:spacing w:after="0"/>
              <w:rPr>
                <w:sz w:val="20"/>
                <w:szCs w:val="20"/>
                <w:color w:val="auto"/>
              </w:rPr>
            </w:pPr>
            <w:r>
              <w:rPr>
                <w:rFonts w:ascii="Arial" w:cs="Arial" w:eastAsia="Arial" w:hAnsi="Arial"/>
                <w:sz w:val="15"/>
                <w:szCs w:val="15"/>
                <w:color w:val="auto"/>
              </w:rPr>
              <w:t>22.9</w:t>
            </w:r>
          </w:p>
        </w:tc>
        <w:tc>
          <w:tcPr>
            <w:tcW w:w="220" w:type="dxa"/>
            <w:vAlign w:val="bottom"/>
            <w:shd w:val="clear" w:color="auto" w:fill="DCE2EF"/>
          </w:tcPr>
          <w:p>
            <w:pPr>
              <w:spacing w:after="0"/>
              <w:rPr>
                <w:sz w:val="22"/>
                <w:szCs w:val="22"/>
                <w:color w:val="auto"/>
              </w:rPr>
            </w:pPr>
          </w:p>
        </w:tc>
        <w:tc>
          <w:tcPr>
            <w:tcW w:w="1220" w:type="dxa"/>
            <w:vAlign w:val="bottom"/>
            <w:shd w:val="clear" w:color="auto" w:fill="DCE2EF"/>
          </w:tcPr>
          <w:p>
            <w:pPr>
              <w:spacing w:after="0"/>
              <w:rPr>
                <w:sz w:val="22"/>
                <w:szCs w:val="22"/>
                <w:color w:val="auto"/>
              </w:rPr>
            </w:pPr>
          </w:p>
        </w:tc>
        <w:tc>
          <w:tcPr>
            <w:tcW w:w="480" w:type="dxa"/>
            <w:vAlign w:val="bottom"/>
            <w:shd w:val="clear" w:color="auto" w:fill="DCE2EF"/>
          </w:tcPr>
          <w:p>
            <w:pPr>
              <w:jc w:val="right"/>
              <w:spacing w:after="0"/>
              <w:rPr>
                <w:sz w:val="20"/>
                <w:szCs w:val="20"/>
                <w:color w:val="auto"/>
              </w:rPr>
            </w:pPr>
            <w:r>
              <w:rPr>
                <w:rFonts w:ascii="Arial" w:cs="Arial" w:eastAsia="Arial" w:hAnsi="Arial"/>
                <w:sz w:val="15"/>
                <w:szCs w:val="15"/>
                <w:color w:val="auto"/>
              </w:rPr>
              <w:t>21.3</w:t>
            </w:r>
          </w:p>
        </w:tc>
        <w:tc>
          <w:tcPr>
            <w:tcW w:w="220" w:type="dxa"/>
            <w:vAlign w:val="bottom"/>
            <w:shd w:val="clear" w:color="auto" w:fill="DCE2EF"/>
          </w:tcPr>
          <w:p>
            <w:pPr>
              <w:spacing w:after="0"/>
              <w:rPr>
                <w:sz w:val="22"/>
                <w:szCs w:val="22"/>
                <w:color w:val="auto"/>
              </w:rPr>
            </w:pPr>
          </w:p>
        </w:tc>
      </w:tr>
      <w:tr>
        <w:trPr>
          <w:trHeight w:val="253"/>
        </w:trPr>
        <w:tc>
          <w:tcPr>
            <w:tcW w:w="7440" w:type="dxa"/>
            <w:vAlign w:val="bottom"/>
          </w:tcPr>
          <w:p>
            <w:pPr>
              <w:ind w:left="140"/>
              <w:spacing w:after="0"/>
              <w:rPr>
                <w:sz w:val="20"/>
                <w:szCs w:val="20"/>
                <w:color w:val="auto"/>
              </w:rPr>
            </w:pPr>
            <w:r>
              <w:rPr>
                <w:rFonts w:ascii="Arial" w:cs="Arial" w:eastAsia="Arial" w:hAnsi="Arial"/>
                <w:sz w:val="15"/>
                <w:szCs w:val="15"/>
                <w:color w:val="auto"/>
              </w:rPr>
              <w:t>Depreciation and amortization</w:t>
            </w:r>
          </w:p>
        </w:tc>
        <w:tc>
          <w:tcPr>
            <w:tcW w:w="10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25.9</w:t>
            </w:r>
          </w:p>
        </w:tc>
        <w:tc>
          <w:tcPr>
            <w:tcW w:w="220" w:type="dxa"/>
            <w:vAlign w:val="bottom"/>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26.9</w:t>
            </w:r>
          </w:p>
        </w:tc>
        <w:tc>
          <w:tcPr>
            <w:tcW w:w="220" w:type="dxa"/>
            <w:vAlign w:val="bottom"/>
          </w:tcPr>
          <w:p>
            <w:pPr>
              <w:spacing w:after="0"/>
              <w:rPr>
                <w:sz w:val="22"/>
                <w:szCs w:val="22"/>
                <w:color w:val="auto"/>
              </w:rPr>
            </w:pPr>
          </w:p>
        </w:tc>
      </w:tr>
      <w:tr>
        <w:trPr>
          <w:trHeight w:val="280"/>
        </w:trPr>
        <w:tc>
          <w:tcPr>
            <w:tcW w:w="7440" w:type="dxa"/>
            <w:vAlign w:val="bottom"/>
            <w:shd w:val="clear" w:color="auto" w:fill="DCE2EF"/>
          </w:tcPr>
          <w:p>
            <w:pPr>
              <w:ind w:left="60"/>
              <w:spacing w:after="0"/>
              <w:rPr>
                <w:sz w:val="20"/>
                <w:szCs w:val="20"/>
                <w:color w:val="auto"/>
              </w:rPr>
            </w:pPr>
            <w:r>
              <w:rPr>
                <w:rFonts w:ascii="Arial" w:cs="Arial" w:eastAsia="Arial" w:hAnsi="Arial"/>
                <w:sz w:val="15"/>
                <w:szCs w:val="15"/>
                <w:color w:val="auto"/>
              </w:rPr>
              <w:t>Adjusted EBITDA</w:t>
            </w:r>
          </w:p>
        </w:tc>
        <w:tc>
          <w:tcPr>
            <w:tcW w:w="1040" w:type="dxa"/>
            <w:vAlign w:val="bottom"/>
            <w:shd w:val="clear" w:color="auto" w:fill="DCE2EF"/>
          </w:tcPr>
          <w:p>
            <w:pPr>
              <w:jc w:val="right"/>
              <w:spacing w:after="0"/>
              <w:rPr>
                <w:sz w:val="20"/>
                <w:szCs w:val="20"/>
                <w:color w:val="auto"/>
              </w:rPr>
            </w:pPr>
            <w:r>
              <w:rPr>
                <w:rFonts w:ascii="Arial" w:cs="Arial" w:eastAsia="Arial" w:hAnsi="Arial"/>
                <w:sz w:val="15"/>
                <w:szCs w:val="15"/>
                <w:color w:val="auto"/>
              </w:rPr>
              <w:t>$</w:t>
            </w:r>
          </w:p>
        </w:tc>
        <w:tc>
          <w:tcPr>
            <w:tcW w:w="620" w:type="dxa"/>
            <w:vAlign w:val="bottom"/>
            <w:shd w:val="clear" w:color="auto" w:fill="DCE2EF"/>
          </w:tcPr>
          <w:p>
            <w:pPr>
              <w:jc w:val="right"/>
              <w:spacing w:after="0"/>
              <w:rPr>
                <w:sz w:val="20"/>
                <w:szCs w:val="20"/>
                <w:color w:val="auto"/>
              </w:rPr>
            </w:pPr>
            <w:r>
              <w:rPr>
                <w:rFonts w:ascii="Arial" w:cs="Arial" w:eastAsia="Arial" w:hAnsi="Arial"/>
                <w:sz w:val="15"/>
                <w:szCs w:val="15"/>
                <w:color w:val="auto"/>
              </w:rPr>
              <w:t>120.6</w:t>
            </w:r>
          </w:p>
        </w:tc>
        <w:tc>
          <w:tcPr>
            <w:tcW w:w="1440" w:type="dxa"/>
            <w:vAlign w:val="bottom"/>
            <w:gridSpan w:val="2"/>
            <w:shd w:val="clear" w:color="auto" w:fill="DCE2EF"/>
          </w:tcPr>
          <w:p>
            <w:pPr>
              <w:jc w:val="right"/>
              <w:ind w:right="180"/>
              <w:spacing w:after="0"/>
              <w:rPr>
                <w:sz w:val="20"/>
                <w:szCs w:val="20"/>
                <w:color w:val="auto"/>
              </w:rPr>
            </w:pPr>
            <w:r>
              <w:rPr>
                <w:rFonts w:ascii="Arial" w:cs="Arial" w:eastAsia="Arial" w:hAnsi="Arial"/>
                <w:sz w:val="15"/>
                <w:szCs w:val="15"/>
                <w:color w:val="auto"/>
              </w:rPr>
              <w:t>$</w:t>
            </w:r>
          </w:p>
        </w:tc>
        <w:tc>
          <w:tcPr>
            <w:tcW w:w="480" w:type="dxa"/>
            <w:vAlign w:val="bottom"/>
            <w:shd w:val="clear" w:color="auto" w:fill="DCE2EF"/>
          </w:tcPr>
          <w:p>
            <w:pPr>
              <w:jc w:val="right"/>
              <w:spacing w:after="0"/>
              <w:rPr>
                <w:sz w:val="20"/>
                <w:szCs w:val="20"/>
                <w:color w:val="auto"/>
              </w:rPr>
            </w:pPr>
            <w:r>
              <w:rPr>
                <w:rFonts w:ascii="Arial" w:cs="Arial" w:eastAsia="Arial" w:hAnsi="Arial"/>
                <w:sz w:val="15"/>
                <w:szCs w:val="15"/>
                <w:color w:val="auto"/>
              </w:rPr>
              <w:t>116.7</w:t>
            </w:r>
          </w:p>
        </w:tc>
        <w:tc>
          <w:tcPr>
            <w:tcW w:w="220" w:type="dxa"/>
            <w:vAlign w:val="bottom"/>
            <w:shd w:val="clear" w:color="auto" w:fill="DCE2EF"/>
          </w:tcPr>
          <w:p>
            <w:pPr>
              <w:spacing w:after="0"/>
              <w:rPr>
                <w:sz w:val="24"/>
                <w:szCs w:val="24"/>
                <w:color w:val="auto"/>
              </w:rPr>
            </w:pPr>
          </w:p>
        </w:tc>
      </w:tr>
      <w:tr>
        <w:trPr>
          <w:trHeight w:val="495"/>
        </w:trPr>
        <w:tc>
          <w:tcPr>
            <w:tcW w:w="7440" w:type="dxa"/>
            <w:vAlign w:val="bottom"/>
            <w:tcBorders>
              <w:top w:val="single" w:sz="8" w:color="DCE2EF"/>
            </w:tcBorders>
          </w:tcPr>
          <w:p>
            <w:pPr>
              <w:ind w:left="60"/>
              <w:spacing w:after="0"/>
              <w:rPr>
                <w:sz w:val="20"/>
                <w:szCs w:val="20"/>
                <w:color w:val="auto"/>
              </w:rPr>
            </w:pPr>
            <w:r>
              <w:rPr>
                <w:rFonts w:ascii="Arial" w:cs="Arial" w:eastAsia="Arial" w:hAnsi="Arial"/>
                <w:sz w:val="15"/>
                <w:szCs w:val="15"/>
                <w:b w:val="1"/>
                <w:bCs w:val="1"/>
                <w:color w:val="auto"/>
              </w:rPr>
              <w:t>Net Income margin as a % of revenues</w:t>
            </w:r>
          </w:p>
        </w:tc>
        <w:tc>
          <w:tcPr>
            <w:tcW w:w="104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2.1 %</w:t>
            </w:r>
          </w:p>
        </w:tc>
        <w:tc>
          <w:tcPr>
            <w:tcW w:w="220" w:type="dxa"/>
            <w:vAlign w:val="bottom"/>
            <w:tcBorders>
              <w:top w:val="single" w:sz="8" w:color="DCE2EF"/>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2.2 %</w:t>
            </w:r>
          </w:p>
        </w:tc>
        <w:tc>
          <w:tcPr>
            <w:tcW w:w="220" w:type="dxa"/>
            <w:vAlign w:val="bottom"/>
            <w:tcBorders>
              <w:top w:val="single" w:sz="8" w:color="DCE2EF"/>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-1589405</wp:posOffset>
            </wp:positionV>
            <wp:extent cx="137160" cy="114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37160" cy="1143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-1589405</wp:posOffset>
            </wp:positionV>
            <wp:extent cx="145415" cy="114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45415" cy="1143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-351790</wp:posOffset>
            </wp:positionV>
            <wp:extent cx="13716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-326390</wp:posOffset>
            </wp:positionV>
            <wp:extent cx="1371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-351790</wp:posOffset>
            </wp:positionV>
            <wp:extent cx="14541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-326390</wp:posOffset>
            </wp:positionV>
            <wp:extent cx="14541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45415" cy="8255"/>
                    </a:xfrm>
                    <a:prstGeom prst="rect">
                      <a:avLst/>
                    </a:prstGeom>
                    <a:noFill/>
                  </pic:spPr>
                </pic:pic>
              </a:graphicData>
            </a:graphic>
          </wp:anchor>
        </w:drawing>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440" w:type="dxa"/>
            <w:vAlign w:val="bottom"/>
          </w:tcPr>
          <w:p>
            <w:pPr>
              <w:spacing w:after="0"/>
              <w:rPr>
                <w:sz w:val="18"/>
                <w:szCs w:val="18"/>
                <w:color w:val="auto"/>
              </w:rPr>
            </w:pPr>
          </w:p>
        </w:tc>
        <w:tc>
          <w:tcPr>
            <w:tcW w:w="3020" w:type="dxa"/>
            <w:vAlign w:val="bottom"/>
            <w:tcBorders>
              <w:bottom w:val="single" w:sz="8" w:color="auto"/>
            </w:tcBorders>
            <w:gridSpan w:val="4"/>
          </w:tcPr>
          <w:p>
            <w:pPr>
              <w:ind w:left="580"/>
              <w:spacing w:after="0"/>
              <w:rPr>
                <w:sz w:val="20"/>
                <w:szCs w:val="20"/>
                <w:color w:val="auto"/>
              </w:rPr>
            </w:pPr>
            <w:r>
              <w:rPr>
                <w:rFonts w:ascii="Arial" w:cs="Arial" w:eastAsia="Arial" w:hAnsi="Arial"/>
                <w:sz w:val="15"/>
                <w:szCs w:val="15"/>
                <w:b w:val="1"/>
                <w:bCs w:val="1"/>
                <w:color w:val="auto"/>
              </w:rPr>
              <w:t>Three Months Ended January 31,</w:t>
            </w:r>
          </w:p>
        </w:tc>
        <w:tc>
          <w:tcPr>
            <w:tcW w:w="5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7440" w:type="dxa"/>
            <w:vAlign w:val="bottom"/>
          </w:tcPr>
          <w:p>
            <w:pPr>
              <w:spacing w:after="0"/>
              <w:rPr>
                <w:sz w:val="20"/>
                <w:szCs w:val="20"/>
                <w:color w:val="auto"/>
              </w:rPr>
            </w:pPr>
          </w:p>
        </w:tc>
        <w:tc>
          <w:tcPr>
            <w:tcW w:w="1080" w:type="dxa"/>
            <w:vAlign w:val="bottom"/>
          </w:tcPr>
          <w:p>
            <w:pPr>
              <w:jc w:val="center"/>
              <w:ind w:left="504"/>
              <w:spacing w:after="0"/>
              <w:rPr>
                <w:sz w:val="20"/>
                <w:szCs w:val="20"/>
                <w:color w:val="auto"/>
              </w:rPr>
            </w:pPr>
            <w:r>
              <w:rPr>
                <w:rFonts w:ascii="Arial" w:cs="Arial" w:eastAsia="Arial" w:hAnsi="Arial"/>
                <w:sz w:val="15"/>
                <w:szCs w:val="15"/>
                <w:b w:val="1"/>
                <w:bCs w:val="1"/>
                <w:color w:val="auto"/>
              </w:rPr>
              <w:t>2025</w:t>
            </w:r>
          </w:p>
        </w:tc>
        <w:tc>
          <w:tcPr>
            <w:tcW w:w="580" w:type="dxa"/>
            <w:vAlign w:val="bottom"/>
          </w:tcPr>
          <w:p>
            <w:pPr>
              <w:spacing w:after="0"/>
              <w:rPr>
                <w:sz w:val="20"/>
                <w:szCs w:val="20"/>
                <w:color w:val="auto"/>
              </w:rPr>
            </w:pPr>
          </w:p>
        </w:tc>
        <w:tc>
          <w:tcPr>
            <w:tcW w:w="1360" w:type="dxa"/>
            <w:vAlign w:val="bottom"/>
            <w:gridSpan w:val="2"/>
          </w:tcPr>
          <w:p>
            <w:pPr>
              <w:jc w:val="center"/>
              <w:ind w:left="704"/>
              <w:spacing w:after="0"/>
              <w:rPr>
                <w:sz w:val="20"/>
                <w:szCs w:val="20"/>
                <w:color w:val="auto"/>
              </w:rPr>
            </w:pPr>
            <w:r>
              <w:rPr>
                <w:rFonts w:ascii="Arial" w:cs="Arial" w:eastAsia="Arial" w:hAnsi="Arial"/>
                <w:sz w:val="15"/>
                <w:szCs w:val="15"/>
                <w:b w:val="1"/>
                <w:bCs w:val="1"/>
                <w:color w:val="auto"/>
              </w:rPr>
              <w:t>2024</w:t>
            </w: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7440" w:type="dxa"/>
            <w:vAlign w:val="bottom"/>
            <w:shd w:val="clear" w:color="auto" w:fill="DCE2EF"/>
          </w:tcPr>
          <w:p>
            <w:pPr>
              <w:ind w:left="60"/>
              <w:spacing w:after="0"/>
              <w:rPr>
                <w:sz w:val="20"/>
                <w:szCs w:val="20"/>
                <w:color w:val="auto"/>
              </w:rPr>
            </w:pPr>
            <w:r>
              <w:rPr>
                <w:rFonts w:ascii="Arial" w:cs="Arial" w:eastAsia="Arial" w:hAnsi="Arial"/>
                <w:sz w:val="15"/>
                <w:szCs w:val="15"/>
                <w:b w:val="1"/>
                <w:bCs w:val="1"/>
                <w:color w:val="auto"/>
              </w:rPr>
              <w:t>Revenues Excluding Management Reimbursement</w:t>
            </w:r>
          </w:p>
        </w:tc>
        <w:tc>
          <w:tcPr>
            <w:tcW w:w="1080" w:type="dxa"/>
            <w:vAlign w:val="bottom"/>
            <w:tcBorders>
              <w:top w:val="single" w:sz="8" w:color="auto"/>
            </w:tcBorders>
            <w:shd w:val="clear" w:color="auto" w:fill="DCE2EF"/>
          </w:tcPr>
          <w:p>
            <w:pPr>
              <w:spacing w:after="0"/>
              <w:rPr>
                <w:sz w:val="21"/>
                <w:szCs w:val="21"/>
                <w:color w:val="auto"/>
              </w:rPr>
            </w:pPr>
          </w:p>
        </w:tc>
        <w:tc>
          <w:tcPr>
            <w:tcW w:w="580" w:type="dxa"/>
            <w:vAlign w:val="bottom"/>
            <w:tcBorders>
              <w:top w:val="single" w:sz="8" w:color="auto"/>
            </w:tcBorders>
            <w:shd w:val="clear" w:color="auto" w:fill="DCE2EF"/>
          </w:tcPr>
          <w:p>
            <w:pPr>
              <w:spacing w:after="0"/>
              <w:rPr>
                <w:sz w:val="21"/>
                <w:szCs w:val="21"/>
                <w:color w:val="auto"/>
              </w:rPr>
            </w:pPr>
          </w:p>
        </w:tc>
        <w:tc>
          <w:tcPr>
            <w:tcW w:w="220" w:type="dxa"/>
            <w:vAlign w:val="bottom"/>
            <w:shd w:val="clear" w:color="auto" w:fill="DCE2EF"/>
          </w:tcPr>
          <w:p>
            <w:pPr>
              <w:spacing w:after="0"/>
              <w:rPr>
                <w:sz w:val="21"/>
                <w:szCs w:val="21"/>
                <w:color w:val="auto"/>
              </w:rPr>
            </w:pPr>
          </w:p>
        </w:tc>
        <w:tc>
          <w:tcPr>
            <w:tcW w:w="1140" w:type="dxa"/>
            <w:vAlign w:val="bottom"/>
            <w:tcBorders>
              <w:top w:val="single" w:sz="8" w:color="auto"/>
            </w:tcBorders>
            <w:shd w:val="clear" w:color="auto" w:fill="DCE2EF"/>
          </w:tcPr>
          <w:p>
            <w:pPr>
              <w:spacing w:after="0"/>
              <w:rPr>
                <w:sz w:val="21"/>
                <w:szCs w:val="21"/>
                <w:color w:val="auto"/>
              </w:rPr>
            </w:pPr>
          </w:p>
        </w:tc>
        <w:tc>
          <w:tcPr>
            <w:tcW w:w="560" w:type="dxa"/>
            <w:vAlign w:val="bottom"/>
            <w:tcBorders>
              <w:top w:val="single" w:sz="8" w:color="auto"/>
            </w:tcBorders>
            <w:shd w:val="clear" w:color="auto" w:fill="DCE2EF"/>
          </w:tcPr>
          <w:p>
            <w:pPr>
              <w:spacing w:after="0"/>
              <w:rPr>
                <w:sz w:val="21"/>
                <w:szCs w:val="21"/>
                <w:color w:val="auto"/>
              </w:rPr>
            </w:pPr>
          </w:p>
        </w:tc>
        <w:tc>
          <w:tcPr>
            <w:tcW w:w="220" w:type="dxa"/>
            <w:vAlign w:val="bottom"/>
            <w:shd w:val="clear" w:color="auto" w:fill="DCE2EF"/>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7440" w:type="dxa"/>
            <w:vAlign w:val="bottom"/>
          </w:tcPr>
          <w:p>
            <w:pPr>
              <w:ind w:left="60"/>
              <w:spacing w:after="0"/>
              <w:rPr>
                <w:sz w:val="20"/>
                <w:szCs w:val="20"/>
                <w:color w:val="auto"/>
              </w:rPr>
            </w:pPr>
            <w:r>
              <w:rPr>
                <w:rFonts w:ascii="Arial" w:cs="Arial" w:eastAsia="Arial" w:hAnsi="Arial"/>
                <w:sz w:val="15"/>
                <w:szCs w:val="15"/>
                <w:color w:val="auto"/>
              </w:rPr>
              <w:t>Revenue</w:t>
            </w:r>
          </w:p>
        </w:tc>
        <w:tc>
          <w:tcPr>
            <w:tcW w:w="1080" w:type="dxa"/>
            <w:vAlign w:val="bottom"/>
          </w:tcPr>
          <w:p>
            <w:pPr>
              <w:jc w:val="center"/>
              <w:ind w:left="524"/>
              <w:spacing w:after="0"/>
              <w:rPr>
                <w:sz w:val="20"/>
                <w:szCs w:val="20"/>
                <w:color w:val="auto"/>
              </w:rPr>
            </w:pPr>
            <w:r>
              <w:rPr>
                <w:rFonts w:ascii="Arial" w:cs="Arial" w:eastAsia="Arial" w:hAnsi="Arial"/>
                <w:sz w:val="15"/>
                <w:szCs w:val="15"/>
                <w:color w:val="auto"/>
                <w:w w:val="95"/>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2,114.9</w:t>
            </w:r>
          </w:p>
        </w:tc>
        <w:tc>
          <w:tcPr>
            <w:tcW w:w="1360" w:type="dxa"/>
            <w:vAlign w:val="bottom"/>
            <w:gridSpan w:val="2"/>
          </w:tcPr>
          <w:p>
            <w:pPr>
              <w:jc w:val="center"/>
              <w:ind w:left="744"/>
              <w:spacing w:after="0"/>
              <w:rPr>
                <w:sz w:val="20"/>
                <w:szCs w:val="20"/>
                <w:color w:val="auto"/>
              </w:rPr>
            </w:pPr>
            <w:r>
              <w:rPr>
                <w:rFonts w:ascii="Arial" w:cs="Arial" w:eastAsia="Arial" w:hAnsi="Arial"/>
                <w:sz w:val="15"/>
                <w:szCs w:val="15"/>
                <w:color w:val="auto"/>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2,069.6</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440" w:type="dxa"/>
            <w:vAlign w:val="bottom"/>
            <w:tcBorders>
              <w:bottom w:val="single" w:sz="8" w:color="DCE2EF"/>
            </w:tcBorders>
            <w:shd w:val="clear" w:color="auto" w:fill="DCE2EF"/>
          </w:tcPr>
          <w:p>
            <w:pPr>
              <w:ind w:left="140"/>
              <w:spacing w:after="0"/>
              <w:rPr>
                <w:sz w:val="20"/>
                <w:szCs w:val="20"/>
                <w:color w:val="auto"/>
              </w:rPr>
            </w:pPr>
            <w:r>
              <w:rPr>
                <w:rFonts w:ascii="Arial" w:cs="Arial" w:eastAsia="Arial" w:hAnsi="Arial"/>
                <w:sz w:val="15"/>
                <w:szCs w:val="15"/>
                <w:color w:val="auto"/>
              </w:rPr>
              <w:t>Management Reimbursement</w:t>
            </w:r>
          </w:p>
        </w:tc>
        <w:tc>
          <w:tcPr>
            <w:tcW w:w="1080" w:type="dxa"/>
            <w:vAlign w:val="bottom"/>
            <w:tcBorders>
              <w:bottom w:val="single" w:sz="8" w:color="auto"/>
            </w:tcBorders>
            <w:shd w:val="clear" w:color="auto" w:fill="DCE2EF"/>
          </w:tcPr>
          <w:p>
            <w:pPr>
              <w:spacing w:after="0"/>
              <w:rPr>
                <w:sz w:val="22"/>
                <w:szCs w:val="22"/>
                <w:color w:val="auto"/>
              </w:rPr>
            </w:pPr>
          </w:p>
        </w:tc>
        <w:tc>
          <w:tcPr>
            <w:tcW w:w="5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(82.0)</w:t>
            </w:r>
          </w:p>
        </w:tc>
        <w:tc>
          <w:tcPr>
            <w:tcW w:w="220" w:type="dxa"/>
            <w:vAlign w:val="bottom"/>
            <w:tcBorders>
              <w:bottom w:val="single" w:sz="8" w:color="DCE2EF"/>
            </w:tcBorders>
            <w:shd w:val="clear" w:color="auto" w:fill="DCE2EF"/>
          </w:tcPr>
          <w:p>
            <w:pPr>
              <w:spacing w:after="0"/>
              <w:rPr>
                <w:sz w:val="22"/>
                <w:szCs w:val="22"/>
                <w:color w:val="auto"/>
              </w:rPr>
            </w:pPr>
          </w:p>
        </w:tc>
        <w:tc>
          <w:tcPr>
            <w:tcW w:w="1140" w:type="dxa"/>
            <w:vAlign w:val="bottom"/>
            <w:tcBorders>
              <w:bottom w:val="single" w:sz="8" w:color="auto"/>
            </w:tcBorders>
            <w:shd w:val="clear" w:color="auto" w:fill="DCE2EF"/>
          </w:tcPr>
          <w:p>
            <w:pPr>
              <w:spacing w:after="0"/>
              <w:rPr>
                <w:sz w:val="22"/>
                <w:szCs w:val="22"/>
                <w:color w:val="auto"/>
              </w:rPr>
            </w:pPr>
          </w:p>
        </w:tc>
        <w:tc>
          <w:tcPr>
            <w:tcW w:w="5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(80.1)</w:t>
            </w:r>
          </w:p>
        </w:tc>
        <w:tc>
          <w:tcPr>
            <w:tcW w:w="220" w:type="dxa"/>
            <w:vAlign w:val="bottom"/>
            <w:tcBorders>
              <w:bottom w:val="single" w:sz="8" w:color="DCE2EF"/>
            </w:tcBorders>
            <w:shd w:val="clear" w:color="auto" w:fill="DCE2EF"/>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7440" w:type="dxa"/>
            <w:vAlign w:val="bottom"/>
          </w:tcPr>
          <w:p>
            <w:pPr>
              <w:ind w:left="60"/>
              <w:spacing w:after="0"/>
              <w:rPr>
                <w:sz w:val="20"/>
                <w:szCs w:val="20"/>
                <w:color w:val="auto"/>
              </w:rPr>
            </w:pPr>
            <w:r>
              <w:rPr>
                <w:rFonts w:ascii="Arial" w:cs="Arial" w:eastAsia="Arial" w:hAnsi="Arial"/>
                <w:sz w:val="14"/>
                <w:szCs w:val="14"/>
                <w:color w:val="auto"/>
              </w:rPr>
              <w:t>Revenues excluding management reimbursement</w:t>
            </w:r>
          </w:p>
        </w:tc>
        <w:tc>
          <w:tcPr>
            <w:tcW w:w="1080" w:type="dxa"/>
            <w:vAlign w:val="bottom"/>
          </w:tcPr>
          <w:p>
            <w:pPr>
              <w:jc w:val="center"/>
              <w:ind w:left="524"/>
              <w:spacing w:after="0"/>
              <w:rPr>
                <w:sz w:val="20"/>
                <w:szCs w:val="20"/>
                <w:color w:val="auto"/>
              </w:rPr>
            </w:pPr>
            <w:r>
              <w:rPr>
                <w:rFonts w:ascii="Arial" w:cs="Arial" w:eastAsia="Arial" w:hAnsi="Arial"/>
                <w:sz w:val="15"/>
                <w:szCs w:val="15"/>
                <w:color w:val="auto"/>
                <w:w w:val="95"/>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2,032.9</w:t>
            </w:r>
          </w:p>
        </w:tc>
        <w:tc>
          <w:tcPr>
            <w:tcW w:w="1360" w:type="dxa"/>
            <w:vAlign w:val="bottom"/>
            <w:gridSpan w:val="2"/>
          </w:tcPr>
          <w:p>
            <w:pPr>
              <w:jc w:val="center"/>
              <w:ind w:left="744"/>
              <w:spacing w:after="0"/>
              <w:rPr>
                <w:sz w:val="20"/>
                <w:szCs w:val="20"/>
                <w:color w:val="auto"/>
              </w:rPr>
            </w:pPr>
            <w:r>
              <w:rPr>
                <w:rFonts w:ascii="Arial" w:cs="Arial" w:eastAsia="Arial" w:hAnsi="Arial"/>
                <w:sz w:val="15"/>
                <w:szCs w:val="15"/>
                <w:color w:val="auto"/>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1,989.5</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7440" w:type="dxa"/>
            <w:vAlign w:val="bottom"/>
            <w:shd w:val="clear" w:color="auto" w:fill="DCE2EF"/>
          </w:tcPr>
          <w:p>
            <w:pPr>
              <w:spacing w:after="0"/>
              <w:rPr>
                <w:sz w:val="20"/>
                <w:szCs w:val="20"/>
                <w:color w:val="auto"/>
              </w:rPr>
            </w:pPr>
          </w:p>
        </w:tc>
        <w:tc>
          <w:tcPr>
            <w:tcW w:w="1080" w:type="dxa"/>
            <w:vAlign w:val="bottom"/>
            <w:shd w:val="clear" w:color="auto" w:fill="DCE2EF"/>
          </w:tcPr>
          <w:p>
            <w:pPr>
              <w:spacing w:after="0"/>
              <w:rPr>
                <w:sz w:val="20"/>
                <w:szCs w:val="20"/>
                <w:color w:val="auto"/>
              </w:rPr>
            </w:pPr>
          </w:p>
        </w:tc>
        <w:tc>
          <w:tcPr>
            <w:tcW w:w="580" w:type="dxa"/>
            <w:vAlign w:val="bottom"/>
            <w:shd w:val="clear" w:color="auto" w:fill="DCE2EF"/>
          </w:tcPr>
          <w:p>
            <w:pPr>
              <w:spacing w:after="0"/>
              <w:rPr>
                <w:sz w:val="20"/>
                <w:szCs w:val="20"/>
                <w:color w:val="auto"/>
              </w:rPr>
            </w:pPr>
          </w:p>
        </w:tc>
        <w:tc>
          <w:tcPr>
            <w:tcW w:w="220" w:type="dxa"/>
            <w:vAlign w:val="bottom"/>
            <w:shd w:val="clear" w:color="auto" w:fill="DCE2EF"/>
          </w:tcPr>
          <w:p>
            <w:pPr>
              <w:spacing w:after="0"/>
              <w:rPr>
                <w:sz w:val="20"/>
                <w:szCs w:val="20"/>
                <w:color w:val="auto"/>
              </w:rPr>
            </w:pPr>
          </w:p>
        </w:tc>
        <w:tc>
          <w:tcPr>
            <w:tcW w:w="1140" w:type="dxa"/>
            <w:vAlign w:val="bottom"/>
            <w:shd w:val="clear" w:color="auto" w:fill="DCE2EF"/>
          </w:tcPr>
          <w:p>
            <w:pPr>
              <w:spacing w:after="0"/>
              <w:rPr>
                <w:sz w:val="20"/>
                <w:szCs w:val="20"/>
                <w:color w:val="auto"/>
              </w:rPr>
            </w:pPr>
          </w:p>
        </w:tc>
        <w:tc>
          <w:tcPr>
            <w:tcW w:w="560" w:type="dxa"/>
            <w:vAlign w:val="bottom"/>
            <w:shd w:val="clear" w:color="auto" w:fill="DCE2EF"/>
          </w:tcPr>
          <w:p>
            <w:pPr>
              <w:spacing w:after="0"/>
              <w:rPr>
                <w:sz w:val="20"/>
                <w:szCs w:val="20"/>
                <w:color w:val="auto"/>
              </w:rPr>
            </w:pPr>
          </w:p>
        </w:tc>
        <w:tc>
          <w:tcPr>
            <w:tcW w:w="220" w:type="dxa"/>
            <w:vAlign w:val="bottom"/>
            <w:shd w:val="clear" w:color="auto" w:fill="DCE2EF"/>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7440" w:type="dxa"/>
            <w:vAlign w:val="bottom"/>
          </w:tcPr>
          <w:p>
            <w:pPr>
              <w:ind w:left="60"/>
              <w:spacing w:after="0"/>
              <w:rPr>
                <w:sz w:val="20"/>
                <w:szCs w:val="20"/>
                <w:color w:val="auto"/>
              </w:rPr>
            </w:pPr>
            <w:r>
              <w:rPr>
                <w:rFonts w:ascii="Arial" w:cs="Arial" w:eastAsia="Arial" w:hAnsi="Arial"/>
                <w:sz w:val="15"/>
                <w:szCs w:val="15"/>
                <w:b w:val="1"/>
                <w:bCs w:val="1"/>
                <w:color w:val="auto"/>
              </w:rPr>
              <w:t>Adjusted EBITDA margin as a % of revenues excluding management reimbursement</w:t>
            </w:r>
          </w:p>
        </w:tc>
        <w:tc>
          <w:tcPr>
            <w:tcW w:w="1080" w:type="dxa"/>
            <w:vAlign w:val="bottom"/>
          </w:tcPr>
          <w:p>
            <w:pPr>
              <w:spacing w:after="0"/>
              <w:rPr>
                <w:sz w:val="22"/>
                <w:szCs w:val="22"/>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5.9 %</w:t>
            </w: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5.9 %</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5"/>
        </w:trPr>
        <w:tc>
          <w:tcPr>
            <w:tcW w:w="74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-596900</wp:posOffset>
            </wp:positionV>
            <wp:extent cx="137160" cy="114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37160" cy="1143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-596900</wp:posOffset>
            </wp:positionV>
            <wp:extent cx="145415" cy="114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45415" cy="1143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8"/>
        </w:trPr>
        <w:tc>
          <w:tcPr>
            <w:tcW w:w="7440" w:type="dxa"/>
            <w:vAlign w:val="bottom"/>
          </w:tcPr>
          <w:p>
            <w:pPr>
              <w:spacing w:after="0"/>
              <w:rPr>
                <w:sz w:val="18"/>
                <w:szCs w:val="18"/>
                <w:color w:val="auto"/>
              </w:rPr>
            </w:pPr>
          </w:p>
        </w:tc>
        <w:tc>
          <w:tcPr>
            <w:tcW w:w="314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5"/>
                <w:szCs w:val="15"/>
                <w:b w:val="1"/>
                <w:bCs w:val="1"/>
                <w:color w:val="auto"/>
              </w:rPr>
              <w:t>Three Months Ended January 31,</w:t>
            </w:r>
          </w:p>
        </w:tc>
        <w:tc>
          <w:tcPr>
            <w:tcW w:w="4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7440" w:type="dxa"/>
            <w:vAlign w:val="bottom"/>
          </w:tcPr>
          <w:p>
            <w:pPr>
              <w:spacing w:after="0"/>
              <w:rPr>
                <w:sz w:val="20"/>
                <w:szCs w:val="20"/>
                <w:color w:val="auto"/>
              </w:rPr>
            </w:pPr>
          </w:p>
        </w:tc>
        <w:tc>
          <w:tcPr>
            <w:tcW w:w="1240" w:type="dxa"/>
            <w:vAlign w:val="bottom"/>
          </w:tcPr>
          <w:p>
            <w:pPr>
              <w:jc w:val="right"/>
              <w:ind w:right="165"/>
              <w:spacing w:after="0"/>
              <w:rPr>
                <w:sz w:val="20"/>
                <w:szCs w:val="20"/>
                <w:color w:val="auto"/>
              </w:rPr>
            </w:pPr>
            <w:r>
              <w:rPr>
                <w:rFonts w:ascii="Arial" w:cs="Arial" w:eastAsia="Arial" w:hAnsi="Arial"/>
                <w:sz w:val="15"/>
                <w:szCs w:val="15"/>
                <w:b w:val="1"/>
                <w:bCs w:val="1"/>
                <w:color w:val="auto"/>
              </w:rPr>
              <w:t>2025</w:t>
            </w:r>
          </w:p>
        </w:tc>
        <w:tc>
          <w:tcPr>
            <w:tcW w:w="42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5"/>
                <w:szCs w:val="15"/>
                <w:b w:val="1"/>
                <w:bCs w:val="1"/>
                <w:color w:val="auto"/>
              </w:rPr>
              <w:t>2024</w:t>
            </w: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7440" w:type="dxa"/>
            <w:vAlign w:val="bottom"/>
            <w:shd w:val="clear" w:color="auto" w:fill="DCE2EF"/>
          </w:tcPr>
          <w:p>
            <w:pPr>
              <w:ind w:left="60"/>
              <w:spacing w:after="0"/>
              <w:rPr>
                <w:sz w:val="20"/>
                <w:szCs w:val="20"/>
                <w:color w:val="auto"/>
              </w:rPr>
            </w:pPr>
            <w:r>
              <w:rPr>
                <w:rFonts w:ascii="Arial" w:cs="Arial" w:eastAsia="Arial" w:hAnsi="Arial"/>
                <w:sz w:val="15"/>
                <w:szCs w:val="15"/>
                <w:b w:val="1"/>
                <w:bCs w:val="1"/>
                <w:color w:val="auto"/>
              </w:rPr>
              <w:t>Reconciliation of Net Income per Diluted Share to Adjusted Net Income per Diluted Share</w:t>
            </w:r>
          </w:p>
        </w:tc>
        <w:tc>
          <w:tcPr>
            <w:tcW w:w="1240" w:type="dxa"/>
            <w:vAlign w:val="bottom"/>
            <w:tcBorders>
              <w:top w:val="single" w:sz="8" w:color="auto"/>
            </w:tcBorders>
            <w:shd w:val="clear" w:color="auto" w:fill="DCE2EF"/>
          </w:tcPr>
          <w:p>
            <w:pPr>
              <w:spacing w:after="0"/>
              <w:rPr>
                <w:sz w:val="20"/>
                <w:szCs w:val="20"/>
                <w:color w:val="auto"/>
              </w:rPr>
            </w:pPr>
          </w:p>
        </w:tc>
        <w:tc>
          <w:tcPr>
            <w:tcW w:w="420" w:type="dxa"/>
            <w:vAlign w:val="bottom"/>
            <w:tcBorders>
              <w:top w:val="single" w:sz="8" w:color="auto"/>
            </w:tcBorders>
            <w:shd w:val="clear" w:color="auto" w:fill="DCE2EF"/>
          </w:tcPr>
          <w:p>
            <w:pPr>
              <w:spacing w:after="0"/>
              <w:rPr>
                <w:sz w:val="20"/>
                <w:szCs w:val="20"/>
                <w:color w:val="auto"/>
              </w:rPr>
            </w:pPr>
          </w:p>
        </w:tc>
        <w:tc>
          <w:tcPr>
            <w:tcW w:w="220" w:type="dxa"/>
            <w:vAlign w:val="bottom"/>
            <w:shd w:val="clear" w:color="auto" w:fill="DCE2EF"/>
          </w:tcPr>
          <w:p>
            <w:pPr>
              <w:spacing w:after="0"/>
              <w:rPr>
                <w:sz w:val="20"/>
                <w:szCs w:val="20"/>
                <w:color w:val="auto"/>
              </w:rPr>
            </w:pPr>
          </w:p>
        </w:tc>
        <w:tc>
          <w:tcPr>
            <w:tcW w:w="1260" w:type="dxa"/>
            <w:vAlign w:val="bottom"/>
            <w:tcBorders>
              <w:top w:val="single" w:sz="8" w:color="auto"/>
            </w:tcBorders>
            <w:shd w:val="clear" w:color="auto" w:fill="DCE2EF"/>
          </w:tcPr>
          <w:p>
            <w:pPr>
              <w:spacing w:after="0"/>
              <w:rPr>
                <w:sz w:val="20"/>
                <w:szCs w:val="20"/>
                <w:color w:val="auto"/>
              </w:rPr>
            </w:pPr>
          </w:p>
        </w:tc>
        <w:tc>
          <w:tcPr>
            <w:tcW w:w="440" w:type="dxa"/>
            <w:vAlign w:val="bottom"/>
            <w:tcBorders>
              <w:top w:val="single" w:sz="8" w:color="auto"/>
            </w:tcBorders>
            <w:shd w:val="clear" w:color="auto" w:fill="DCE2EF"/>
          </w:tcPr>
          <w:p>
            <w:pPr>
              <w:spacing w:after="0"/>
              <w:rPr>
                <w:sz w:val="20"/>
                <w:szCs w:val="20"/>
                <w:color w:val="auto"/>
              </w:rPr>
            </w:pPr>
          </w:p>
        </w:tc>
        <w:tc>
          <w:tcPr>
            <w:tcW w:w="220" w:type="dxa"/>
            <w:vAlign w:val="bottom"/>
            <w:shd w:val="clear" w:color="auto" w:fill="DCE2EF"/>
          </w:tcPr>
          <w:p>
            <w:pPr>
              <w:spacing w:after="0"/>
              <w:rPr>
                <w:sz w:val="20"/>
                <w:szCs w:val="20"/>
                <w:color w:val="auto"/>
              </w:rPr>
            </w:pPr>
          </w:p>
        </w:tc>
        <w:tc>
          <w:tcPr>
            <w:tcW w:w="0" w:type="dxa"/>
            <w:vAlign w:val="bottom"/>
          </w:tcPr>
          <w:p>
            <w:pPr>
              <w:spacing w:after="0"/>
              <w:rPr>
                <w:sz w:val="1"/>
                <w:szCs w:val="1"/>
                <w:color w:val="auto"/>
              </w:rPr>
            </w:pPr>
          </w:p>
        </w:tc>
      </w:tr>
      <w:tr>
        <w:trPr>
          <w:trHeight w:val="160"/>
        </w:trPr>
        <w:tc>
          <w:tcPr>
            <w:tcW w:w="7440" w:type="dxa"/>
            <w:vAlign w:val="bottom"/>
            <w:shd w:val="clear" w:color="auto" w:fill="DCE2EF"/>
          </w:tcPr>
          <w:p>
            <w:pPr>
              <w:spacing w:after="0"/>
              <w:rPr>
                <w:sz w:val="13"/>
                <w:szCs w:val="13"/>
                <w:color w:val="auto"/>
              </w:rPr>
            </w:pPr>
          </w:p>
        </w:tc>
        <w:tc>
          <w:tcPr>
            <w:tcW w:w="1240" w:type="dxa"/>
            <w:vAlign w:val="bottom"/>
            <w:shd w:val="clear" w:color="auto" w:fill="DCE2EF"/>
          </w:tcPr>
          <w:p>
            <w:pPr>
              <w:spacing w:after="0"/>
              <w:rPr>
                <w:sz w:val="13"/>
                <w:szCs w:val="13"/>
                <w:color w:val="auto"/>
              </w:rPr>
            </w:pPr>
          </w:p>
        </w:tc>
        <w:tc>
          <w:tcPr>
            <w:tcW w:w="420" w:type="dxa"/>
            <w:vAlign w:val="bottom"/>
            <w:shd w:val="clear" w:color="auto" w:fill="DCE2EF"/>
          </w:tcPr>
          <w:p>
            <w:pPr>
              <w:spacing w:after="0"/>
              <w:rPr>
                <w:sz w:val="13"/>
                <w:szCs w:val="13"/>
                <w:color w:val="auto"/>
              </w:rPr>
            </w:pPr>
          </w:p>
        </w:tc>
        <w:tc>
          <w:tcPr>
            <w:tcW w:w="220" w:type="dxa"/>
            <w:vAlign w:val="bottom"/>
            <w:shd w:val="clear" w:color="auto" w:fill="DCE2EF"/>
          </w:tcPr>
          <w:p>
            <w:pPr>
              <w:spacing w:after="0"/>
              <w:rPr>
                <w:sz w:val="13"/>
                <w:szCs w:val="13"/>
                <w:color w:val="auto"/>
              </w:rPr>
            </w:pPr>
          </w:p>
        </w:tc>
        <w:tc>
          <w:tcPr>
            <w:tcW w:w="1260" w:type="dxa"/>
            <w:vAlign w:val="bottom"/>
            <w:shd w:val="clear" w:color="auto" w:fill="DCE2EF"/>
          </w:tcPr>
          <w:p>
            <w:pPr>
              <w:spacing w:after="0"/>
              <w:rPr>
                <w:sz w:val="13"/>
                <w:szCs w:val="13"/>
                <w:color w:val="auto"/>
              </w:rPr>
            </w:pPr>
          </w:p>
        </w:tc>
        <w:tc>
          <w:tcPr>
            <w:tcW w:w="440" w:type="dxa"/>
            <w:vAlign w:val="bottom"/>
            <w:shd w:val="clear" w:color="auto" w:fill="DCE2EF"/>
          </w:tcPr>
          <w:p>
            <w:pPr>
              <w:spacing w:after="0"/>
              <w:rPr>
                <w:sz w:val="13"/>
                <w:szCs w:val="13"/>
                <w:color w:val="auto"/>
              </w:rPr>
            </w:pPr>
          </w:p>
        </w:tc>
        <w:tc>
          <w:tcPr>
            <w:tcW w:w="220" w:type="dxa"/>
            <w:vAlign w:val="bottom"/>
            <w:shd w:val="clear" w:color="auto" w:fill="DCE2EF"/>
          </w:tcPr>
          <w:p>
            <w:pPr>
              <w:spacing w:after="0"/>
              <w:rPr>
                <w:sz w:val="13"/>
                <w:szCs w:val="13"/>
                <w:color w:val="auto"/>
              </w:rPr>
            </w:pPr>
          </w:p>
        </w:tc>
        <w:tc>
          <w:tcPr>
            <w:tcW w:w="0" w:type="dxa"/>
            <w:vAlign w:val="bottom"/>
          </w:tcPr>
          <w:p>
            <w:pPr>
              <w:spacing w:after="0"/>
              <w:rPr>
                <w:sz w:val="1"/>
                <w:szCs w:val="1"/>
                <w:color w:val="auto"/>
              </w:rPr>
            </w:pPr>
          </w:p>
        </w:tc>
      </w:tr>
      <w:tr>
        <w:trPr>
          <w:trHeight w:val="253"/>
        </w:trPr>
        <w:tc>
          <w:tcPr>
            <w:tcW w:w="7440" w:type="dxa"/>
            <w:vAlign w:val="bottom"/>
          </w:tcPr>
          <w:p>
            <w:pPr>
              <w:ind w:left="60"/>
              <w:spacing w:after="0"/>
              <w:rPr>
                <w:sz w:val="20"/>
                <w:szCs w:val="20"/>
                <w:color w:val="auto"/>
              </w:rPr>
            </w:pPr>
            <w:r>
              <w:rPr>
                <w:rFonts w:ascii="Arial" w:cs="Arial" w:eastAsia="Arial" w:hAnsi="Arial"/>
                <w:sz w:val="15"/>
                <w:szCs w:val="15"/>
                <w:color w:val="auto"/>
              </w:rPr>
              <w:t>Net income per diluted share</w:t>
            </w:r>
          </w:p>
        </w:tc>
        <w:tc>
          <w:tcPr>
            <w:tcW w:w="1240" w:type="dxa"/>
            <w:vAlign w:val="bottom"/>
          </w:tcPr>
          <w:p>
            <w:pPr>
              <w:jc w:val="right"/>
              <w:ind w:right="25"/>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0.69</w:t>
            </w:r>
          </w:p>
        </w:tc>
        <w:tc>
          <w:tcPr>
            <w:tcW w:w="14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0.70</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440" w:type="dxa"/>
            <w:vAlign w:val="bottom"/>
            <w:tcBorders>
              <w:bottom w:val="single" w:sz="8" w:color="DCE2EF"/>
            </w:tcBorders>
            <w:shd w:val="clear" w:color="auto" w:fill="DCE2EF"/>
          </w:tcPr>
          <w:p>
            <w:pPr>
              <w:ind w:left="140"/>
              <w:spacing w:after="0"/>
              <w:rPr>
                <w:sz w:val="20"/>
                <w:szCs w:val="20"/>
                <w:color w:val="auto"/>
              </w:rPr>
            </w:pPr>
            <w:r>
              <w:rPr>
                <w:rFonts w:ascii="Arial" w:cs="Arial" w:eastAsia="Arial" w:hAnsi="Arial"/>
                <w:sz w:val="15"/>
                <w:szCs w:val="15"/>
                <w:color w:val="auto"/>
              </w:rPr>
              <w:t>Items impacting comparability, net of taxes</w:t>
            </w:r>
          </w:p>
        </w:tc>
        <w:tc>
          <w:tcPr>
            <w:tcW w:w="1240" w:type="dxa"/>
            <w:vAlign w:val="bottom"/>
            <w:tcBorders>
              <w:bottom w:val="single" w:sz="8" w:color="auto"/>
            </w:tcBorders>
            <w:shd w:val="clear" w:color="auto" w:fill="DCE2EF"/>
          </w:tcPr>
          <w:p>
            <w:pPr>
              <w:spacing w:after="0"/>
              <w:rPr>
                <w:sz w:val="22"/>
                <w:szCs w:val="22"/>
                <w:color w:val="auto"/>
              </w:rPr>
            </w:pPr>
          </w:p>
        </w:tc>
        <w:tc>
          <w:tcPr>
            <w:tcW w:w="4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0.19</w:t>
            </w:r>
          </w:p>
        </w:tc>
        <w:tc>
          <w:tcPr>
            <w:tcW w:w="220" w:type="dxa"/>
            <w:vAlign w:val="bottom"/>
            <w:tcBorders>
              <w:bottom w:val="single" w:sz="8" w:color="DCE2EF"/>
            </w:tcBorders>
            <w:shd w:val="clear" w:color="auto" w:fill="DCE2EF"/>
          </w:tcPr>
          <w:p>
            <w:pPr>
              <w:spacing w:after="0"/>
              <w:rPr>
                <w:sz w:val="22"/>
                <w:szCs w:val="22"/>
                <w:color w:val="auto"/>
              </w:rPr>
            </w:pPr>
          </w:p>
        </w:tc>
        <w:tc>
          <w:tcPr>
            <w:tcW w:w="1260" w:type="dxa"/>
            <w:vAlign w:val="bottom"/>
            <w:tcBorders>
              <w:bottom w:val="single" w:sz="8" w:color="auto"/>
            </w:tcBorders>
            <w:shd w:val="clear" w:color="auto" w:fill="DCE2EF"/>
          </w:tcPr>
          <w:p>
            <w:pPr>
              <w:spacing w:after="0"/>
              <w:rPr>
                <w:sz w:val="22"/>
                <w:szCs w:val="22"/>
                <w:color w:val="auto"/>
              </w:rPr>
            </w:pPr>
          </w:p>
        </w:tc>
        <w:tc>
          <w:tcPr>
            <w:tcW w:w="4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0.16</w:t>
            </w:r>
          </w:p>
        </w:tc>
        <w:tc>
          <w:tcPr>
            <w:tcW w:w="220" w:type="dxa"/>
            <w:vAlign w:val="bottom"/>
            <w:tcBorders>
              <w:bottom w:val="single" w:sz="8" w:color="DCE2EF"/>
            </w:tcBorders>
            <w:shd w:val="clear" w:color="auto" w:fill="DCE2EF"/>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7440" w:type="dxa"/>
            <w:vAlign w:val="bottom"/>
          </w:tcPr>
          <w:p>
            <w:pPr>
              <w:ind w:left="60"/>
              <w:spacing w:after="0"/>
              <w:rPr>
                <w:sz w:val="20"/>
                <w:szCs w:val="20"/>
                <w:color w:val="auto"/>
              </w:rPr>
            </w:pPr>
            <w:r>
              <w:rPr>
                <w:rFonts w:ascii="Arial" w:cs="Arial" w:eastAsia="Arial" w:hAnsi="Arial"/>
                <w:sz w:val="15"/>
                <w:szCs w:val="15"/>
                <w:color w:val="auto"/>
              </w:rPr>
              <w:t>Adjusted net income per diluted share</w:t>
            </w:r>
          </w:p>
        </w:tc>
        <w:tc>
          <w:tcPr>
            <w:tcW w:w="1240" w:type="dxa"/>
            <w:vAlign w:val="bottom"/>
          </w:tcPr>
          <w:p>
            <w:pPr>
              <w:jc w:val="right"/>
              <w:ind w:right="65"/>
              <w:spacing w:after="0"/>
              <w:rPr>
                <w:sz w:val="20"/>
                <w:szCs w:val="20"/>
                <w:color w:val="auto"/>
              </w:rPr>
            </w:pPr>
            <w:r>
              <w:rPr>
                <w:rFonts w:ascii="Arial" w:cs="Arial" w:eastAsia="Arial" w:hAnsi="Arial"/>
                <w:sz w:val="15"/>
                <w:szCs w:val="15"/>
                <w:color w:val="auto"/>
              </w:rPr>
              <w:t>$</w:t>
            </w:r>
          </w:p>
        </w:tc>
        <w:tc>
          <w:tcPr>
            <w:tcW w:w="420" w:type="dxa"/>
            <w:vAlign w:val="bottom"/>
          </w:tcPr>
          <w:p>
            <w:pPr>
              <w:jc w:val="right"/>
              <w:spacing w:after="0"/>
              <w:rPr>
                <w:sz w:val="20"/>
                <w:szCs w:val="20"/>
                <w:color w:val="auto"/>
              </w:rPr>
            </w:pPr>
            <w:r>
              <w:rPr>
                <w:rFonts w:ascii="Arial" w:cs="Arial" w:eastAsia="Arial" w:hAnsi="Arial"/>
                <w:sz w:val="15"/>
                <w:szCs w:val="15"/>
                <w:color w:val="auto"/>
              </w:rPr>
              <w:t>0.87</w:t>
            </w:r>
          </w:p>
        </w:tc>
        <w:tc>
          <w:tcPr>
            <w:tcW w:w="14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440" w:type="dxa"/>
            <w:vAlign w:val="bottom"/>
          </w:tcPr>
          <w:p>
            <w:pPr>
              <w:jc w:val="right"/>
              <w:spacing w:after="0"/>
              <w:rPr>
                <w:sz w:val="20"/>
                <w:szCs w:val="20"/>
                <w:color w:val="auto"/>
              </w:rPr>
            </w:pPr>
            <w:r>
              <w:rPr>
                <w:rFonts w:ascii="Arial" w:cs="Arial" w:eastAsia="Arial" w:hAnsi="Arial"/>
                <w:sz w:val="15"/>
                <w:szCs w:val="15"/>
                <w:color w:val="auto"/>
              </w:rPr>
              <w:t>0.86</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240" w:type="dxa"/>
            <w:vAlign w:val="bottom"/>
            <w:tcBorders>
              <w:top w:val="single" w:sz="8" w:color="auto"/>
              <w:bottom w:val="single" w:sz="8" w:color="auto"/>
            </w:tcBorders>
          </w:tcPr>
          <w:p>
            <w:pPr>
              <w:spacing w:after="0"/>
              <w:rPr>
                <w:sz w:val="2"/>
                <w:szCs w:val="2"/>
                <w:color w:val="auto"/>
              </w:rPr>
            </w:pPr>
          </w:p>
        </w:tc>
        <w:tc>
          <w:tcPr>
            <w:tcW w:w="420" w:type="dxa"/>
            <w:vAlign w:val="bottom"/>
            <w:tcBorders>
              <w:top w:val="single" w:sz="8" w:color="auto"/>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Borders>
              <w:top w:val="single" w:sz="8" w:color="auto"/>
              <w:bottom w:val="single" w:sz="8" w:color="auto"/>
            </w:tcBorders>
          </w:tcPr>
          <w:p>
            <w:pPr>
              <w:spacing w:after="0"/>
              <w:rPr>
                <w:sz w:val="2"/>
                <w:szCs w:val="2"/>
                <w:color w:val="auto"/>
              </w:rPr>
            </w:pPr>
          </w:p>
        </w:tc>
        <w:tc>
          <w:tcPr>
            <w:tcW w:w="440" w:type="dxa"/>
            <w:vAlign w:val="bottom"/>
            <w:tcBorders>
              <w:top w:val="single" w:sz="8" w:color="auto"/>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7440" w:type="dxa"/>
            <w:vAlign w:val="bottom"/>
            <w:shd w:val="clear" w:color="auto" w:fill="DCE2EF"/>
          </w:tcPr>
          <w:p>
            <w:pPr>
              <w:ind w:left="60"/>
              <w:spacing w:after="0"/>
              <w:rPr>
                <w:sz w:val="20"/>
                <w:szCs w:val="20"/>
                <w:color w:val="auto"/>
              </w:rPr>
            </w:pPr>
            <w:r>
              <w:rPr>
                <w:rFonts w:ascii="Arial" w:cs="Arial" w:eastAsia="Arial" w:hAnsi="Arial"/>
                <w:sz w:val="15"/>
                <w:szCs w:val="15"/>
                <w:color w:val="auto"/>
              </w:rPr>
              <w:t>Diluted shares</w:t>
            </w:r>
          </w:p>
        </w:tc>
        <w:tc>
          <w:tcPr>
            <w:tcW w:w="1240" w:type="dxa"/>
            <w:vAlign w:val="bottom"/>
            <w:shd w:val="clear" w:color="auto" w:fill="DCE2EF"/>
          </w:tcPr>
          <w:p>
            <w:pPr>
              <w:spacing w:after="0"/>
              <w:rPr>
                <w:sz w:val="16"/>
                <w:szCs w:val="16"/>
                <w:color w:val="auto"/>
              </w:rPr>
            </w:pPr>
          </w:p>
        </w:tc>
        <w:tc>
          <w:tcPr>
            <w:tcW w:w="420" w:type="dxa"/>
            <w:vAlign w:val="bottom"/>
            <w:vMerge w:val="restart"/>
            <w:shd w:val="clear" w:color="auto" w:fill="DCE2EF"/>
          </w:tcPr>
          <w:p>
            <w:pPr>
              <w:jc w:val="right"/>
              <w:spacing w:after="0"/>
              <w:rPr>
                <w:sz w:val="20"/>
                <w:szCs w:val="20"/>
                <w:color w:val="auto"/>
              </w:rPr>
            </w:pPr>
            <w:r>
              <w:rPr>
                <w:rFonts w:ascii="Arial" w:cs="Arial" w:eastAsia="Arial" w:hAnsi="Arial"/>
                <w:sz w:val="15"/>
                <w:szCs w:val="15"/>
                <w:color w:val="auto"/>
              </w:rPr>
              <w:t>63.2</w:t>
            </w:r>
          </w:p>
        </w:tc>
        <w:tc>
          <w:tcPr>
            <w:tcW w:w="220" w:type="dxa"/>
            <w:vAlign w:val="bottom"/>
            <w:shd w:val="clear" w:color="auto" w:fill="DCE2EF"/>
          </w:tcPr>
          <w:p>
            <w:pPr>
              <w:spacing w:after="0"/>
              <w:rPr>
                <w:sz w:val="16"/>
                <w:szCs w:val="16"/>
                <w:color w:val="auto"/>
              </w:rPr>
            </w:pPr>
          </w:p>
        </w:tc>
        <w:tc>
          <w:tcPr>
            <w:tcW w:w="1260" w:type="dxa"/>
            <w:vAlign w:val="bottom"/>
            <w:shd w:val="clear" w:color="auto" w:fill="DCE2EF"/>
          </w:tcPr>
          <w:p>
            <w:pPr>
              <w:spacing w:after="0"/>
              <w:rPr>
                <w:sz w:val="16"/>
                <w:szCs w:val="16"/>
                <w:color w:val="auto"/>
              </w:rPr>
            </w:pPr>
          </w:p>
        </w:tc>
        <w:tc>
          <w:tcPr>
            <w:tcW w:w="440" w:type="dxa"/>
            <w:vAlign w:val="bottom"/>
            <w:vMerge w:val="restart"/>
            <w:shd w:val="clear" w:color="auto" w:fill="DCE2EF"/>
          </w:tcPr>
          <w:p>
            <w:pPr>
              <w:jc w:val="right"/>
              <w:spacing w:after="0"/>
              <w:rPr>
                <w:sz w:val="20"/>
                <w:szCs w:val="20"/>
                <w:color w:val="auto"/>
              </w:rPr>
            </w:pPr>
            <w:r>
              <w:rPr>
                <w:rFonts w:ascii="Arial" w:cs="Arial" w:eastAsia="Arial" w:hAnsi="Arial"/>
                <w:sz w:val="15"/>
                <w:szCs w:val="15"/>
                <w:color w:val="auto"/>
              </w:rPr>
              <w:t>63.9</w:t>
            </w:r>
          </w:p>
        </w:tc>
        <w:tc>
          <w:tcPr>
            <w:tcW w:w="220" w:type="dxa"/>
            <w:vAlign w:val="bottom"/>
            <w:shd w:val="clear" w:color="auto" w:fill="DCE2EF"/>
          </w:tcPr>
          <w:p>
            <w:pPr>
              <w:spacing w:after="0"/>
              <w:rPr>
                <w:sz w:val="16"/>
                <w:szCs w:val="16"/>
                <w:color w:val="auto"/>
              </w:rPr>
            </w:pPr>
          </w:p>
        </w:tc>
        <w:tc>
          <w:tcPr>
            <w:tcW w:w="0" w:type="dxa"/>
            <w:vAlign w:val="bottom"/>
          </w:tcPr>
          <w:p>
            <w:pPr>
              <w:spacing w:after="0"/>
              <w:rPr>
                <w:sz w:val="1"/>
                <w:szCs w:val="1"/>
                <w:color w:val="auto"/>
              </w:rPr>
            </w:pPr>
          </w:p>
        </w:tc>
      </w:tr>
      <w:tr>
        <w:trPr>
          <w:trHeight w:val="56"/>
        </w:trPr>
        <w:tc>
          <w:tcPr>
            <w:tcW w:w="7440" w:type="dxa"/>
            <w:vAlign w:val="bottom"/>
            <w:shd w:val="clear" w:color="auto" w:fill="DCE2EF"/>
          </w:tcPr>
          <w:p>
            <w:pPr>
              <w:spacing w:after="0"/>
              <w:rPr>
                <w:sz w:val="4"/>
                <w:szCs w:val="4"/>
                <w:color w:val="auto"/>
              </w:rPr>
            </w:pPr>
          </w:p>
        </w:tc>
        <w:tc>
          <w:tcPr>
            <w:tcW w:w="1240" w:type="dxa"/>
            <w:vAlign w:val="bottom"/>
            <w:shd w:val="clear" w:color="auto" w:fill="DCE2EF"/>
          </w:tcPr>
          <w:p>
            <w:pPr>
              <w:spacing w:after="0"/>
              <w:rPr>
                <w:sz w:val="4"/>
                <w:szCs w:val="4"/>
                <w:color w:val="auto"/>
              </w:rPr>
            </w:pPr>
          </w:p>
        </w:tc>
        <w:tc>
          <w:tcPr>
            <w:tcW w:w="420" w:type="dxa"/>
            <w:vAlign w:val="bottom"/>
            <w:vMerge w:val="continue"/>
            <w:shd w:val="clear" w:color="auto" w:fill="DCE2EF"/>
          </w:tcPr>
          <w:p>
            <w:pPr>
              <w:spacing w:after="0"/>
              <w:rPr>
                <w:sz w:val="4"/>
                <w:szCs w:val="4"/>
                <w:color w:val="auto"/>
              </w:rPr>
            </w:pPr>
          </w:p>
        </w:tc>
        <w:tc>
          <w:tcPr>
            <w:tcW w:w="220" w:type="dxa"/>
            <w:vAlign w:val="bottom"/>
            <w:shd w:val="clear" w:color="auto" w:fill="DCE2EF"/>
          </w:tcPr>
          <w:p>
            <w:pPr>
              <w:spacing w:after="0"/>
              <w:rPr>
                <w:sz w:val="4"/>
                <w:szCs w:val="4"/>
                <w:color w:val="auto"/>
              </w:rPr>
            </w:pPr>
          </w:p>
        </w:tc>
        <w:tc>
          <w:tcPr>
            <w:tcW w:w="1260" w:type="dxa"/>
            <w:vAlign w:val="bottom"/>
            <w:shd w:val="clear" w:color="auto" w:fill="DCE2EF"/>
          </w:tcPr>
          <w:p>
            <w:pPr>
              <w:spacing w:after="0"/>
              <w:rPr>
                <w:sz w:val="4"/>
                <w:szCs w:val="4"/>
                <w:color w:val="auto"/>
              </w:rPr>
            </w:pPr>
          </w:p>
        </w:tc>
        <w:tc>
          <w:tcPr>
            <w:tcW w:w="440" w:type="dxa"/>
            <w:vAlign w:val="bottom"/>
            <w:vMerge w:val="continue"/>
            <w:shd w:val="clear" w:color="auto" w:fill="DCE2EF"/>
          </w:tcPr>
          <w:p>
            <w:pPr>
              <w:spacing w:after="0"/>
              <w:rPr>
                <w:sz w:val="4"/>
                <w:szCs w:val="4"/>
                <w:color w:val="auto"/>
              </w:rPr>
            </w:pPr>
          </w:p>
        </w:tc>
        <w:tc>
          <w:tcPr>
            <w:tcW w:w="220" w:type="dxa"/>
            <w:vAlign w:val="bottom"/>
            <w:shd w:val="clear" w:color="auto" w:fill="DCE2E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-361950</wp:posOffset>
            </wp:positionV>
            <wp:extent cx="137160" cy="114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37160" cy="1143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-361950</wp:posOffset>
            </wp:positionV>
            <wp:extent cx="145415" cy="114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45415" cy="1143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8"/>
        </w:trPr>
        <w:tc>
          <w:tcPr>
            <w:tcW w:w="7440" w:type="dxa"/>
            <w:vAlign w:val="bottom"/>
          </w:tcPr>
          <w:p>
            <w:pPr>
              <w:spacing w:after="0"/>
              <w:rPr>
                <w:sz w:val="18"/>
                <w:szCs w:val="18"/>
                <w:color w:val="auto"/>
              </w:rPr>
            </w:pPr>
          </w:p>
        </w:tc>
        <w:tc>
          <w:tcPr>
            <w:tcW w:w="308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5"/>
                <w:szCs w:val="15"/>
                <w:b w:val="1"/>
                <w:bCs w:val="1"/>
                <w:color w:val="auto"/>
              </w:rPr>
              <w:t>Three Months Ended January 31,</w:t>
            </w:r>
          </w:p>
        </w:tc>
        <w:tc>
          <w:tcPr>
            <w:tcW w:w="5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50"/>
        </w:trPr>
        <w:tc>
          <w:tcPr>
            <w:tcW w:w="7440" w:type="dxa"/>
            <w:vAlign w:val="bottom"/>
          </w:tcPr>
          <w:p>
            <w:pPr>
              <w:spacing w:after="0"/>
              <w:rPr>
                <w:sz w:val="21"/>
                <w:szCs w:val="21"/>
                <w:color w:val="auto"/>
              </w:rPr>
            </w:pPr>
          </w:p>
        </w:tc>
        <w:tc>
          <w:tcPr>
            <w:tcW w:w="1080" w:type="dxa"/>
            <w:vAlign w:val="bottom"/>
          </w:tcPr>
          <w:p>
            <w:pPr>
              <w:jc w:val="right"/>
              <w:ind w:right="4"/>
              <w:spacing w:after="0"/>
              <w:rPr>
                <w:sz w:val="20"/>
                <w:szCs w:val="20"/>
                <w:color w:val="auto"/>
              </w:rPr>
            </w:pPr>
            <w:r>
              <w:rPr>
                <w:rFonts w:ascii="Arial" w:cs="Arial" w:eastAsia="Arial" w:hAnsi="Arial"/>
                <w:sz w:val="15"/>
                <w:szCs w:val="15"/>
                <w:b w:val="1"/>
                <w:bCs w:val="1"/>
                <w:color w:val="auto"/>
              </w:rPr>
              <w:t>2025</w:t>
            </w:r>
          </w:p>
        </w:tc>
        <w:tc>
          <w:tcPr>
            <w:tcW w:w="58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rPr>
              <w:t>2024</w:t>
            </w: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25"/>
        </w:trPr>
        <w:tc>
          <w:tcPr>
            <w:tcW w:w="7440" w:type="dxa"/>
            <w:vAlign w:val="bottom"/>
            <w:shd w:val="clear" w:color="auto" w:fill="DCE2EF"/>
          </w:tcPr>
          <w:p>
            <w:pPr>
              <w:ind w:left="60"/>
              <w:spacing w:after="0"/>
              <w:rPr>
                <w:sz w:val="20"/>
                <w:szCs w:val="20"/>
                <w:color w:val="auto"/>
              </w:rPr>
            </w:pPr>
            <w:r>
              <w:rPr>
                <w:rFonts w:ascii="Arial" w:cs="Arial" w:eastAsia="Arial" w:hAnsi="Arial"/>
                <w:sz w:val="15"/>
                <w:szCs w:val="15"/>
                <w:b w:val="1"/>
                <w:bCs w:val="1"/>
                <w:color w:val="auto"/>
              </w:rPr>
              <w:t>Reconciliation of Net Cash Used in Operating Activities to Free Cash Flow</w:t>
            </w:r>
          </w:p>
        </w:tc>
        <w:tc>
          <w:tcPr>
            <w:tcW w:w="1080" w:type="dxa"/>
            <w:vAlign w:val="bottom"/>
            <w:tcBorders>
              <w:top w:val="single" w:sz="8" w:color="auto"/>
            </w:tcBorders>
            <w:shd w:val="clear" w:color="auto" w:fill="DCE2EF"/>
          </w:tcPr>
          <w:p>
            <w:pPr>
              <w:spacing w:after="0"/>
              <w:rPr>
                <w:sz w:val="19"/>
                <w:szCs w:val="19"/>
                <w:color w:val="auto"/>
              </w:rPr>
            </w:pPr>
          </w:p>
        </w:tc>
        <w:tc>
          <w:tcPr>
            <w:tcW w:w="580" w:type="dxa"/>
            <w:vAlign w:val="bottom"/>
            <w:tcBorders>
              <w:top w:val="single" w:sz="8" w:color="auto"/>
            </w:tcBorders>
            <w:shd w:val="clear" w:color="auto" w:fill="DCE2EF"/>
          </w:tcPr>
          <w:p>
            <w:pPr>
              <w:spacing w:after="0"/>
              <w:rPr>
                <w:sz w:val="19"/>
                <w:szCs w:val="19"/>
                <w:color w:val="auto"/>
              </w:rPr>
            </w:pPr>
          </w:p>
        </w:tc>
        <w:tc>
          <w:tcPr>
            <w:tcW w:w="220" w:type="dxa"/>
            <w:vAlign w:val="bottom"/>
            <w:shd w:val="clear" w:color="auto" w:fill="DCE2EF"/>
          </w:tcPr>
          <w:p>
            <w:pPr>
              <w:spacing w:after="0"/>
              <w:rPr>
                <w:sz w:val="19"/>
                <w:szCs w:val="19"/>
                <w:color w:val="auto"/>
              </w:rPr>
            </w:pPr>
          </w:p>
        </w:tc>
        <w:tc>
          <w:tcPr>
            <w:tcW w:w="1200" w:type="dxa"/>
            <w:vAlign w:val="bottom"/>
            <w:tcBorders>
              <w:top w:val="single" w:sz="8" w:color="auto"/>
            </w:tcBorders>
            <w:shd w:val="clear" w:color="auto" w:fill="DCE2EF"/>
          </w:tcPr>
          <w:p>
            <w:pPr>
              <w:spacing w:after="0"/>
              <w:rPr>
                <w:sz w:val="19"/>
                <w:szCs w:val="19"/>
                <w:color w:val="auto"/>
              </w:rPr>
            </w:pPr>
          </w:p>
        </w:tc>
        <w:tc>
          <w:tcPr>
            <w:tcW w:w="500" w:type="dxa"/>
            <w:vAlign w:val="bottom"/>
            <w:tcBorders>
              <w:top w:val="single" w:sz="8" w:color="auto"/>
            </w:tcBorders>
            <w:shd w:val="clear" w:color="auto" w:fill="DCE2EF"/>
          </w:tcPr>
          <w:p>
            <w:pPr>
              <w:spacing w:after="0"/>
              <w:rPr>
                <w:sz w:val="19"/>
                <w:szCs w:val="19"/>
                <w:color w:val="auto"/>
              </w:rPr>
            </w:pPr>
          </w:p>
        </w:tc>
        <w:tc>
          <w:tcPr>
            <w:tcW w:w="220" w:type="dxa"/>
            <w:vAlign w:val="bottom"/>
            <w:shd w:val="clear" w:color="auto" w:fill="DCE2EF"/>
          </w:tcPr>
          <w:p>
            <w:pPr>
              <w:spacing w:after="0"/>
              <w:rPr>
                <w:sz w:val="19"/>
                <w:szCs w:val="19"/>
                <w:color w:val="auto"/>
              </w:rPr>
            </w:pPr>
          </w:p>
        </w:tc>
      </w:tr>
      <w:tr>
        <w:trPr>
          <w:trHeight w:val="160"/>
        </w:trPr>
        <w:tc>
          <w:tcPr>
            <w:tcW w:w="7440" w:type="dxa"/>
            <w:vAlign w:val="bottom"/>
            <w:shd w:val="clear" w:color="auto" w:fill="DCE2EF"/>
          </w:tcPr>
          <w:p>
            <w:pPr>
              <w:spacing w:after="0"/>
              <w:rPr>
                <w:sz w:val="13"/>
                <w:szCs w:val="13"/>
                <w:color w:val="auto"/>
              </w:rPr>
            </w:pPr>
          </w:p>
        </w:tc>
        <w:tc>
          <w:tcPr>
            <w:tcW w:w="1080" w:type="dxa"/>
            <w:vAlign w:val="bottom"/>
            <w:shd w:val="clear" w:color="auto" w:fill="DCE2EF"/>
          </w:tcPr>
          <w:p>
            <w:pPr>
              <w:spacing w:after="0"/>
              <w:rPr>
                <w:sz w:val="13"/>
                <w:szCs w:val="13"/>
                <w:color w:val="auto"/>
              </w:rPr>
            </w:pPr>
          </w:p>
        </w:tc>
        <w:tc>
          <w:tcPr>
            <w:tcW w:w="580" w:type="dxa"/>
            <w:vAlign w:val="bottom"/>
            <w:shd w:val="clear" w:color="auto" w:fill="DCE2EF"/>
          </w:tcPr>
          <w:p>
            <w:pPr>
              <w:spacing w:after="0"/>
              <w:rPr>
                <w:sz w:val="13"/>
                <w:szCs w:val="13"/>
                <w:color w:val="auto"/>
              </w:rPr>
            </w:pPr>
          </w:p>
        </w:tc>
        <w:tc>
          <w:tcPr>
            <w:tcW w:w="220" w:type="dxa"/>
            <w:vAlign w:val="bottom"/>
            <w:shd w:val="clear" w:color="auto" w:fill="DCE2EF"/>
          </w:tcPr>
          <w:p>
            <w:pPr>
              <w:spacing w:after="0"/>
              <w:rPr>
                <w:sz w:val="13"/>
                <w:szCs w:val="13"/>
                <w:color w:val="auto"/>
              </w:rPr>
            </w:pPr>
          </w:p>
        </w:tc>
        <w:tc>
          <w:tcPr>
            <w:tcW w:w="1200" w:type="dxa"/>
            <w:vAlign w:val="bottom"/>
            <w:shd w:val="clear" w:color="auto" w:fill="DCE2EF"/>
          </w:tcPr>
          <w:p>
            <w:pPr>
              <w:spacing w:after="0"/>
              <w:rPr>
                <w:sz w:val="13"/>
                <w:szCs w:val="13"/>
                <w:color w:val="auto"/>
              </w:rPr>
            </w:pPr>
          </w:p>
        </w:tc>
        <w:tc>
          <w:tcPr>
            <w:tcW w:w="500" w:type="dxa"/>
            <w:vAlign w:val="bottom"/>
            <w:shd w:val="clear" w:color="auto" w:fill="DCE2EF"/>
          </w:tcPr>
          <w:p>
            <w:pPr>
              <w:spacing w:after="0"/>
              <w:rPr>
                <w:sz w:val="13"/>
                <w:szCs w:val="13"/>
                <w:color w:val="auto"/>
              </w:rPr>
            </w:pPr>
          </w:p>
        </w:tc>
        <w:tc>
          <w:tcPr>
            <w:tcW w:w="220" w:type="dxa"/>
            <w:vAlign w:val="bottom"/>
            <w:shd w:val="clear" w:color="auto" w:fill="DCE2EF"/>
          </w:tcPr>
          <w:p>
            <w:pPr>
              <w:spacing w:after="0"/>
              <w:rPr>
                <w:sz w:val="13"/>
                <w:szCs w:val="13"/>
                <w:color w:val="auto"/>
              </w:rPr>
            </w:pPr>
          </w:p>
        </w:tc>
      </w:tr>
      <w:tr>
        <w:trPr>
          <w:trHeight w:val="253"/>
        </w:trPr>
        <w:tc>
          <w:tcPr>
            <w:tcW w:w="7440" w:type="dxa"/>
            <w:vAlign w:val="bottom"/>
          </w:tcPr>
          <w:p>
            <w:pPr>
              <w:ind w:left="60"/>
              <w:spacing w:after="0"/>
              <w:rPr>
                <w:sz w:val="20"/>
                <w:szCs w:val="20"/>
                <w:color w:val="auto"/>
              </w:rPr>
            </w:pPr>
            <w:r>
              <w:rPr>
                <w:rFonts w:ascii="Arial" w:cs="Arial" w:eastAsia="Arial" w:hAnsi="Arial"/>
                <w:sz w:val="15"/>
                <w:szCs w:val="15"/>
                <w:color w:val="auto"/>
              </w:rPr>
              <w:t>Net cash used in operating activities</w:t>
            </w:r>
          </w:p>
        </w:tc>
        <w:tc>
          <w:tcPr>
            <w:tcW w:w="108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(106.2)</w:t>
            </w:r>
          </w:p>
        </w:tc>
        <w:tc>
          <w:tcPr>
            <w:tcW w:w="14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(0.1)</w:t>
            </w:r>
          </w:p>
        </w:tc>
        <w:tc>
          <w:tcPr>
            <w:tcW w:w="220" w:type="dxa"/>
            <w:vAlign w:val="bottom"/>
          </w:tcPr>
          <w:p>
            <w:pPr>
              <w:spacing w:after="0"/>
              <w:rPr>
                <w:sz w:val="22"/>
                <w:szCs w:val="22"/>
                <w:color w:val="auto"/>
              </w:rPr>
            </w:pPr>
          </w:p>
        </w:tc>
      </w:tr>
      <w:tr>
        <w:trPr>
          <w:trHeight w:val="256"/>
        </w:trPr>
        <w:tc>
          <w:tcPr>
            <w:tcW w:w="7440" w:type="dxa"/>
            <w:vAlign w:val="bottom"/>
            <w:tcBorders>
              <w:bottom w:val="single" w:sz="8" w:color="DCE2EF"/>
            </w:tcBorders>
            <w:shd w:val="clear" w:color="auto" w:fill="DCE2EF"/>
          </w:tcPr>
          <w:p>
            <w:pPr>
              <w:ind w:left="60"/>
              <w:spacing w:after="0"/>
              <w:rPr>
                <w:sz w:val="20"/>
                <w:szCs w:val="20"/>
                <w:color w:val="auto"/>
              </w:rPr>
            </w:pPr>
            <w:r>
              <w:rPr>
                <w:rFonts w:ascii="Arial" w:cs="Arial" w:eastAsia="Arial" w:hAnsi="Arial"/>
                <w:sz w:val="15"/>
                <w:szCs w:val="15"/>
                <w:color w:val="auto"/>
              </w:rPr>
              <w:t>Additions to property, plant and equipment</w:t>
            </w:r>
          </w:p>
        </w:tc>
        <w:tc>
          <w:tcPr>
            <w:tcW w:w="1080" w:type="dxa"/>
            <w:vAlign w:val="bottom"/>
            <w:tcBorders>
              <w:bottom w:val="single" w:sz="8" w:color="auto"/>
            </w:tcBorders>
            <w:shd w:val="clear" w:color="auto" w:fill="DCE2EF"/>
          </w:tcPr>
          <w:p>
            <w:pPr>
              <w:spacing w:after="0"/>
              <w:rPr>
                <w:sz w:val="22"/>
                <w:szCs w:val="22"/>
                <w:color w:val="auto"/>
              </w:rPr>
            </w:pPr>
          </w:p>
        </w:tc>
        <w:tc>
          <w:tcPr>
            <w:tcW w:w="5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(16.7)</w:t>
            </w:r>
          </w:p>
        </w:tc>
        <w:tc>
          <w:tcPr>
            <w:tcW w:w="220" w:type="dxa"/>
            <w:vAlign w:val="bottom"/>
            <w:tcBorders>
              <w:bottom w:val="single" w:sz="8" w:color="DCE2EF"/>
            </w:tcBorders>
            <w:shd w:val="clear" w:color="auto" w:fill="DCE2EF"/>
          </w:tcPr>
          <w:p>
            <w:pPr>
              <w:spacing w:after="0"/>
              <w:rPr>
                <w:sz w:val="22"/>
                <w:szCs w:val="22"/>
                <w:color w:val="auto"/>
              </w:rPr>
            </w:pPr>
          </w:p>
        </w:tc>
        <w:tc>
          <w:tcPr>
            <w:tcW w:w="1200" w:type="dxa"/>
            <w:vAlign w:val="bottom"/>
            <w:tcBorders>
              <w:bottom w:val="single" w:sz="8" w:color="auto"/>
            </w:tcBorders>
            <w:shd w:val="clear" w:color="auto" w:fill="DCE2EF"/>
          </w:tcPr>
          <w:p>
            <w:pPr>
              <w:spacing w:after="0"/>
              <w:rPr>
                <w:sz w:val="22"/>
                <w:szCs w:val="22"/>
                <w:color w:val="auto"/>
              </w:rPr>
            </w:pPr>
          </w:p>
        </w:tc>
        <w:tc>
          <w:tcPr>
            <w:tcW w:w="5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(13.6)</w:t>
            </w:r>
          </w:p>
        </w:tc>
        <w:tc>
          <w:tcPr>
            <w:tcW w:w="220" w:type="dxa"/>
            <w:vAlign w:val="bottom"/>
            <w:tcBorders>
              <w:bottom w:val="single" w:sz="8" w:color="DCE2EF"/>
            </w:tcBorders>
            <w:shd w:val="clear" w:color="auto" w:fill="DCE2EF"/>
          </w:tcPr>
          <w:p>
            <w:pPr>
              <w:spacing w:after="0"/>
              <w:rPr>
                <w:sz w:val="22"/>
                <w:szCs w:val="22"/>
                <w:color w:val="auto"/>
              </w:rPr>
            </w:pPr>
          </w:p>
        </w:tc>
      </w:tr>
      <w:tr>
        <w:trPr>
          <w:trHeight w:val="233"/>
        </w:trPr>
        <w:tc>
          <w:tcPr>
            <w:tcW w:w="7440" w:type="dxa"/>
            <w:vAlign w:val="bottom"/>
          </w:tcPr>
          <w:p>
            <w:pPr>
              <w:ind w:left="60"/>
              <w:spacing w:after="0"/>
              <w:rPr>
                <w:sz w:val="20"/>
                <w:szCs w:val="20"/>
                <w:color w:val="auto"/>
              </w:rPr>
            </w:pPr>
            <w:r>
              <w:rPr>
                <w:rFonts w:ascii="Arial" w:cs="Arial" w:eastAsia="Arial" w:hAnsi="Arial"/>
                <w:sz w:val="15"/>
                <w:szCs w:val="15"/>
                <w:color w:val="auto"/>
              </w:rPr>
              <w:t>Free cash flow</w:t>
            </w:r>
          </w:p>
        </w:tc>
        <w:tc>
          <w:tcPr>
            <w:tcW w:w="108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(122.9)</w:t>
            </w:r>
          </w:p>
        </w:tc>
        <w:tc>
          <w:tcPr>
            <w:tcW w:w="14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(13.7)</w:t>
            </w:r>
          </w:p>
        </w:tc>
        <w:tc>
          <w:tcPr>
            <w:tcW w:w="220" w:type="dxa"/>
            <w:vAlign w:val="bottom"/>
          </w:tcPr>
          <w:p>
            <w:pPr>
              <w:spacing w:after="0"/>
              <w:rPr>
                <w:sz w:val="20"/>
                <w:szCs w:val="20"/>
                <w:color w:val="auto"/>
              </w:rPr>
            </w:pPr>
          </w:p>
        </w:tc>
      </w:tr>
      <w:tr>
        <w:trPr>
          <w:trHeight w:val="27"/>
        </w:trPr>
        <w:tc>
          <w:tcPr>
            <w:tcW w:w="7440" w:type="dxa"/>
            <w:vAlign w:val="bottom"/>
          </w:tcPr>
          <w:p>
            <w:pPr>
              <w:spacing w:after="0"/>
              <w:rPr>
                <w:sz w:val="2"/>
                <w:szCs w:val="2"/>
                <w:color w:val="auto"/>
              </w:rPr>
            </w:pPr>
          </w:p>
        </w:tc>
        <w:tc>
          <w:tcPr>
            <w:tcW w:w="1080" w:type="dxa"/>
            <w:vAlign w:val="bottom"/>
            <w:tcBorders>
              <w:top w:val="single" w:sz="8" w:color="auto"/>
              <w:bottom w:val="single" w:sz="8" w:color="auto"/>
            </w:tcBorders>
          </w:tcPr>
          <w:p>
            <w:pPr>
              <w:spacing w:after="0"/>
              <w:rPr>
                <w:sz w:val="2"/>
                <w:szCs w:val="2"/>
                <w:color w:val="auto"/>
              </w:rPr>
            </w:pPr>
          </w:p>
        </w:tc>
        <w:tc>
          <w:tcPr>
            <w:tcW w:w="580" w:type="dxa"/>
            <w:vAlign w:val="bottom"/>
            <w:tcBorders>
              <w:top w:val="single" w:sz="8" w:color="auto"/>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Borders>
              <w:top w:val="single" w:sz="8" w:color="auto"/>
              <w:bottom w:val="single" w:sz="8" w:color="auto"/>
            </w:tcBorders>
          </w:tcPr>
          <w:p>
            <w:pPr>
              <w:spacing w:after="0"/>
              <w:rPr>
                <w:sz w:val="2"/>
                <w:szCs w:val="2"/>
                <w:color w:val="auto"/>
              </w:rPr>
            </w:pPr>
          </w:p>
        </w:tc>
        <w:tc>
          <w:tcPr>
            <w:tcW w:w="500" w:type="dxa"/>
            <w:vAlign w:val="bottom"/>
            <w:tcBorders>
              <w:top w:val="single" w:sz="8" w:color="auto"/>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6978650</wp:posOffset>
            </wp:positionH>
            <wp:positionV relativeFrom="paragraph">
              <wp:posOffset>-963295</wp:posOffset>
            </wp:positionV>
            <wp:extent cx="170815" cy="2051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70815" cy="20510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-199390</wp:posOffset>
            </wp:positionV>
            <wp:extent cx="137160" cy="114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37160" cy="1143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-199390</wp:posOffset>
            </wp:positionV>
            <wp:extent cx="145415" cy="114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45415" cy="11430"/>
                    </a:xfrm>
                    <a:prstGeom prst="rect">
                      <a:avLst/>
                    </a:prstGeom>
                    <a:noFill/>
                  </pic:spPr>
                </pic:pic>
              </a:graphicData>
            </a:graphic>
          </wp:anchor>
        </w:drawing>
      </w:r>
    </w:p>
    <w:p>
      <w:pPr>
        <w:spacing w:after="0" w:line="80" w:lineRule="exact"/>
        <w:rPr>
          <w:sz w:val="20"/>
          <w:szCs w:val="20"/>
          <w:color w:val="auto"/>
        </w:rPr>
      </w:pPr>
    </w:p>
    <w:p>
      <w:pPr>
        <w:ind w:left="120" w:hanging="112"/>
        <w:spacing w:after="0"/>
        <w:tabs>
          <w:tab w:leader="none" w:pos="120" w:val="left"/>
        </w:tabs>
        <w:numPr>
          <w:ilvl w:val="0"/>
          <w:numId w:val="12"/>
        </w:numPr>
        <w:rPr>
          <w:rFonts w:ascii="Arial" w:cs="Arial" w:eastAsia="Arial" w:hAnsi="Arial"/>
          <w:sz w:val="13"/>
          <w:szCs w:val="13"/>
          <w:color w:val="auto"/>
          <w:vertAlign w:val="superscript"/>
        </w:rPr>
      </w:pPr>
      <w:r>
        <w:rPr>
          <w:rFonts w:ascii="Arial" w:cs="Arial" w:eastAsia="Arial" w:hAnsi="Arial"/>
          <w:sz w:val="10"/>
          <w:szCs w:val="10"/>
          <w:color w:val="auto"/>
        </w:rPr>
        <w:t>The Company adjusts income to exclude the impact of certain items that are unusual, non-recurring, or otherwise do not reflect management's views of the underlying operational results and trends of the Company.</w:t>
      </w:r>
    </w:p>
    <w:p>
      <w:pPr>
        <w:spacing w:after="0" w:line="93" w:lineRule="exact"/>
        <w:rPr>
          <w:rFonts w:ascii="Arial" w:cs="Arial" w:eastAsia="Arial" w:hAnsi="Arial"/>
          <w:sz w:val="13"/>
          <w:szCs w:val="13"/>
          <w:color w:val="auto"/>
          <w:vertAlign w:val="superscript"/>
        </w:rPr>
      </w:pPr>
    </w:p>
    <w:p>
      <w:pPr>
        <w:jc w:val="both"/>
        <w:ind w:firstLine="8"/>
        <w:spacing w:after="0" w:line="279" w:lineRule="auto"/>
        <w:tabs>
          <w:tab w:leader="none" w:pos="117" w:val="left"/>
        </w:tabs>
        <w:numPr>
          <w:ilvl w:val="0"/>
          <w:numId w:val="12"/>
        </w:numPr>
        <w:rPr>
          <w:rFonts w:ascii="Arial" w:cs="Arial" w:eastAsia="Arial" w:hAnsi="Arial"/>
          <w:sz w:val="13"/>
          <w:szCs w:val="13"/>
          <w:color w:val="auto"/>
          <w:vertAlign w:val="superscript"/>
        </w:rPr>
      </w:pPr>
      <w:r>
        <w:rPr>
          <w:rFonts w:ascii="Arial" w:cs="Arial" w:eastAsia="Arial" w:hAnsi="Arial"/>
          <w:sz w:val="10"/>
          <w:szCs w:val="10"/>
          <w:color w:val="auto"/>
        </w:rPr>
        <w:t>Represents the net adjustments to our self-insurance reserve for general liability, workers’ compensation, automobile and health insurance claims related to prior period accident years. Management believes these prior period reserve changes do not illustrate the performance of the Company’s normal ongoing operations given the current year's insurance expense is estimated by management in conjunction with the Company's outside actuary to take into consideration past history and current costs and regulatory trends. Once the Company develops its best estimate of insurance expense premiums for the year, the Company fully allocates such costs out to the business leaders to hold them accountable for the current year costs within operations. However, since these prior period reserve changes relate to claims that could date back many years, current management has limited ability to influence the ultimate development of the prior year changes. Accordingly, including the prior period reserve changes in the Company's current operational results would not depict how the business is run as the Company holds its management accountable for the current year’s operational performance. The Company believes the exclusion of the self-insurance adjustment from net income is useful to investors by enabling them to better assess our operating performance in the context of current year profitability. For the three months ended January 31, 2025, and 2024, our self-insurance general liability, workers’ compensation, and automobile insurance claims related to prior period accident years increased by $0 million and $5.3 million, respectively.</w:t>
      </w:r>
    </w:p>
    <w:p>
      <w:pPr>
        <w:spacing w:after="0" w:line="212" w:lineRule="exact"/>
        <w:rPr>
          <w:rFonts w:ascii="Arial" w:cs="Arial" w:eastAsia="Arial" w:hAnsi="Arial"/>
          <w:sz w:val="13"/>
          <w:szCs w:val="13"/>
          <w:color w:val="auto"/>
          <w:vertAlign w:val="superscript"/>
        </w:rPr>
      </w:pPr>
    </w:p>
    <w:p>
      <w:pPr>
        <w:ind w:left="120" w:hanging="112"/>
        <w:spacing w:after="0"/>
        <w:tabs>
          <w:tab w:leader="none" w:pos="120" w:val="left"/>
        </w:tabs>
        <w:numPr>
          <w:ilvl w:val="0"/>
          <w:numId w:val="12"/>
        </w:numPr>
        <w:rPr>
          <w:rFonts w:ascii="Arial" w:cs="Arial" w:eastAsia="Arial" w:hAnsi="Arial"/>
          <w:sz w:val="13"/>
          <w:szCs w:val="13"/>
          <w:color w:val="auto"/>
          <w:vertAlign w:val="superscript"/>
        </w:rPr>
      </w:pPr>
      <w:r>
        <w:rPr>
          <w:rFonts w:ascii="Arial" w:cs="Arial" w:eastAsia="Arial" w:hAnsi="Arial"/>
          <w:sz w:val="10"/>
          <w:szCs w:val="10"/>
          <w:color w:val="auto"/>
        </w:rPr>
        <w:t>Represents primarily integration related costs associated with recent acquisitions.</w:t>
      </w:r>
    </w:p>
    <w:p>
      <w:pPr>
        <w:spacing w:after="0" w:line="120" w:lineRule="exact"/>
        <w:rPr>
          <w:rFonts w:ascii="Arial" w:cs="Arial" w:eastAsia="Arial" w:hAnsi="Arial"/>
          <w:sz w:val="13"/>
          <w:szCs w:val="13"/>
          <w:color w:val="auto"/>
          <w:vertAlign w:val="superscript"/>
        </w:rPr>
      </w:pPr>
    </w:p>
    <w:p>
      <w:pPr>
        <w:jc w:val="both"/>
        <w:ind w:firstLine="8"/>
        <w:spacing w:after="0" w:line="464" w:lineRule="auto"/>
        <w:tabs>
          <w:tab w:leader="none" w:pos="117" w:val="left"/>
        </w:tabs>
        <w:numPr>
          <w:ilvl w:val="0"/>
          <w:numId w:val="12"/>
        </w:numPr>
        <w:rPr>
          <w:rFonts w:ascii="Arial" w:cs="Arial" w:eastAsia="Arial" w:hAnsi="Arial"/>
          <w:sz w:val="13"/>
          <w:szCs w:val="13"/>
          <w:color w:val="auto"/>
          <w:vertAlign w:val="superscript"/>
        </w:rPr>
      </w:pPr>
      <w:r>
        <w:rPr>
          <w:rFonts w:ascii="Arial" w:cs="Arial" w:eastAsia="Arial" w:hAnsi="Arial"/>
          <w:sz w:val="10"/>
          <w:szCs w:val="10"/>
          <w:color w:val="auto"/>
        </w:rPr>
        <w:t>Represents discrete transformational costs that primarily consist of general and administrative costs for developing technological needs and alternatives, project management, testing, training and data conversion, consulting and professional fees for i) new enterprise resource planning system, ii) client facing technology, iii) workforce management tools and iv) data analytics. These costs are not expected to recur beyond the deployment of these initiatives.</w:t>
      </w:r>
    </w:p>
    <w:p>
      <w:pPr>
        <w:spacing w:after="0" w:line="28" w:lineRule="exact"/>
        <w:rPr>
          <w:rFonts w:ascii="Arial" w:cs="Arial" w:eastAsia="Arial" w:hAnsi="Arial"/>
          <w:sz w:val="13"/>
          <w:szCs w:val="13"/>
          <w:color w:val="auto"/>
          <w:vertAlign w:val="superscript"/>
        </w:rPr>
      </w:pPr>
    </w:p>
    <w:p>
      <w:pPr>
        <w:ind w:firstLine="8"/>
        <w:spacing w:after="0" w:line="286" w:lineRule="auto"/>
        <w:tabs>
          <w:tab w:leader="none" w:pos="117" w:val="left"/>
        </w:tabs>
        <w:numPr>
          <w:ilvl w:val="0"/>
          <w:numId w:val="12"/>
        </w:numPr>
        <w:rPr>
          <w:rFonts w:ascii="Arial" w:cs="Arial" w:eastAsia="Arial" w:hAnsi="Arial"/>
          <w:sz w:val="13"/>
          <w:szCs w:val="13"/>
          <w:color w:val="auto"/>
          <w:vertAlign w:val="superscript"/>
        </w:rPr>
      </w:pPr>
      <w:r>
        <w:rPr>
          <w:rFonts w:ascii="Arial" w:cs="Arial" w:eastAsia="Arial" w:hAnsi="Arial"/>
          <w:sz w:val="10"/>
          <w:szCs w:val="10"/>
          <w:color w:val="auto"/>
        </w:rPr>
        <w:t>The Company's tax impact is calculated using the federal and state statutory rate of 28.11% for FY2025 and FY2024. We calculate tax from the underlying whole-dollar amounts, as a result, certain amounts may not recalculate based on reported numbers due to rounding.</w:t>
      </w:r>
    </w:p>
    <w:p>
      <w:pPr>
        <w:spacing w:after="0" w:line="62" w:lineRule="exact"/>
        <w:rPr>
          <w:rFonts w:ascii="Arial" w:cs="Arial" w:eastAsia="Arial" w:hAnsi="Arial"/>
          <w:sz w:val="13"/>
          <w:szCs w:val="13"/>
          <w:color w:val="auto"/>
          <w:vertAlign w:val="superscript"/>
        </w:rPr>
      </w:pPr>
    </w:p>
    <w:p>
      <w:pPr>
        <w:ind w:left="100" w:hanging="92"/>
        <w:spacing w:after="0"/>
        <w:tabs>
          <w:tab w:leader="none" w:pos="100" w:val="left"/>
        </w:tabs>
        <w:numPr>
          <w:ilvl w:val="0"/>
          <w:numId w:val="12"/>
        </w:numPr>
        <w:rPr>
          <w:rFonts w:ascii="Arial" w:cs="Arial" w:eastAsia="Arial" w:hAnsi="Arial"/>
          <w:sz w:val="13"/>
          <w:szCs w:val="13"/>
          <w:color w:val="auto"/>
          <w:vertAlign w:val="superscript"/>
        </w:rPr>
      </w:pPr>
      <w:r>
        <w:rPr>
          <w:rFonts w:ascii="Arial" w:cs="Arial" w:eastAsia="Arial" w:hAnsi="Arial"/>
          <w:sz w:val="10"/>
          <w:szCs w:val="10"/>
          <w:color w:val="auto"/>
        </w:rPr>
        <w:t>Three months ended January 31, 2025 and 2024 include a $0.1 million and a $0.3 million benefit for uncertain tax positions with expiring statues, respectively.</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15" w:name="page16"/>
    <w:bookmarkEnd w:id="1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1)"/>
      <w:numFmt w:val="decimal"/>
      <w:start w:val="844"/>
    </w:lvl>
  </w:abstractNum>
  <w:abstractNum w:abstractNumId="4">
    <w:nsid w:val="515F007C"/>
    <w:multiLevelType w:val="hybridMultilevel"/>
    <w:lvl w:ilvl="0">
      <w:lvlJc w:val="left"/>
      <w:lvlText w:val="(%1)"/>
      <w:numFmt w:val="decimal"/>
      <w:start w:val="212"/>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
      <w:numFmt w:val="bullet"/>
      <w:start w:val="1"/>
    </w:lvl>
  </w:abstractNum>
  <w:abstractNum w:abstractNumId="11">
    <w:nsid w:val="66EF438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2025-03-12T06:12:06Z</dcterms:created>
  <dcterms:modified xsi:type="dcterms:W3CDTF">2025-03-12T06:12:06Z</dcterms:modified>
</cp:coreProperties>
</file>