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539"/>
        <w:spacing w:after="0"/>
        <w:rPr>
          <w:sz w:val="20"/>
          <w:szCs w:val="20"/>
          <w:color w:val="auto"/>
        </w:rPr>
      </w:pPr>
      <w:r>
        <w:rPr>
          <w:rFonts w:ascii="Arial" w:cs="Arial" w:eastAsia="Arial" w:hAnsi="Arial"/>
          <w:sz w:val="32"/>
          <w:szCs w:val="32"/>
          <w:color w:val="auto"/>
        </w:rPr>
        <w:t>SECURITIES AND EXCHANGE COMMISSION</w:t>
      </w:r>
    </w:p>
    <w:p>
      <w:pPr>
        <w:ind w:left="444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400" w:lineRule="exact"/>
        <w:rPr>
          <w:sz w:val="24"/>
          <w:szCs w:val="24"/>
          <w:color w:val="auto"/>
        </w:rPr>
      </w:pPr>
    </w:p>
    <w:p>
      <w:pPr>
        <w:ind w:left="4960"/>
        <w:spacing w:after="0"/>
        <w:rPr>
          <w:sz w:val="20"/>
          <w:szCs w:val="20"/>
          <w:color w:val="auto"/>
        </w:rPr>
      </w:pPr>
      <w:r>
        <w:rPr>
          <w:rFonts w:ascii="Arial" w:cs="Arial" w:eastAsia="Arial" w:hAnsi="Arial"/>
          <w:sz w:val="32"/>
          <w:szCs w:val="32"/>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156210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539"/>
        <w:spacing w:after="0"/>
        <w:rPr>
          <w:sz w:val="20"/>
          <w:szCs w:val="20"/>
          <w:color w:val="auto"/>
        </w:rPr>
      </w:pPr>
      <w:r>
        <w:rPr>
          <w:rFonts w:ascii="Arial" w:cs="Arial" w:eastAsia="Arial" w:hAnsi="Arial"/>
          <w:sz w:val="22"/>
          <w:szCs w:val="22"/>
          <w:color w:val="auto"/>
        </w:rPr>
        <w:t>CURRENT REPORT</w:t>
      </w:r>
    </w:p>
    <w:p>
      <w:pPr>
        <w:jc w:val="center"/>
        <w:ind w:right="-539"/>
        <w:spacing w:after="0" w:line="238" w:lineRule="auto"/>
        <w:rPr>
          <w:sz w:val="20"/>
          <w:szCs w:val="20"/>
          <w:color w:val="auto"/>
        </w:rPr>
      </w:pPr>
      <w:r>
        <w:rPr>
          <w:rFonts w:ascii="Arial" w:cs="Arial" w:eastAsia="Arial" w:hAnsi="Arial"/>
          <w:sz w:val="22"/>
          <w:szCs w:val="22"/>
          <w:color w:val="auto"/>
        </w:rPr>
        <w:t>PURSUANT TO SECTION 13 OR 15(d) OF THE</w:t>
      </w:r>
    </w:p>
    <w:p>
      <w:pPr>
        <w:jc w:val="center"/>
        <w:ind w:right="-539"/>
        <w:spacing w:after="0"/>
        <w:rPr>
          <w:sz w:val="20"/>
          <w:szCs w:val="20"/>
          <w:color w:val="auto"/>
        </w:rPr>
      </w:pPr>
      <w:r>
        <w:rPr>
          <w:rFonts w:ascii="Arial" w:cs="Arial" w:eastAsia="Arial" w:hAnsi="Arial"/>
          <w:sz w:val="22"/>
          <w:szCs w:val="22"/>
          <w:color w:val="auto"/>
        </w:rPr>
        <w:t>SECURITIES EXCHANGE ACT OF 1934</w:t>
      </w:r>
    </w:p>
    <w:p>
      <w:pPr>
        <w:spacing w:after="0" w:line="188"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u w:val="single" w:color="auto"/>
          <w:color w:val="auto"/>
        </w:rPr>
        <w:t>March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39"/>
        <w:spacing w:after="0"/>
        <w:rPr>
          <w:sz w:val="20"/>
          <w:szCs w:val="20"/>
          <w:color w:val="auto"/>
        </w:rPr>
      </w:pPr>
      <w:r>
        <w:rPr>
          <w:rFonts w:ascii="Arial" w:cs="Arial" w:eastAsia="Arial" w:hAnsi="Arial"/>
          <w:sz w:val="43"/>
          <w:szCs w:val="43"/>
          <w:color w:val="auto"/>
        </w:rPr>
        <w:t>ABM Industries Incorporated</w:t>
      </w:r>
    </w:p>
    <w:p>
      <w:pPr>
        <w:spacing w:after="0" w:line="3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3540" w:type="dxa"/>
            <w:vAlign w:val="bottom"/>
          </w:tcPr>
          <w:p>
            <w:pPr>
              <w:jc w:val="center"/>
              <w:ind w:right="1939"/>
              <w:spacing w:after="0"/>
              <w:rPr>
                <w:sz w:val="20"/>
                <w:szCs w:val="20"/>
                <w:color w:val="auto"/>
              </w:rPr>
            </w:pPr>
            <w:r>
              <w:rPr>
                <w:rFonts w:ascii="Arial" w:cs="Arial" w:eastAsia="Arial" w:hAnsi="Arial"/>
                <w:sz w:val="18"/>
                <w:szCs w:val="18"/>
                <w:b w:val="1"/>
                <w:bCs w:val="1"/>
                <w:color w:val="auto"/>
                <w:w w:val="91"/>
              </w:rPr>
              <w:t>Delaware</w:t>
            </w:r>
          </w:p>
        </w:tc>
        <w:tc>
          <w:tcPr>
            <w:tcW w:w="2620" w:type="dxa"/>
            <w:vAlign w:val="bottom"/>
          </w:tcPr>
          <w:p>
            <w:pPr>
              <w:jc w:val="center"/>
              <w:ind w:right="322"/>
              <w:spacing w:after="0"/>
              <w:rPr>
                <w:sz w:val="20"/>
                <w:szCs w:val="20"/>
                <w:color w:val="auto"/>
              </w:rPr>
            </w:pPr>
            <w:r>
              <w:rPr>
                <w:rFonts w:ascii="Arial" w:cs="Arial" w:eastAsia="Arial" w:hAnsi="Arial"/>
                <w:sz w:val="18"/>
                <w:szCs w:val="18"/>
                <w:b w:val="1"/>
                <w:bCs w:val="1"/>
                <w:color w:val="auto"/>
                <w:w w:val="89"/>
              </w:rPr>
              <w:t>1-8929</w:t>
            </w:r>
          </w:p>
        </w:tc>
        <w:tc>
          <w:tcPr>
            <w:tcW w:w="2900" w:type="dxa"/>
            <w:vAlign w:val="bottom"/>
          </w:tcPr>
          <w:p>
            <w:pPr>
              <w:jc w:val="center"/>
              <w:ind w:left="1741"/>
              <w:spacing w:after="0"/>
              <w:rPr>
                <w:sz w:val="20"/>
                <w:szCs w:val="20"/>
                <w:color w:val="auto"/>
              </w:rPr>
            </w:pPr>
            <w:r>
              <w:rPr>
                <w:rFonts w:ascii="Arial" w:cs="Arial" w:eastAsia="Arial" w:hAnsi="Arial"/>
                <w:sz w:val="18"/>
                <w:szCs w:val="18"/>
                <w:b w:val="1"/>
                <w:bCs w:val="1"/>
                <w:color w:val="auto"/>
                <w:w w:val="91"/>
              </w:rPr>
              <w:t>94-1369354</w:t>
            </w:r>
          </w:p>
        </w:tc>
      </w:tr>
      <w:tr>
        <w:trPr>
          <w:trHeight w:val="149"/>
        </w:trPr>
        <w:tc>
          <w:tcPr>
            <w:tcW w:w="3540" w:type="dxa"/>
            <w:vAlign w:val="bottom"/>
          </w:tcPr>
          <w:p>
            <w:pPr>
              <w:jc w:val="center"/>
              <w:ind w:right="1939"/>
              <w:spacing w:after="0" w:line="149" w:lineRule="exact"/>
              <w:rPr>
                <w:sz w:val="20"/>
                <w:szCs w:val="20"/>
                <w:color w:val="auto"/>
              </w:rPr>
            </w:pPr>
            <w:r>
              <w:rPr>
                <w:rFonts w:ascii="Arial" w:cs="Arial" w:eastAsia="Arial" w:hAnsi="Arial"/>
                <w:sz w:val="14"/>
                <w:szCs w:val="14"/>
                <w:color w:val="auto"/>
                <w:w w:val="95"/>
              </w:rPr>
              <w:t>(State or other jurisdiction</w:t>
            </w:r>
          </w:p>
        </w:tc>
        <w:tc>
          <w:tcPr>
            <w:tcW w:w="262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5"/>
              </w:rPr>
              <w:t>(Commission</w:t>
            </w:r>
          </w:p>
        </w:tc>
        <w:tc>
          <w:tcPr>
            <w:tcW w:w="2900" w:type="dxa"/>
            <w:vAlign w:val="bottom"/>
          </w:tcPr>
          <w:p>
            <w:pPr>
              <w:jc w:val="center"/>
              <w:ind w:left="174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3540" w:type="dxa"/>
            <w:vAlign w:val="bottom"/>
          </w:tcPr>
          <w:p>
            <w:pPr>
              <w:jc w:val="center"/>
              <w:ind w:right="1959"/>
              <w:spacing w:after="0"/>
              <w:rPr>
                <w:sz w:val="20"/>
                <w:szCs w:val="20"/>
                <w:color w:val="auto"/>
              </w:rPr>
            </w:pPr>
            <w:r>
              <w:rPr>
                <w:rFonts w:ascii="Arial" w:cs="Arial" w:eastAsia="Arial" w:hAnsi="Arial"/>
                <w:sz w:val="14"/>
                <w:szCs w:val="14"/>
                <w:color w:val="auto"/>
                <w:w w:val="96"/>
              </w:rPr>
              <w:t>of incorporation)</w:t>
            </w:r>
          </w:p>
        </w:tc>
        <w:tc>
          <w:tcPr>
            <w:tcW w:w="2620" w:type="dxa"/>
            <w:vAlign w:val="bottom"/>
          </w:tcPr>
          <w:p>
            <w:pPr>
              <w:jc w:val="center"/>
              <w:ind w:right="322"/>
              <w:spacing w:after="0"/>
              <w:rPr>
                <w:sz w:val="20"/>
                <w:szCs w:val="20"/>
                <w:color w:val="auto"/>
              </w:rPr>
            </w:pPr>
            <w:r>
              <w:rPr>
                <w:rFonts w:ascii="Arial" w:cs="Arial" w:eastAsia="Arial" w:hAnsi="Arial"/>
                <w:sz w:val="14"/>
                <w:szCs w:val="14"/>
                <w:color w:val="auto"/>
                <w:w w:val="96"/>
              </w:rPr>
              <w:t>File Number)</w:t>
            </w:r>
          </w:p>
        </w:tc>
        <w:tc>
          <w:tcPr>
            <w:tcW w:w="2900" w:type="dxa"/>
            <w:vAlign w:val="bottom"/>
          </w:tcPr>
          <w:p>
            <w:pPr>
              <w:jc w:val="center"/>
              <w:ind w:left="1741"/>
              <w:spacing w:after="0"/>
              <w:rPr>
                <w:sz w:val="20"/>
                <w:szCs w:val="20"/>
                <w:color w:val="auto"/>
              </w:rPr>
            </w:pPr>
            <w:r>
              <w:rPr>
                <w:rFonts w:ascii="Arial" w:cs="Arial" w:eastAsia="Arial" w:hAnsi="Arial"/>
                <w:sz w:val="14"/>
                <w:szCs w:val="14"/>
                <w:color w:val="auto"/>
                <w:w w:val="99"/>
              </w:rPr>
              <w:t>Identification No.)</w:t>
            </w:r>
          </w:p>
        </w:tc>
      </w:tr>
      <w:tr>
        <w:trPr>
          <w:trHeight w:val="404"/>
        </w:trPr>
        <w:tc>
          <w:tcPr>
            <w:tcW w:w="354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One Liberty Plaza, 7</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2620" w:type="dxa"/>
            <w:vAlign w:val="bottom"/>
          </w:tcPr>
          <w:p>
            <w:pPr>
              <w:spacing w:after="0"/>
              <w:rPr>
                <w:sz w:val="24"/>
                <w:szCs w:val="24"/>
                <w:color w:val="auto"/>
              </w:rPr>
            </w:pPr>
          </w:p>
        </w:tc>
        <w:tc>
          <w:tcPr>
            <w:tcW w:w="2900" w:type="dxa"/>
            <w:vAlign w:val="bottom"/>
          </w:tcPr>
          <w:p>
            <w:pPr>
              <w:jc w:val="right"/>
              <w:ind w:right="1141"/>
              <w:spacing w:after="0"/>
              <w:rPr>
                <w:sz w:val="20"/>
                <w:szCs w:val="20"/>
                <w:color w:val="auto"/>
              </w:rPr>
            </w:pPr>
            <w:r>
              <w:rPr>
                <w:rFonts w:ascii="Arial" w:cs="Arial" w:eastAsia="Arial" w:hAnsi="Arial"/>
                <w:sz w:val="18"/>
                <w:szCs w:val="18"/>
                <w:b w:val="1"/>
                <w:bCs w:val="1"/>
                <w:color w:val="auto"/>
              </w:rPr>
              <w:t>10006</w:t>
            </w:r>
          </w:p>
        </w:tc>
      </w:tr>
      <w:tr>
        <w:trPr>
          <w:trHeight w:val="251"/>
        </w:trPr>
        <w:tc>
          <w:tcPr>
            <w:tcW w:w="3540" w:type="dxa"/>
            <w:vAlign w:val="bottom"/>
          </w:tcPr>
          <w:p>
            <w:pPr>
              <w:jc w:val="center"/>
              <w:ind w:right="119"/>
              <w:spacing w:after="0"/>
              <w:rPr>
                <w:sz w:val="20"/>
                <w:szCs w:val="20"/>
                <w:color w:val="auto"/>
              </w:rPr>
            </w:pPr>
            <w:r>
              <w:rPr>
                <w:rFonts w:ascii="Arial" w:cs="Arial" w:eastAsia="Arial" w:hAnsi="Arial"/>
                <w:sz w:val="18"/>
                <w:szCs w:val="18"/>
                <w:b w:val="1"/>
                <w:bCs w:val="1"/>
                <w:color w:val="auto"/>
                <w:w w:val="93"/>
              </w:rPr>
              <w:t>New York, New York</w:t>
            </w:r>
          </w:p>
        </w:tc>
        <w:tc>
          <w:tcPr>
            <w:tcW w:w="262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182"/>
        </w:trPr>
        <w:tc>
          <w:tcPr>
            <w:tcW w:w="3540" w:type="dxa"/>
            <w:vAlign w:val="bottom"/>
          </w:tcPr>
          <w:p>
            <w:pPr>
              <w:jc w:val="center"/>
              <w:ind w:right="119"/>
              <w:spacing w:after="0"/>
              <w:rPr>
                <w:sz w:val="20"/>
                <w:szCs w:val="20"/>
                <w:color w:val="auto"/>
              </w:rPr>
            </w:pPr>
            <w:r>
              <w:rPr>
                <w:rFonts w:ascii="Arial" w:cs="Arial" w:eastAsia="Arial" w:hAnsi="Arial"/>
                <w:sz w:val="14"/>
                <w:szCs w:val="14"/>
                <w:color w:val="auto"/>
                <w:w w:val="95"/>
              </w:rPr>
              <w:t>(Address of principal executive offices)</w:t>
            </w:r>
          </w:p>
        </w:tc>
        <w:tc>
          <w:tcPr>
            <w:tcW w:w="2620" w:type="dxa"/>
            <w:vAlign w:val="bottom"/>
          </w:tcPr>
          <w:p>
            <w:pPr>
              <w:spacing w:after="0"/>
              <w:rPr>
                <w:sz w:val="15"/>
                <w:szCs w:val="15"/>
                <w:color w:val="auto"/>
              </w:rPr>
            </w:pPr>
          </w:p>
        </w:tc>
        <w:tc>
          <w:tcPr>
            <w:tcW w:w="2900" w:type="dxa"/>
            <w:vAlign w:val="bottom"/>
          </w:tcPr>
          <w:p>
            <w:pPr>
              <w:spacing w:after="0"/>
              <w:rPr>
                <w:sz w:val="15"/>
                <w:szCs w:val="15"/>
                <w:color w:val="auto"/>
              </w:rPr>
            </w:pPr>
          </w:p>
        </w:tc>
      </w:tr>
    </w:tbl>
    <w:p>
      <w:pPr>
        <w:spacing w:after="0" w:line="183"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297-0200</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u w:val="single" w:color="auto"/>
          <w:color w:val="auto"/>
        </w:rPr>
        <w:t>N/A</w:t>
      </w:r>
    </w:p>
    <w:p>
      <w:pPr>
        <w:spacing w:after="0" w:line="2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768"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7, 2017, ABM Industries Incorporated (the “Company”) issued a press release announcing financial results related to the first quarter of fiscal year 2017. A copy of the press release is attached as Exhibit 99.1,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the press release attached as Exhibit 99.1, the Company will hold a live web cast on March 8, 2017 relating to the Company’s financial results for the first quarter of fiscal year 2017. A copy of the slides to be presented at the Company’s web cast and discussed in the conference call relating to such financial results is being furnished as Exhibit 99.2 to this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March 7, 2017, the Company announced that the Board of Directors of the Company declared a quarterly dividend of $0.17 per share, payable on May 1, 2017 to stockholders of record on April 6, 2017. A copy of the press release announcing the declaration of the dividend is attached as Exhibit 99.1, which is incorporated into this item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ABM Industries Incorporated, dated March 7, 2017, announcing financial results related to the first quarter of fiscal year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2017 and the declaration of a dividend payable May 1, 2017 to stockholders of record on April 6, 2017.</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Slides of ABM Industries Incorporated dated 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ABM INDUSTRIES INCORPORATED</w:t>
            </w:r>
          </w:p>
        </w:tc>
      </w:tr>
      <w:tr>
        <w:trPr>
          <w:trHeight w:val="392"/>
        </w:trPr>
        <w:tc>
          <w:tcPr>
            <w:tcW w:w="3660" w:type="dxa"/>
            <w:vAlign w:val="bottom"/>
            <w:gridSpan w:val="3"/>
          </w:tcPr>
          <w:p>
            <w:pPr>
              <w:spacing w:after="0"/>
              <w:rPr>
                <w:sz w:val="20"/>
                <w:szCs w:val="20"/>
                <w:color w:val="auto"/>
              </w:rPr>
            </w:pPr>
            <w:r>
              <w:rPr>
                <w:rFonts w:ascii="Arial" w:cs="Arial" w:eastAsia="Arial" w:hAnsi="Arial"/>
                <w:sz w:val="18"/>
                <w:szCs w:val="18"/>
                <w:color w:val="auto"/>
              </w:rPr>
              <w:t>Dated: March 7, 2017</w:t>
            </w:r>
          </w:p>
        </w:tc>
        <w:tc>
          <w:tcPr>
            <w:tcW w:w="7760" w:type="dxa"/>
            <w:vAlign w:val="bottom"/>
          </w:tcPr>
          <w:p>
            <w:pPr>
              <w:ind w:left="2060"/>
              <w:spacing w:after="0"/>
              <w:rPr>
                <w:sz w:val="20"/>
                <w:szCs w:val="20"/>
                <w:color w:val="auto"/>
              </w:rPr>
            </w:pPr>
            <w:r>
              <w:rPr>
                <w:rFonts w:ascii="Arial" w:cs="Arial" w:eastAsia="Arial" w:hAnsi="Arial"/>
                <w:sz w:val="18"/>
                <w:szCs w:val="18"/>
                <w:color w:val="auto"/>
              </w:rPr>
              <w:t>By:    /s/ Barbara L. Smithers</w:t>
            </w:r>
          </w:p>
        </w:tc>
      </w:tr>
      <w:tr>
        <w:trPr>
          <w:trHeight w:val="222"/>
        </w:trPr>
        <w:tc>
          <w:tcPr>
            <w:tcW w:w="5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7760" w:type="dxa"/>
            <w:vAlign w:val="bottom"/>
          </w:tcPr>
          <w:p>
            <w:pPr>
              <w:ind w:left="2620"/>
              <w:spacing w:after="0"/>
              <w:rPr>
                <w:sz w:val="20"/>
                <w:szCs w:val="20"/>
                <w:color w:val="auto"/>
              </w:rPr>
            </w:pPr>
            <w:r>
              <w:rPr>
                <w:rFonts w:ascii="Arial" w:cs="Arial" w:eastAsia="Arial" w:hAnsi="Arial"/>
                <w:sz w:val="18"/>
                <w:szCs w:val="18"/>
                <w:color w:val="auto"/>
              </w:rPr>
              <w:t>Barbara L. Smithers</w:t>
            </w:r>
          </w:p>
        </w:tc>
      </w:tr>
      <w:tr>
        <w:trPr>
          <w:trHeight w:val="216"/>
        </w:trPr>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760" w:type="dxa"/>
            <w:vAlign w:val="bottom"/>
          </w:tcPr>
          <w:p>
            <w:pPr>
              <w:ind w:left="2620"/>
              <w:spacing w:after="0"/>
              <w:rPr>
                <w:sz w:val="20"/>
                <w:szCs w:val="20"/>
                <w:color w:val="auto"/>
              </w:rPr>
            </w:pPr>
            <w:r>
              <w:rPr>
                <w:rFonts w:ascii="Arial" w:cs="Arial" w:eastAsia="Arial" w:hAnsi="Arial"/>
                <w:sz w:val="18"/>
                <w:szCs w:val="18"/>
                <w:color w:val="auto"/>
              </w:rPr>
              <w:t>Vice President, Deputy General</w:t>
            </w:r>
          </w:p>
        </w:tc>
      </w:tr>
      <w:tr>
        <w:trPr>
          <w:trHeight w:val="230"/>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760" w:type="dxa"/>
            <w:vAlign w:val="bottom"/>
          </w:tcPr>
          <w:p>
            <w:pPr>
              <w:ind w:left="2620"/>
              <w:spacing w:after="0"/>
              <w:rPr>
                <w:sz w:val="20"/>
                <w:szCs w:val="20"/>
                <w:color w:val="auto"/>
              </w:rPr>
            </w:pPr>
            <w:r>
              <w:rPr>
                <w:rFonts w:ascii="Arial" w:cs="Arial" w:eastAsia="Arial" w:hAnsi="Arial"/>
                <w:sz w:val="18"/>
                <w:szCs w:val="18"/>
                <w:color w:val="auto"/>
              </w:rPr>
              <w:t>Counsel and Assistant Secretary</w:t>
            </w:r>
          </w:p>
        </w:tc>
      </w:tr>
      <w:tr>
        <w:trPr>
          <w:trHeight w:val="675"/>
        </w:trPr>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ABM Industries Incorporated, dated March 7, 2017, announcing financial results related to the first quarter of fiscal year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2017 and the declaration of a dividend payable May 1, 2017 to stockholders of record on April 6, 2017.</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Slides of ABM Industries Incorporated dated 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sectPr>
      </w:pPr>
    </w:p>
    <w:bookmarkStart w:id="4" w:name="page5"/>
    <w:bookmarkEnd w:id="4"/>
    <w:p>
      <w:pPr>
        <w:ind w:left="1032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5222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22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ABM INDUSTRIES ANNOUNCES RESULTS FOR</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FIRST QUARTER FISCAL 2017</w:t>
      </w:r>
    </w:p>
    <w:p>
      <w:pPr>
        <w:spacing w:after="0" w:line="215" w:lineRule="exact"/>
        <w:rPr>
          <w:sz w:val="20"/>
          <w:szCs w:val="20"/>
          <w:color w:val="auto"/>
        </w:rPr>
      </w:pPr>
    </w:p>
    <w:p>
      <w:pPr>
        <w:ind w:left="2820"/>
        <w:spacing w:after="0"/>
        <w:rPr>
          <w:sz w:val="20"/>
          <w:szCs w:val="20"/>
          <w:color w:val="auto"/>
        </w:rPr>
      </w:pPr>
      <w:r>
        <w:rPr>
          <w:rFonts w:ascii="Arial" w:cs="Arial" w:eastAsia="Arial" w:hAnsi="Arial"/>
          <w:sz w:val="20"/>
          <w:szCs w:val="20"/>
          <w:i w:val="1"/>
          <w:iCs w:val="1"/>
          <w:color w:val="auto"/>
        </w:rPr>
        <w:t xml:space="preserve">Revenue Increase of 4.6% to $1.3 billion; Organic Growth of </w:t>
      </w:r>
      <w:r>
        <w:rPr>
          <w:rFonts w:ascii="Arial" w:cs="Arial" w:eastAsia="Arial" w:hAnsi="Arial"/>
          <w:sz w:val="20"/>
          <w:szCs w:val="20"/>
          <w:color w:val="auto"/>
        </w:rPr>
        <w:t>3.6%</w:t>
      </w:r>
    </w:p>
    <w:p>
      <w:pPr>
        <w:spacing w:after="0" w:line="202" w:lineRule="exact"/>
        <w:rPr>
          <w:sz w:val="20"/>
          <w:szCs w:val="20"/>
          <w:color w:val="auto"/>
        </w:rPr>
      </w:pPr>
    </w:p>
    <w:p>
      <w:pPr>
        <w:ind w:left="2940"/>
        <w:spacing w:after="0"/>
        <w:rPr>
          <w:sz w:val="20"/>
          <w:szCs w:val="20"/>
          <w:color w:val="auto"/>
        </w:rPr>
      </w:pPr>
      <w:r>
        <w:rPr>
          <w:rFonts w:ascii="Arial" w:cs="Arial" w:eastAsia="Arial" w:hAnsi="Arial"/>
          <w:sz w:val="20"/>
          <w:szCs w:val="20"/>
          <w:i w:val="1"/>
          <w:iCs w:val="1"/>
          <w:color w:val="auto"/>
        </w:rPr>
        <w:t>GAAP Continuing EPS of $0.28; Adjusted Continuing EPS of $0.38</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Declaration of 204</w:t>
      </w:r>
      <w:r>
        <w:rPr>
          <w:rFonts w:ascii="Arial" w:cs="Arial" w:eastAsia="Arial" w:hAnsi="Arial"/>
          <w:sz w:val="33"/>
          <w:szCs w:val="33"/>
          <w:i w:val="1"/>
          <w:iCs w:val="1"/>
          <w:color w:val="auto"/>
          <w:vertAlign w:val="superscript"/>
        </w:rPr>
        <w:t>th</w:t>
      </w:r>
      <w:r>
        <w:rPr>
          <w:rFonts w:ascii="Arial" w:cs="Arial" w:eastAsia="Arial" w:hAnsi="Arial"/>
          <w:sz w:val="20"/>
          <w:szCs w:val="20"/>
          <w:i w:val="1"/>
          <w:iCs w:val="1"/>
          <w:color w:val="auto"/>
        </w:rPr>
        <w:t xml:space="preserve"> Consecutive Quarterly Dividend</w:t>
      </w:r>
    </w:p>
    <w:p>
      <w:pPr>
        <w:spacing w:after="0" w:line="12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New York, NY - March 7, 2017 - ABM (NYSE: ABM), a leading provider of facility solutions, today announced financial results for the first quarter of fiscal 2017.</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718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millions, except per share amounts)</w:t>
            </w: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 January 31,</w:t>
            </w:r>
          </w:p>
        </w:tc>
        <w:tc>
          <w:tcPr>
            <w:tcW w:w="13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Increase/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71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8"/>
                <w:szCs w:val="8"/>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3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18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(unaudited)</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18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1,326.7</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1,268.4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7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8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7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8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1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Income from continuing operations per diluted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0.28</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Adjusted income from 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21.5</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380" w:type="dxa"/>
            <w:vAlign w:val="bottom"/>
          </w:tcPr>
          <w:p>
            <w:pPr>
              <w:jc w:val="right"/>
              <w:spacing w:after="0"/>
              <w:rPr>
                <w:sz w:val="20"/>
                <w:szCs w:val="20"/>
                <w:color w:val="auto"/>
              </w:rPr>
            </w:pPr>
            <w:r>
              <w:rPr>
                <w:rFonts w:ascii="Arial" w:cs="Arial" w:eastAsia="Arial" w:hAnsi="Arial"/>
                <w:sz w:val="14"/>
                <w:szCs w:val="14"/>
                <w:color w:val="auto"/>
              </w:rPr>
              <w:t>(0.6)</w:t>
            </w:r>
          </w:p>
        </w:tc>
        <w:tc>
          <w:tcPr>
            <w:tcW w:w="2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18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Adjusted income from continuing operations per diluted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0.38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7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8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(56.8)</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6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0"/>
        </w:trPr>
        <w:tc>
          <w:tcPr>
            <w:tcW w:w="71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Net (loss) income per diluted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0.24</w:t>
            </w:r>
          </w:p>
        </w:tc>
        <w:tc>
          <w:tcPr>
            <w:tcW w:w="1620" w:type="dxa"/>
            <w:vAlign w:val="bottom"/>
            <w:tcBorders>
              <w:bottom w:val="single" w:sz="8" w:color="auto"/>
              <w:right w:val="single" w:sz="8" w:color="auto"/>
            </w:tcBorders>
            <w:gridSpan w:val="2"/>
          </w:tcPr>
          <w:p>
            <w:pPr>
              <w:jc w:val="right"/>
              <w:ind w:right="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64"/>
        </w:trPr>
        <w:tc>
          <w:tcPr>
            <w:tcW w:w="71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Net cash used in operating activities of continuing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1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Adjusted EBITDA</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48.1</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380" w:type="dxa"/>
            <w:vAlign w:val="bottom"/>
          </w:tcPr>
          <w:p>
            <w:pPr>
              <w:jc w:val="right"/>
              <w:spacing w:after="0"/>
              <w:rPr>
                <w:sz w:val="20"/>
                <w:szCs w:val="20"/>
                <w:color w:val="auto"/>
              </w:rPr>
            </w:pPr>
            <w:r>
              <w:rPr>
                <w:rFonts w:ascii="Arial" w:cs="Arial" w:eastAsia="Arial" w:hAnsi="Arial"/>
                <w:sz w:val="14"/>
                <w:szCs w:val="14"/>
                <w:color w:val="auto"/>
              </w:rPr>
              <w:t>10.3</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18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Adjusted EBITDA margin</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20bps</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155" w:lineRule="exact"/>
        <w:rPr>
          <w:sz w:val="20"/>
          <w:szCs w:val="20"/>
          <w:color w:val="auto"/>
        </w:rPr>
      </w:pPr>
    </w:p>
    <w:p>
      <w:pPr>
        <w:jc w:val="both"/>
        <w:ind w:right="20"/>
        <w:spacing w:after="0" w:line="243" w:lineRule="auto"/>
        <w:rPr>
          <w:sz w:val="20"/>
          <w:szCs w:val="20"/>
          <w:color w:val="auto"/>
        </w:rPr>
      </w:pPr>
      <w:r>
        <w:rPr>
          <w:rFonts w:ascii="Arial" w:cs="Arial" w:eastAsia="Arial" w:hAnsi="Arial"/>
          <w:sz w:val="14"/>
          <w:szCs w:val="14"/>
          <w:color w:val="auto"/>
        </w:rPr>
        <w:t>This release refers to certain non-GAAP financial measures described as “Adjusted EBITDA” defined as earnings before income from discontinued operations, net of taxes, interest, taxes, depreciation and amortization and excluding items impacting comparability, "Adjusted EBITDA margin", “Adjusted income from continuing operations,” and “Adjusted income from continuing operations per diluted share”. These adjustments have been made with the intent of providing financial measures that give management and investors a more representative understanding of underlying operational results and trends as well as the Company’s operational performance. Management also uses Adjusted EBITDA as a basis for planning and forecasting future periods. Please refer to the accompanying financial schedules for supplemental financial data and corresponding reconciliation of these non-GAAP financial measures to certain GAAP financial measures. We round amounts in these schedules to millions and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Performance</w:t>
      </w:r>
    </w:p>
    <w:p>
      <w:pPr>
        <w:spacing w:after="0" w:line="226"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color w:val="auto"/>
        </w:rPr>
        <w:t>For the first quarter of fiscal 2017, revenues of approximately $ 1.3 billion increased 4.6% and organic revenue increased 3.6%, compared to the first quarter of fiscal 2016. This performance was driven primarily by growth stemming from the Company's Aviation segment due to new business expansions with existing clients, and higher Work Order (tag) sales. Organic growth within the Business &amp; Industry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20"/>
          <w:szCs w:val="20"/>
          <w:color w:val="auto"/>
        </w:rPr>
        <w:t>segment also contributed to the Company's total revenue growth. In addition, acquisitions provided $12.2 million of incremental revenues during the quarter primarily related to the higher margin Technical Solutions segment.</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On a GAAP basis, income from continuing operations was $16.1 million, or $0.28 per diluted share, compared to income from continuing operations of $13.6 million, or $0.24 per diluted share last year, which included the benefit to income taxes of the retroactive reinstatement of the calendar 2015 Work Opportunity Tax Credit (WOTC). The increase in income from continuing operations versus last year primarily reflects higher revenue contribution, the impact of 2020 Vision savings initiatives, and lower items impacting comparability primarily related to the reimbursement of previously expensed fees associated with a concluded F.C.P.A. investigation. These factors offset one additional working day during this quarter.</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Adjusted income from continuing operations for the first quarter of 2017 was $21.5 million, or $0.38 per diluted share, compared to $21.6 million, or $0.38 per diluted share for the first quarter of fiscal 2016. A full description of items impacting comparability which led to the Company's adjusted income from continuing operations can be found in the "Reconciliations of Non-GAAP Financial Measures" table.</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Total net loss for the first quarter of 2017 was $56.8 million, or $1.00 per diluted share, compared to net income of $14.0 million, or $0.24 per diluted share last year. The net loss for the first quarter of 2017 reflects a net loss $72.9 million from discontinued operations predominantly due to the Augustus et. al. v. ABM Security Services, Inc. class action litigation related to the Company's divested Security business.</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Adjusted EBITDA for the quarter was $48.1 million compared to $43.7 million in the first quarter of fiscal 2016. The increase versus last year is primarily attributable to higher revenue contribution and savings related to the Company's 2020 Vision initiatives. Adjusted EBITDA margin for the quarter was 3.6% versus 3.4% last year.</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Scott Salmirs, President and Chief Executive Officer of ABM Industries, commented, "Our strong performance during the first quarter is yet another proof point of our organization's continuous execution despite the many transformative changes we have experienced over the past year. We believe our new 2020 Vision operating structure has now set a foundation upon which we can build as we navigate the next phase of our strategy. We continue to believe that the many changes associated with our strategic transformation will lead to steady margin progression throughout this fiscal year and beyond."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Results</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For the first quarter of fiscal 2017, revenues increased by $58.3 million, or 4.6%, compared to the first quarter of fiscal 2016. The increase in revenues was attributable to organic growth in the Aviation segment's domestic operations as a result of higher passenger services, cabin cleaning, parking and facilities services revenue. Organic revenue growth within the Business &amp; Industry segment as a result of job expansions with existing clients also contributed to the Company's total revenue growth for the quarter. In addition, acquisitions provided $12.2 million of incremental revenues during the quarter primarily reflected in the Technical Solutions.</w:t>
      </w:r>
    </w:p>
    <w:p>
      <w:pPr>
        <w:spacing w:after="0" w:line="196"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Operating profit for the quarter was $23.8 million compared to $13.6 million in the first quarter of fiscal 2016. The increase versus last year is primarily attributable to higher revenue contribution, procurement, organizational savings stemming from the Company's 2020 Vision initiatives which were initiated in fiscal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20"/>
          <w:szCs w:val="20"/>
          <w:color w:val="auto"/>
        </w:rPr>
        <w:t>2016, and the aforementioned lower items impacting comparability. This increase was partially offset by one additional working day during the quarter.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&amp; Capital Structure</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ended the quarter with total debt, including standby letters of credit, of $443.9 million. Total debt to proforma adjusted EBITDA was approximately 2.5x.</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During the quarter, the Company repurchased approximately 0.2 million shares of common stock for $7.9 million. As of January 31, 2017, the Company had $134.1 million of remaining buyback availability under the $200.0 million share repurchase program.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 addition, the Company paid a quarterly cash dividend of $0.170 per common share for a total distribution of $9.4 million.</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Due to the pending settlement agreement related to the Augustus case, the Company is currently reevaluating the timing of share repurchase execution. The Company does not anticipate a long term impact to its overall liquidity as a result of this pending settlement agreement.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Declaration of Quarterly Cash Dividend</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also announced that the Board of Directors has declared a cash dividend of $0.170 per common share for the second quarter of fiscal 2017 payable on May 1, 2017 to shareholders of record on April 6, 2017. This will be the Company's 204th consecutive quarterly cash dividend.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Guidance</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Company continues to expect GAAP income from continuing operations of $1.40 to $1.50 per diluted share, or adjusted income from continuing operations of $1.80 to $1.90 per diluted share for the 2017 fiscal year. With the exception of the 2017 Work Opportunity Tax Credits and the benefit from the adoption of ASU 2016-09, the guidance does not include any additional, potential benefits associated with certain other discrete tax items and other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ABM will host its quarterly conference call for all interested parties on Wednesday, March 8, 2017 at 8:30 AM (ET). The live conference call can be accessed via audio webcast under the "Events &amp; Presentations" section of the Company's Investor Relations website, located at investor.abm.com, or by dialing (877) 664-7395 approximately 15 minutes prior to the scheduled time.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 replay will be available approximately two hours after the recording through March 15, 2017 and can be accessed by dialing</w:t>
      </w:r>
    </w:p>
    <w:p>
      <w:pPr>
        <w:ind w:left="520" w:hanging="512"/>
        <w:spacing w:after="0"/>
        <w:tabs>
          <w:tab w:leader="none" w:pos="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859-2056 and then entering ID #77517060. An archive will also be available on the ABM website for 90 days.</w:t>
      </w:r>
    </w:p>
    <w:p>
      <w:pPr>
        <w:spacing w:after="0" w:line="20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0046AC"/>
        </w:rPr>
        <w:t>ABOUT ABM</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ABM (</w:t>
      </w:r>
      <w:r>
        <w:rPr>
          <w:rFonts w:ascii="Arial" w:cs="Arial" w:eastAsia="Arial" w:hAnsi="Arial"/>
          <w:sz w:val="20"/>
          <w:szCs w:val="20"/>
          <w:u w:val="single" w:color="auto"/>
          <w:color w:val="0563C1"/>
        </w:rPr>
        <w:t>NYSE: ABM</w:t>
      </w:r>
      <w:r>
        <w:rPr>
          <w:rFonts w:ascii="Arial" w:cs="Arial" w:eastAsia="Arial" w:hAnsi="Arial"/>
          <w:sz w:val="20"/>
          <w:szCs w:val="20"/>
          <w:color w:val="auto"/>
        </w:rPr>
        <w:t>) is a leading provider of facility solutions with revenues of approximately $5.1 billion and over 100,000 employees in 300+ offices throughout the United States and various international locations. ABM’s comprehensive capabilities include janitorial, electrical &amp; lighting, energy solutions, facilities engineering, HVAC &amp; mechanical, landscape &amp; turf, mission critical solutions and parking,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7" w:name="page8"/>
    <w:bookmarkEnd w:id="7"/>
    <w:p>
      <w:pPr>
        <w:jc w:val="both"/>
        <w:spacing w:after="0" w:line="247" w:lineRule="auto"/>
        <w:rPr>
          <w:sz w:val="20"/>
          <w:szCs w:val="20"/>
          <w:color w:val="auto"/>
        </w:rPr>
      </w:pPr>
      <w:r>
        <w:rPr>
          <w:rFonts w:ascii="Arial" w:cs="Arial" w:eastAsia="Arial" w:hAnsi="Arial"/>
          <w:sz w:val="19"/>
          <w:szCs w:val="19"/>
          <w:color w:val="auto"/>
        </w:rPr>
        <w:t xml:space="preserve">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19"/>
          <w:szCs w:val="19"/>
          <w:u w:val="single" w:color="auto"/>
          <w:color w:val="0563C1"/>
        </w:rPr>
        <w:t>www.abm.com</w:t>
      </w:r>
      <w:r>
        <w:rPr>
          <w:rFonts w:ascii="Arial" w:cs="Arial" w:eastAsia="Arial" w:hAnsi="Arial"/>
          <w:sz w:val="19"/>
          <w:szCs w:val="19"/>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Cautionary Statement under the Private Securities Litigation Reform Act of 1995</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i w:val="1"/>
          <w:iCs w:val="1"/>
          <w:color w:val="auto"/>
        </w:rPr>
        <w:t>This press release contains both historical and forward-looking statements. In this context,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(1) changes to our businesses, operating structure, financial reporting structure, or personnel relating to the implementation of our 2020 Vision strategic transformation initiative; (2) unfavorable developments in our class and representative actions and other lawsuits alleging various claims; (3) increases in estimates of ultimate insurance losses; (4) challenges implementing our risk management and safety programs; (5) uncertainty in future cash flows, increases in the level of our borrowings, or inability to repurchase shares at anticipated levels; (6) challenges preserving long-term client relationships, passing through costs to clients, responding to competitive pressures, and retaining qualified personnel; (7) challenges in identifying, acquiring, and integrating businesses; (8) unexpected tax liabilities or changes in tax laws; (9) changes in energy prices or energy regulations; (10) deterioration of general economic conditions and reductions in commercial office building occupancy; (11) impairment of goodwill and long-lived assets; (12) changes in immigration laws or enforcement actions or investigations under such laws; (13) significant delays or reductions in appropriations for our government contracts; (14) failure of our joint venture partners to perform their obligations; (15) inability to complete the sale of our Government Services business in a timely manner or within the price range we have assumed, or at all; (16) losses or other incidents at facilities in which we operate; (17) difficulty responding to cyber-security risks and business interruptions; (18) liabilities associated with participation in multiemployer pension plans; (19) actions of activist investors; and (20) weather conditions, catastrophic events, disasters, operations in areas of military conflict, and terrorist attacks. The list of factors above is illustrative and by no means exhaustive. Additional information regarding these and other risks and uncertainties we face is contained in our Annual Report on Form 10-K for the year ended October 31, 2016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 looking statements, which speak only as of the date made. We undertake no obligation to publicly update any forward-looking statements, whether as a result of new information, future events, or otherwise, except as required by law.</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income from continuing operations and income from continuing operations per diluted share as adjusted for items impacting comparability, for the first quarter of fiscal years 2017 and 2016.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income from discontinued operations, net of taxes, interest, taxes, depreciation and amortization and excluding items impacting comparability (adjusted EBITDA) for the first quarter of fiscal years 2017 and 2016.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i w:val="1"/>
                <w:iCs w:val="1"/>
                <w:color w:val="auto"/>
              </w:rPr>
              <w:t>Contact:</w:t>
            </w:r>
          </w:p>
        </w:tc>
        <w:tc>
          <w:tcPr>
            <w:tcW w:w="2260" w:type="dxa"/>
            <w:vAlign w:val="bottom"/>
          </w:tcPr>
          <w:p>
            <w:pPr>
              <w:spacing w:after="0"/>
              <w:rPr>
                <w:sz w:val="19"/>
                <w:szCs w:val="19"/>
                <w:color w:val="auto"/>
              </w:rPr>
            </w:pPr>
          </w:p>
        </w:tc>
        <w:tc>
          <w:tcPr>
            <w:tcW w:w="8300" w:type="dxa"/>
            <w:vAlign w:val="bottom"/>
            <w:gridSpan w:val="3"/>
            <w:vMerge w:val="restart"/>
          </w:tcPr>
          <w:p>
            <w:pPr>
              <w:ind w:left="720"/>
              <w:spacing w:after="0"/>
              <w:rPr>
                <w:sz w:val="20"/>
                <w:szCs w:val="20"/>
                <w:color w:val="auto"/>
              </w:rPr>
            </w:pPr>
            <w:r>
              <w:rPr>
                <w:rFonts w:ascii="Arial" w:cs="Arial" w:eastAsia="Arial" w:hAnsi="Arial"/>
                <w:sz w:val="20"/>
                <w:szCs w:val="20"/>
                <w:color w:val="auto"/>
              </w:rPr>
              <w:t>Susie A. Choi</w:t>
            </w:r>
          </w:p>
        </w:tc>
        <w:tc>
          <w:tcPr>
            <w:tcW w:w="0" w:type="dxa"/>
            <w:vAlign w:val="bottom"/>
          </w:tcPr>
          <w:p>
            <w:pPr>
              <w:spacing w:after="0"/>
              <w:rPr>
                <w:sz w:val="1"/>
                <w:szCs w:val="1"/>
                <w:color w:val="auto"/>
              </w:rPr>
            </w:pPr>
          </w:p>
        </w:tc>
      </w:tr>
      <w:tr>
        <w:trPr>
          <w:trHeight w:val="219"/>
        </w:trPr>
        <w:tc>
          <w:tcPr>
            <w:tcW w:w="3120" w:type="dxa"/>
            <w:vAlign w:val="bottom"/>
            <w:gridSpan w:val="2"/>
          </w:tcPr>
          <w:p>
            <w:pPr>
              <w:spacing w:after="0" w:line="220" w:lineRule="exact"/>
              <w:rPr>
                <w:sz w:val="20"/>
                <w:szCs w:val="20"/>
                <w:color w:val="auto"/>
              </w:rPr>
            </w:pPr>
            <w:r>
              <w:rPr>
                <w:rFonts w:ascii="Arial" w:cs="Arial" w:eastAsia="Arial" w:hAnsi="Arial"/>
                <w:sz w:val="20"/>
                <w:szCs w:val="20"/>
                <w:color w:val="auto"/>
              </w:rPr>
              <w:t>Investor &amp; Media Relations:</w:t>
            </w:r>
          </w:p>
        </w:tc>
        <w:tc>
          <w:tcPr>
            <w:tcW w:w="8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0" w:type="dxa"/>
            <w:vAlign w:val="bottom"/>
            <w:gridSpan w:val="2"/>
          </w:tcPr>
          <w:p>
            <w:pPr>
              <w:ind w:left="720"/>
              <w:spacing w:after="0" w:line="216" w:lineRule="exact"/>
              <w:rPr>
                <w:sz w:val="20"/>
                <w:szCs w:val="20"/>
                <w:color w:val="auto"/>
              </w:rPr>
            </w:pPr>
            <w:r>
              <w:rPr>
                <w:rFonts w:ascii="Arial" w:cs="Arial" w:eastAsia="Arial" w:hAnsi="Arial"/>
                <w:sz w:val="20"/>
                <w:szCs w:val="20"/>
                <w:color w:val="auto"/>
              </w:rPr>
              <w:t>(212) 297-9721</w:t>
            </w: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300" w:type="dxa"/>
            <w:vAlign w:val="bottom"/>
            <w:gridSpan w:val="3"/>
          </w:tcPr>
          <w:p>
            <w:pPr>
              <w:ind w:left="720"/>
              <w:spacing w:after="0" w:line="193" w:lineRule="exact"/>
              <w:rPr>
                <w:sz w:val="20"/>
                <w:szCs w:val="20"/>
                <w:color w:val="auto"/>
              </w:rPr>
            </w:pPr>
            <w:r>
              <w:rPr>
                <w:rFonts w:ascii="Arial" w:cs="Arial" w:eastAsia="Arial" w:hAnsi="Arial"/>
                <w:sz w:val="20"/>
                <w:szCs w:val="20"/>
                <w:color w:val="0000FF"/>
              </w:rPr>
              <w:t>susie.choi@abm.com</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jc w:val="right"/>
              <w:ind w:right="56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9"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Financial Schedules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INCOME STATEMENT INFORMATION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January 31,</w:t>
            </w:r>
          </w:p>
        </w:tc>
        <w:tc>
          <w:tcPr>
            <w:tcW w:w="100" w:type="dxa"/>
            <w:vAlign w:val="bottom"/>
          </w:tcPr>
          <w:p>
            <w:pPr>
              <w:spacing w:after="0"/>
              <w:rPr>
                <w:sz w:val="18"/>
                <w:szCs w:val="18"/>
                <w:color w:val="auto"/>
              </w:rPr>
            </w:pPr>
          </w:p>
        </w:tc>
        <w:tc>
          <w:tcPr>
            <w:tcW w:w="1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Increase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(in millions, except per share amounts)</w:t>
            </w:r>
          </w:p>
        </w:tc>
        <w:tc>
          <w:tcPr>
            <w:tcW w:w="2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(Decrease)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shd w:val="clear" w:color="auto" w:fill="CCEEFF"/>
          </w:tcPr>
          <w:p>
            <w:pPr>
              <w:ind w:left="60"/>
              <w:spacing w:after="0"/>
              <w:rPr>
                <w:sz w:val="20"/>
                <w:szCs w:val="20"/>
                <w:color w:val="auto"/>
              </w:rPr>
            </w:pPr>
            <w:r>
              <w:rPr>
                <w:rFonts w:ascii="Arial" w:cs="Arial" w:eastAsia="Arial" w:hAnsi="Arial"/>
                <w:sz w:val="16"/>
                <w:szCs w:val="16"/>
                <w:b w:val="1"/>
                <w:bCs w:val="1"/>
                <w:color w:val="auto"/>
              </w:rPr>
              <w:t>Revenues</w:t>
            </w: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gridSpan w:val="3"/>
            <w:vMerge w:val="continue"/>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1,326.7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00" w:type="dxa"/>
            <w:vAlign w:val="bottom"/>
            <w:gridSpan w:val="3"/>
          </w:tcPr>
          <w:p>
            <w:pPr>
              <w:ind w:left="60"/>
              <w:spacing w:after="0"/>
              <w:rPr>
                <w:sz w:val="20"/>
                <w:szCs w:val="20"/>
                <w:color w:val="auto"/>
              </w:rPr>
            </w:pPr>
            <w:r>
              <w:rPr>
                <w:rFonts w:ascii="Arial" w:cs="Arial" w:eastAsia="Arial" w:hAnsi="Arial"/>
                <w:sz w:val="16"/>
                <w:szCs w:val="16"/>
                <w:b w:val="1"/>
                <w:bCs w:val="1"/>
                <w:color w:val="auto"/>
              </w:rPr>
              <w:t>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240" w:type="dxa"/>
            <w:vAlign w:val="bottom"/>
            <w:gridSpan w:val="2"/>
          </w:tcPr>
          <w:p>
            <w:pPr>
              <w:ind w:left="320"/>
              <w:spacing w:after="0"/>
              <w:rPr>
                <w:sz w:val="20"/>
                <w:szCs w:val="20"/>
                <w:color w:val="auto"/>
              </w:rPr>
            </w:pPr>
            <w:r>
              <w:rPr>
                <w:rFonts w:ascii="Arial" w:cs="Arial" w:eastAsia="Arial" w:hAnsi="Arial"/>
                <w:sz w:val="16"/>
                <w:szCs w:val="16"/>
                <w:color w:val="auto"/>
              </w:rPr>
              <w:t>Selling, general and administrative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99.9</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Restructuring and related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6"/>
        </w:trPr>
        <w:tc>
          <w:tcPr>
            <w:tcW w:w="6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Amortization of intangible assets</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15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1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1,254.8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gridSpan w:val="3"/>
          </w:tcPr>
          <w:p>
            <w:pPr>
              <w:ind w:left="60"/>
              <w:spacing w:after="0"/>
              <w:rPr>
                <w:sz w:val="20"/>
                <w:szCs w:val="20"/>
                <w:color w:val="auto"/>
              </w:rPr>
            </w:pPr>
            <w:r>
              <w:rPr>
                <w:rFonts w:ascii="Arial" w:cs="Arial" w:eastAsia="Arial" w:hAnsi="Arial"/>
                <w:sz w:val="16"/>
                <w:szCs w:val="16"/>
                <w:color w:val="auto"/>
              </w:rPr>
              <w:t>Operating profit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74.9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Income from unconsolidated affiliates,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Interest expense</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5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0"/>
        </w:trPr>
        <w:tc>
          <w:tcPr>
            <w:tcW w:w="530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Income from continuing operations before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Income tax (provision) benefit</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530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Income from continuing operations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Net (loss) income from discontinued operations</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3"/>
        </w:trPr>
        <w:tc>
          <w:tcPr>
            <w:tcW w:w="530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Net (loss)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3"/>
            <w:vMerge w:val="restart"/>
          </w:tcPr>
          <w:p>
            <w:pPr>
              <w:ind w:left="60"/>
              <w:spacing w:after="0"/>
              <w:rPr>
                <w:sz w:val="20"/>
                <w:szCs w:val="20"/>
                <w:color w:val="auto"/>
              </w:rPr>
            </w:pPr>
            <w:r>
              <w:rPr>
                <w:rFonts w:ascii="Arial" w:cs="Arial" w:eastAsia="Arial" w:hAnsi="Arial"/>
                <w:sz w:val="16"/>
                <w:szCs w:val="16"/>
                <w:b w:val="1"/>
                <w:bCs w:val="1"/>
                <w:color w:val="auto"/>
              </w:rPr>
              <w:t>Net (loss) income per common share — basic</w:t>
            </w: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gridSpan w:val="3"/>
            <w:vMerge w:val="continue"/>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Income from continuing operations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(Loss) income from discontinued operations</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(loss)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530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(loss) income per common share — diluted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Income from continuing operations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Loss from discontinued operations</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(loss)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71"/>
        </w:trPr>
        <w:tc>
          <w:tcPr>
            <w:tcW w:w="5300" w:type="dxa"/>
            <w:vAlign w:val="bottom"/>
            <w:gridSpan w:val="3"/>
          </w:tcPr>
          <w:p>
            <w:pPr>
              <w:ind w:left="60"/>
              <w:spacing w:after="0" w:line="171" w:lineRule="exact"/>
              <w:rPr>
                <w:sz w:val="20"/>
                <w:szCs w:val="20"/>
                <w:color w:val="auto"/>
              </w:rPr>
            </w:pPr>
            <w:r>
              <w:rPr>
                <w:rFonts w:ascii="Arial" w:cs="Arial" w:eastAsia="Arial" w:hAnsi="Arial"/>
                <w:sz w:val="16"/>
                <w:szCs w:val="16"/>
                <w:b w:val="1"/>
                <w:bCs w:val="1"/>
                <w:color w:val="auto"/>
              </w:rPr>
              <w:t>Weighted-average common and common equivalent</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300" w:type="dxa"/>
            <w:vAlign w:val="bottom"/>
            <w:gridSpan w:val="3"/>
          </w:tcPr>
          <w:p>
            <w:pPr>
              <w:ind w:left="60"/>
              <w:spacing w:after="0"/>
              <w:rPr>
                <w:sz w:val="20"/>
                <w:szCs w:val="20"/>
                <w:color w:val="auto"/>
              </w:rPr>
            </w:pPr>
            <w:r>
              <w:rPr>
                <w:rFonts w:ascii="Arial" w:cs="Arial" w:eastAsia="Arial" w:hAnsi="Arial"/>
                <w:sz w:val="16"/>
                <w:szCs w:val="16"/>
                <w:b w:val="1"/>
                <w:bCs w:val="1"/>
                <w:color w:val="auto"/>
              </w:rPr>
              <w:t>shares outstanding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240" w:type="dxa"/>
            <w:vAlign w:val="bottom"/>
            <w:gridSpan w:val="2"/>
          </w:tcPr>
          <w:p>
            <w:pPr>
              <w:ind w:left="320"/>
              <w:spacing w:after="0"/>
              <w:rPr>
                <w:sz w:val="20"/>
                <w:szCs w:val="20"/>
                <w:color w:val="auto"/>
              </w:rPr>
            </w:pPr>
            <w:r>
              <w:rPr>
                <w:rFonts w:ascii="Arial" w:cs="Arial" w:eastAsia="Arial" w:hAnsi="Arial"/>
                <w:sz w:val="16"/>
                <w:szCs w:val="16"/>
                <w:color w:val="auto"/>
              </w:rPr>
              <w:t>Diluted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0.170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0.165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CONSOLIDATED CASH FLOW INFORMATION (UNAUDITED)</w:t>
      </w:r>
    </w:p>
    <w:p>
      <w:pPr>
        <w:spacing w:after="0" w:line="239"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14605</wp:posOffset>
            </wp:positionV>
            <wp:extent cx="2092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7260" w:type="dxa"/>
            <w:vAlign w:val="bottom"/>
            <w:gridSpan w:val="2"/>
          </w:tcPr>
          <w:p>
            <w:pPr>
              <w:ind w:left="60"/>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
        </w:trPr>
        <w:tc>
          <w:tcPr>
            <w:tcW w:w="760" w:type="dxa"/>
            <w:vAlign w:val="bottom"/>
            <w:tcBorders>
              <w:left w:val="single" w:sz="8" w:color="CCEEFF"/>
            </w:tcBorders>
            <w:shd w:val="clear" w:color="auto" w:fill="000000"/>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Net cash used in operating activities of continuing operations</w:t>
            </w:r>
          </w:p>
        </w:tc>
        <w:tc>
          <w:tcPr>
            <w:tcW w:w="12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Net cash used in operating activities of discontinued operations</w:t>
            </w: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23"/>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Net cash used in operating activities</w:t>
            </w: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6"/>
                <w:szCs w:val="16"/>
                <w:color w:val="auto"/>
              </w:rPr>
              <w:t>Purchase of businesses, net of cash acquired</w:t>
            </w: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60" w:type="dxa"/>
            <w:vAlign w:val="bottom"/>
            <w:gridSpan w:val="2"/>
            <w:vMerge w:val="continue"/>
          </w:tcPr>
          <w:p>
            <w:pPr>
              <w:spacing w:after="0"/>
              <w:rPr>
                <w:sz w:val="14"/>
                <w:szCs w:val="14"/>
                <w:color w:val="auto"/>
              </w:rPr>
            </w:pPr>
          </w:p>
        </w:tc>
        <w:tc>
          <w:tcPr>
            <w:tcW w:w="1220" w:type="dxa"/>
            <w:vAlign w:val="bottom"/>
            <w:gridSpan w:val="2"/>
          </w:tcPr>
          <w:p>
            <w:pPr>
              <w:jc w:val="right"/>
              <w:ind w:right="179"/>
              <w:spacing w:after="0" w:line="170"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70" w:lineRule="exact"/>
              <w:rPr>
                <w:sz w:val="20"/>
                <w:szCs w:val="20"/>
                <w:color w:val="auto"/>
              </w:rPr>
            </w:pPr>
            <w:r>
              <w:rPr>
                <w:rFonts w:ascii="Arial" w:cs="Arial" w:eastAsia="Arial" w:hAnsi="Arial"/>
                <w:sz w:val="16"/>
                <w:szCs w:val="16"/>
                <w:color w:val="auto"/>
              </w:rPr>
              <w:t>(18.6)</w:t>
            </w:r>
          </w:p>
        </w:tc>
        <w:tc>
          <w:tcPr>
            <w:tcW w:w="440" w:type="dxa"/>
            <w:vAlign w:val="bottom"/>
            <w:gridSpan w:val="2"/>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0" w:lineRule="exact"/>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6"/>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3"/>
        </w:trPr>
        <w:tc>
          <w:tcPr>
            <w:tcW w:w="72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cash used in investing activities</w:t>
            </w:r>
          </w:p>
        </w:tc>
        <w:tc>
          <w:tcPr>
            <w:tcW w:w="86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lef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(Taxes withheld) and proceeds from issuance of share-based compensation awards, net</w:t>
            </w: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60" w:type="dxa"/>
            <w:vAlign w:val="bottom"/>
            <w:tcBorders>
              <w:left w:val="single" w:sz="8" w:color="CCEEFF"/>
            </w:tcBorders>
            <w:gridSpan w:val="2"/>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79"/>
              <w:spacing w:after="0" w:line="170"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(1.0)</w:t>
            </w:r>
          </w:p>
        </w:tc>
        <w:tc>
          <w:tcPr>
            <w:tcW w:w="440" w:type="dxa"/>
            <w:vAlign w:val="bottom"/>
            <w:gridSpan w:val="2"/>
            <w:shd w:val="clear" w:color="auto" w:fill="CCEEFF"/>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260" w:type="dxa"/>
            <w:vAlign w:val="bottom"/>
            <w:gridSpan w:val="2"/>
          </w:tcPr>
          <w:p>
            <w:pPr>
              <w:ind w:left="60"/>
              <w:spacing w:after="0"/>
              <w:rPr>
                <w:sz w:val="20"/>
                <w:szCs w:val="20"/>
                <w:color w:val="auto"/>
              </w:rPr>
            </w:pPr>
            <w:r>
              <w:rPr>
                <w:rFonts w:ascii="Arial" w:cs="Arial" w:eastAsia="Arial" w:hAnsi="Arial"/>
                <w:sz w:val="16"/>
                <w:szCs w:val="16"/>
                <w:color w:val="auto"/>
              </w:rPr>
              <w:t>Incremental tax benefit from share-based compensation awards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7260" w:type="dxa"/>
            <w:vAlign w:val="bottom"/>
            <w:gridSpan w:val="2"/>
          </w:tcPr>
          <w:p>
            <w:pPr>
              <w:ind w:left="60"/>
              <w:spacing w:after="0"/>
              <w:rPr>
                <w:sz w:val="20"/>
                <w:szCs w:val="20"/>
                <w:color w:val="auto"/>
              </w:rPr>
            </w:pPr>
            <w:r>
              <w:rPr>
                <w:rFonts w:ascii="Arial" w:cs="Arial" w:eastAsia="Arial" w:hAnsi="Arial"/>
                <w:sz w:val="16"/>
                <w:szCs w:val="16"/>
                <w:color w:val="auto"/>
              </w:rPr>
              <w:t>Dividends paid</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Deferred financing costs paid</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7260" w:type="dxa"/>
            <w:vAlign w:val="bottom"/>
            <w:gridSpan w:val="2"/>
          </w:tcPr>
          <w:p>
            <w:pPr>
              <w:ind w:left="60"/>
              <w:spacing w:after="0"/>
              <w:rPr>
                <w:sz w:val="20"/>
                <w:szCs w:val="20"/>
                <w:color w:val="auto"/>
              </w:rPr>
            </w:pPr>
            <w:r>
              <w:rPr>
                <w:rFonts w:ascii="Arial" w:cs="Arial" w:eastAsia="Arial" w:hAnsi="Arial"/>
                <w:sz w:val="16"/>
                <w:szCs w:val="16"/>
                <w:color w:val="auto"/>
              </w:rPr>
              <w:t>Borrowings from line of credit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16"/>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Repayment of borrowings from line of credit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216"/>
        </w:trPr>
        <w:tc>
          <w:tcPr>
            <w:tcW w:w="7260" w:type="dxa"/>
            <w:vAlign w:val="bottom"/>
            <w:gridSpan w:val="2"/>
          </w:tcPr>
          <w:p>
            <w:pPr>
              <w:ind w:left="60"/>
              <w:spacing w:after="0"/>
              <w:rPr>
                <w:sz w:val="20"/>
                <w:szCs w:val="20"/>
                <w:color w:val="auto"/>
              </w:rPr>
            </w:pPr>
            <w:r>
              <w:rPr>
                <w:rFonts w:ascii="Arial" w:cs="Arial" w:eastAsia="Arial" w:hAnsi="Arial"/>
                <w:sz w:val="16"/>
                <w:szCs w:val="16"/>
                <w:color w:val="auto"/>
              </w:rPr>
              <w:t>Changes in book cash overdrafts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Financing of energy savings performance contracts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Repayment of capital lease obligations</w:t>
            </w: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3"/>
        </w:trPr>
        <w:tc>
          <w:tcPr>
            <w:tcW w:w="726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Net cash provided by financing activities</w:t>
            </w:r>
          </w:p>
        </w:tc>
        <w:tc>
          <w:tcPr>
            <w:tcW w:w="12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 INFORMATION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 w:type="dxa"/>
            <w:vAlign w:val="bottom"/>
          </w:tcPr>
          <w:p>
            <w:pPr>
              <w:spacing w:after="0"/>
              <w:rPr>
                <w:sz w:val="16"/>
                <w:szCs w:val="16"/>
                <w:color w:val="auto"/>
              </w:rPr>
            </w:pPr>
          </w:p>
        </w:tc>
        <w:tc>
          <w:tcPr>
            <w:tcW w:w="6200" w:type="dxa"/>
            <w:vAlign w:val="bottom"/>
            <w:gridSpan w:val="2"/>
          </w:tcPr>
          <w:p>
            <w:pPr>
              <w:spacing w:after="0"/>
              <w:rPr>
                <w:sz w:val="20"/>
                <w:szCs w:val="20"/>
                <w:color w:val="auto"/>
              </w:rPr>
            </w:pPr>
            <w:r>
              <w:rPr>
                <w:rFonts w:ascii="Arial" w:cs="Arial" w:eastAsia="Arial" w:hAnsi="Arial"/>
                <w:sz w:val="13"/>
                <w:szCs w:val="13"/>
                <w:i w:val="1"/>
                <w:iCs w:val="1"/>
                <w:color w:val="auto"/>
              </w:rPr>
              <w:t>(in millions)</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January 31, 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2016</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Current assets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6"/>
                <w:szCs w:val="16"/>
                <w:color w:val="auto"/>
              </w:rPr>
              <w:t>Trade accounts receivable, net of allowances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855.9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795.6</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6"/>
                <w:szCs w:val="16"/>
                <w:color w:val="auto"/>
              </w:rPr>
              <w:t>Other current assets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Assets held for sale</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0"/>
        </w:trPr>
        <w:tc>
          <w:tcPr>
            <w:tcW w:w="60" w:type="dxa"/>
            <w:vAlign w:val="bottom"/>
            <w:tcBorders>
              <w:bottom w:val="single" w:sz="8" w:color="CCEEFF"/>
            </w:tcBorders>
          </w:tcPr>
          <w:p>
            <w:pPr>
              <w:spacing w:after="0"/>
              <w:rPr>
                <w:sz w:val="18"/>
                <w:szCs w:val="18"/>
                <w:color w:val="auto"/>
              </w:rPr>
            </w:pPr>
          </w:p>
        </w:tc>
        <w:tc>
          <w:tcPr>
            <w:tcW w:w="62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current assets</w:t>
            </w:r>
          </w:p>
        </w:tc>
        <w:tc>
          <w:tcPr>
            <w:tcW w:w="1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993.7</w:t>
            </w:r>
          </w:p>
        </w:tc>
        <w:tc>
          <w:tcPr>
            <w:tcW w:w="0" w:type="dxa"/>
            <w:vAlign w:val="bottom"/>
          </w:tcPr>
          <w:p>
            <w:pPr>
              <w:spacing w:after="0"/>
              <w:rPr>
                <w:sz w:val="1"/>
                <w:szCs w:val="1"/>
                <w:color w:val="auto"/>
              </w:rPr>
            </w:pPr>
          </w:p>
        </w:tc>
      </w:tr>
      <w:tr>
        <w:trPr>
          <w:trHeight w:val="210"/>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Other investments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Property, plant and equipment, net of accumulated depreciation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Goodwill</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924.7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Deferred income tax asset, net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Other noncurrent assets</w:t>
            </w: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Total assets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2,411.9</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2,281.2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3"/>
            <w:vMerge w:val="restart"/>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3"/>
            <w:vMerge w:val="continue"/>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Current liabilities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6"/>
                <w:szCs w:val="16"/>
                <w:color w:val="auto"/>
              </w:rPr>
              <w:t>Trade accounts payable</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187.3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6"/>
                <w:szCs w:val="16"/>
                <w:color w:val="auto"/>
              </w:rPr>
              <w:t>Accrued taxes—other than income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Insurance claims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16"/>
        </w:trPr>
        <w:tc>
          <w:tcPr>
            <w:tcW w:w="60" w:type="dxa"/>
            <w:vAlign w:val="bottom"/>
            <w:tcBorders>
              <w:bottom w:val="single" w:sz="8" w:color="CCEEFF"/>
            </w:tcBorders>
          </w:tcPr>
          <w:p>
            <w:pPr>
              <w:spacing w:after="0"/>
              <w:rPr>
                <w:sz w:val="18"/>
                <w:szCs w:val="18"/>
                <w:color w:val="auto"/>
              </w:rPr>
            </w:pPr>
          </w:p>
        </w:tc>
        <w:tc>
          <w:tcPr>
            <w:tcW w:w="6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Liabilities held for sale</w:t>
            </w:r>
          </w:p>
        </w:tc>
        <w:tc>
          <w:tcPr>
            <w:tcW w:w="1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current liabilities</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741.3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10"/>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Noncurrent income taxes payable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Line of credit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1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Deferred income tax liability, net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Noncurrent insurance claims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230"/>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Other noncurrent liabilities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96"/>
        </w:trPr>
        <w:tc>
          <w:tcPr>
            <w:tcW w:w="60" w:type="dxa"/>
            <w:vAlign w:val="bottom"/>
            <w:tcBorders>
              <w:top w:val="single" w:sz="8" w:color="CCEEFF"/>
            </w:tcBorders>
            <w:shd w:val="clear" w:color="auto" w:fill="CCEEFF"/>
          </w:tcPr>
          <w:p>
            <w:pPr>
              <w:spacing w:after="0"/>
              <w:rPr>
                <w:sz w:val="17"/>
                <w:szCs w:val="17"/>
                <w:color w:val="auto"/>
              </w:rPr>
            </w:pPr>
          </w:p>
        </w:tc>
        <w:tc>
          <w:tcPr>
            <w:tcW w:w="62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CCEEFF"/>
            </w:tcBorders>
          </w:tcPr>
          <w:p>
            <w:pPr>
              <w:spacing w:after="0"/>
              <w:rPr>
                <w:sz w:val="18"/>
                <w:szCs w:val="18"/>
                <w:color w:val="auto"/>
              </w:rPr>
            </w:pPr>
          </w:p>
        </w:tc>
        <w:tc>
          <w:tcPr>
            <w:tcW w:w="6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stockholders' equity</w:t>
            </w:r>
          </w:p>
        </w:tc>
        <w:tc>
          <w:tcPr>
            <w:tcW w:w="1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907.4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974.0</w:t>
            </w: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2,411.9</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2,281.2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1" w:name="page12"/>
    <w:bookmarkEnd w:id="11"/>
    <w:p>
      <w:pPr>
        <w:ind w:right="5120"/>
        <w:spacing w:after="0" w:line="494" w:lineRule="auto"/>
        <w:rPr>
          <w:sz w:val="20"/>
          <w:szCs w:val="20"/>
          <w:color w:val="auto"/>
        </w:rPr>
      </w:pPr>
      <w:r>
        <w:rPr>
          <w:rFonts w:ascii="Arial" w:cs="Arial" w:eastAsia="Arial" w:hAnsi="Arial"/>
          <w:sz w:val="19"/>
          <w:szCs w:val="19"/>
          <w:b w:val="1"/>
          <w:bCs w:val="1"/>
          <w:color w:val="auto"/>
        </w:rPr>
        <w:t>ABM INDUSTRIES INCORPORATED AND SUBSIDIARIES REVENUES AND OPERATING PROFIT BY SEGMENT (UNAUDITED)</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January 31,</w:t>
            </w:r>
          </w:p>
        </w:tc>
        <w:tc>
          <w:tcPr>
            <w:tcW w:w="10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Increase/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80" w:type="dxa"/>
            <w:vAlign w:val="bottom"/>
            <w:gridSpan w:val="2"/>
          </w:tcPr>
          <w:p>
            <w:pPr>
              <w:ind w:left="6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(Decrease)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CCEEFF"/>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3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2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Business &amp; Industry</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755.0</w:t>
            </w:r>
          </w:p>
        </w:tc>
        <w:tc>
          <w:tcPr>
            <w:tcW w:w="1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743.6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Aviation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Emerging Industries Group</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199.1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Technical Solutions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Government Services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Total revenues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Business &amp; Industry</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Aviation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Emerging Industries Group</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6"/>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Technical Solutions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Government Services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628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Adjustment for income from unconsolidated affiliates, net, included in Aviation and</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8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Government Services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191"/>
        </w:trPr>
        <w:tc>
          <w:tcPr>
            <w:tcW w:w="6280" w:type="dxa"/>
            <w:vAlign w:val="bottom"/>
            <w:gridSpan w:val="2"/>
          </w:tcPr>
          <w:p>
            <w:pPr>
              <w:ind w:left="80"/>
              <w:spacing w:after="0"/>
              <w:rPr>
                <w:sz w:val="20"/>
                <w:szCs w:val="20"/>
                <w:color w:val="auto"/>
              </w:rPr>
            </w:pPr>
            <w:r>
              <w:rPr>
                <w:rFonts w:ascii="Arial" w:cs="Arial" w:eastAsia="Arial" w:hAnsi="Arial"/>
                <w:sz w:val="16"/>
                <w:szCs w:val="16"/>
                <w:color w:val="auto"/>
              </w:rPr>
              <w:t>Adjustment for tax deductions for energy efficient government buildings, included in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Technical Solutions</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Income from unconsolidated affiliates,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0"/>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64.9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Income tax (provision) benefit</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6280" w:type="dxa"/>
            <w:vAlign w:val="bottom"/>
            <w:gridSpan w:val="2"/>
          </w:tcPr>
          <w:p>
            <w:pPr>
              <w:ind w:left="6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Net (loss) income from discontinued operations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3"/>
        </w:trPr>
        <w:tc>
          <w:tcPr>
            <w:tcW w:w="62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(loss) income</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9"/>
                <w:szCs w:val="19"/>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 w:name="page13"/>
    <w:bookmarkEnd w:id="12"/>
    <w:p>
      <w:pPr>
        <w:ind w:right="4480"/>
        <w:spacing w:after="0" w:line="284" w:lineRule="auto"/>
        <w:rPr>
          <w:sz w:val="20"/>
          <w:szCs w:val="20"/>
          <w:color w:val="auto"/>
        </w:rPr>
      </w:pPr>
      <w:r>
        <w:rPr>
          <w:rFonts w:ascii="Arial" w:cs="Arial" w:eastAsia="Arial" w:hAnsi="Arial"/>
          <w:sz w:val="19"/>
          <w:szCs w:val="19"/>
          <w:b w:val="1"/>
          <w:bCs w:val="1"/>
          <w:color w:val="auto"/>
        </w:rPr>
        <w:t>ABM INDUSTRIES INCORPORATED AND SUBSIDIARIES RECONCILIATIONS OF NON-GAAP FINANCIAL MEASURES (UNAUDITED)</w:t>
      </w:r>
    </w:p>
    <w:p>
      <w:pPr>
        <w:spacing w:after="0" w:line="168" w:lineRule="exact"/>
        <w:rPr>
          <w:sz w:val="20"/>
          <w:szCs w:val="20"/>
          <w:color w:val="auto"/>
        </w:rPr>
      </w:pPr>
    </w:p>
    <w:p>
      <w:pPr>
        <w:ind w:left="60"/>
        <w:spacing w:after="0"/>
        <w:tabs>
          <w:tab w:leader="none" w:pos="8480" w:val="left"/>
        </w:tabs>
        <w:rPr>
          <w:sz w:val="20"/>
          <w:szCs w:val="20"/>
          <w:color w:val="auto"/>
        </w:rPr>
      </w:pPr>
      <w:r>
        <w:rPr>
          <w:rFonts w:ascii="Arial" w:cs="Arial" w:eastAsia="Arial" w:hAnsi="Arial"/>
          <w:sz w:val="14"/>
          <w:szCs w:val="14"/>
          <w:i w:val="1"/>
          <w:iCs w:val="1"/>
          <w:u w:val="single" w:color="auto"/>
          <w:color w:val="auto"/>
        </w:rPr>
        <w:t>(in millions, except per share amounts)</w:t>
      </w:r>
      <w:r>
        <w:rPr>
          <w:sz w:val="20"/>
          <w:szCs w:val="20"/>
          <w:color w:val="auto"/>
        </w:rPr>
        <w:tab/>
      </w: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14605</wp:posOffset>
            </wp:positionV>
            <wp:extent cx="2092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6" w:lineRule="exact"/>
        <w:rPr>
          <w:sz w:val="20"/>
          <w:szCs w:val="20"/>
          <w:color w:val="auto"/>
        </w:rPr>
      </w:pPr>
    </w:p>
    <w:p>
      <w:pPr>
        <w:ind w:left="8740"/>
        <w:spacing w:after="0"/>
        <w:tabs>
          <w:tab w:leader="none" w:pos="1042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Reconciliation of Income from Continuing Operations to Adjusted Income from Continuing Operations</w:t>
      </w:r>
    </w:p>
    <w:p>
      <w:pPr>
        <w:sectPr>
          <w:pgSz w:w="11900" w:h="16838" w:orient="portrait"/>
          <w:cols w:equalWidth="0" w:num="1">
            <w:col w:w="11420"/>
          </w:cols>
          <w:pgMar w:left="240" w:top="895" w:right="239" w:bottom="1440" w:gutter="0" w:footer="0" w:header="0"/>
        </w:sectPr>
      </w:pP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60"/>
        <w:spacing w:after="0" w:line="200" w:lineRule="auto"/>
        <w:rPr>
          <w:sz w:val="20"/>
          <w:szCs w:val="20"/>
          <w:color w:val="auto"/>
        </w:rPr>
      </w:pPr>
      <w:r>
        <w:rPr>
          <w:rFonts w:ascii="Arial" w:cs="Arial" w:eastAsia="Arial" w:hAnsi="Arial"/>
          <w:sz w:val="16"/>
          <w:szCs w:val="16"/>
          <w:color w:val="auto"/>
        </w:rPr>
        <w:t>Items impacting comparability</w:t>
      </w:r>
      <w:r>
        <w:rPr>
          <w:rFonts w:ascii="Arial" w:cs="Arial" w:eastAsia="Arial" w:hAnsi="Arial"/>
          <w:sz w:val="27"/>
          <w:szCs w:val="27"/>
          <w:color w:val="auto"/>
          <w:vertAlign w:val="superscript"/>
        </w:rPr>
        <w:t>(a)</w:t>
      </w:r>
    </w:p>
    <w:p>
      <w:pPr>
        <w:ind w:left="280"/>
        <w:spacing w:after="0" w:line="184" w:lineRule="auto"/>
        <w:rPr>
          <w:sz w:val="20"/>
          <w:szCs w:val="20"/>
          <w:color w:val="auto"/>
        </w:rPr>
      </w:pPr>
      <w:r>
        <w:rPr>
          <w:rFonts w:ascii="Arial" w:cs="Arial" w:eastAsia="Arial" w:hAnsi="Arial"/>
          <w:sz w:val="16"/>
          <w:szCs w:val="16"/>
          <w:color w:val="auto"/>
        </w:rPr>
        <w:t>Prior year self-insurance adjustment</w:t>
      </w:r>
      <w:r>
        <w:rPr>
          <w:rFonts w:ascii="Arial" w:cs="Arial" w:eastAsia="Arial" w:hAnsi="Arial"/>
          <w:sz w:val="26"/>
          <w:szCs w:val="26"/>
          <w:color w:val="auto"/>
          <w:vertAlign w:val="superscript"/>
        </w:rPr>
        <w:t>(b)</w:t>
      </w:r>
    </w:p>
    <w:p>
      <w:pPr>
        <w:ind w:left="280"/>
        <w:spacing w:after="0" w:line="184" w:lineRule="auto"/>
        <w:rPr>
          <w:sz w:val="20"/>
          <w:szCs w:val="20"/>
          <w:color w:val="auto"/>
        </w:rPr>
      </w:pPr>
      <w:r>
        <w:rPr>
          <w:rFonts w:ascii="Arial" w:cs="Arial" w:eastAsia="Arial" w:hAnsi="Arial"/>
          <w:sz w:val="16"/>
          <w:szCs w:val="16"/>
          <w:color w:val="auto"/>
        </w:rPr>
        <w:t>U.S. Foreign Corrupt Practices Act investigation</w:t>
      </w:r>
      <w:r>
        <w:rPr>
          <w:rFonts w:ascii="Arial" w:cs="Arial" w:eastAsia="Arial" w:hAnsi="Arial"/>
          <w:sz w:val="26"/>
          <w:szCs w:val="26"/>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80"/>
        <w:spacing w:after="0" w:line="180" w:lineRule="auto"/>
        <w:rPr>
          <w:sz w:val="20"/>
          <w:szCs w:val="20"/>
          <w:color w:val="auto"/>
        </w:rPr>
      </w:pPr>
      <w:r>
        <w:rPr>
          <w:rFonts w:ascii="Arial" w:cs="Arial" w:eastAsia="Arial" w:hAnsi="Arial"/>
          <w:sz w:val="16"/>
          <w:szCs w:val="16"/>
          <w:color w:val="auto"/>
        </w:rPr>
        <w:t>Restructuring and related</w:t>
      </w:r>
      <w:r>
        <w:rPr>
          <w:rFonts w:ascii="Arial" w:cs="Arial" w:eastAsia="Arial" w:hAnsi="Arial"/>
          <w:sz w:val="27"/>
          <w:szCs w:val="27"/>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Acquisition costs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Litigation and other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items impacting comparability</w:t>
      </w:r>
    </w:p>
    <w:p>
      <w:pPr>
        <w:ind w:left="60"/>
        <w:spacing w:after="0" w:line="212" w:lineRule="auto"/>
        <w:rPr>
          <w:sz w:val="20"/>
          <w:szCs w:val="20"/>
          <w:color w:val="auto"/>
        </w:rPr>
      </w:pPr>
      <w:r>
        <w:rPr>
          <w:rFonts w:ascii="Arial" w:cs="Arial" w:eastAsia="Arial" w:hAnsi="Arial"/>
          <w:sz w:val="16"/>
          <w:szCs w:val="16"/>
          <w:color w:val="auto"/>
        </w:rPr>
        <w:t>Income tax benefit</w:t>
      </w:r>
      <w:r>
        <w:rPr>
          <w:rFonts w:ascii="Arial" w:cs="Arial" w:eastAsia="Arial" w:hAnsi="Arial"/>
          <w:sz w:val="27"/>
          <w:szCs w:val="27"/>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Items impacting comparability, net of taxes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Adjusted income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Reconciliation of Net (Loss) Income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6"/>
                <w:szCs w:val="16"/>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459"/>
        </w:trPr>
        <w:tc>
          <w:tcPr>
            <w:tcW w:w="64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30"/>
        </w:trPr>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6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216"/>
        </w:trPr>
        <w:tc>
          <w:tcPr>
            <w:tcW w:w="6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09"/>
        </w:trPr>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6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222"/>
        </w:trPr>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r>
      <w:tr>
        <w:trPr>
          <w:trHeight w:val="223"/>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092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6" w:lineRule="exact"/>
        <w:rPr>
          <w:sz w:val="20"/>
          <w:szCs w:val="20"/>
          <w:color w:val="auto"/>
        </w:rPr>
      </w:pPr>
    </w:p>
    <w:p>
      <w:pPr>
        <w:ind w:left="620"/>
        <w:spacing w:after="0"/>
        <w:tabs>
          <w:tab w:leader="none" w:pos="23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55" w:lineRule="exact"/>
        <w:rPr>
          <w:sz w:val="20"/>
          <w:szCs w:val="20"/>
          <w:color w:val="auto"/>
        </w:rPr>
      </w:pPr>
    </w:p>
    <w:p>
      <w:pPr>
        <w:sectPr>
          <w:pgSz w:w="11900" w:h="16838" w:orient="portrait"/>
          <w:cols w:equalWidth="0" w:num="2">
            <w:col w:w="7400" w:space="720"/>
            <w:col w:w="3300"/>
          </w:cols>
          <w:pgMar w:left="240" w:top="895"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6840" w:type="dxa"/>
            <w:vAlign w:val="bottom"/>
          </w:tcPr>
          <w:p>
            <w:pPr>
              <w:ind w:left="60"/>
              <w:spacing w:after="0"/>
              <w:rPr>
                <w:sz w:val="20"/>
                <w:szCs w:val="20"/>
                <w:color w:val="auto"/>
              </w:rPr>
            </w:pPr>
            <w:r>
              <w:rPr>
                <w:rFonts w:ascii="Arial" w:cs="Arial" w:eastAsia="Arial" w:hAnsi="Arial"/>
                <w:sz w:val="16"/>
                <w:szCs w:val="16"/>
                <w:color w:val="auto"/>
              </w:rPr>
              <w:t>Net (loss) income</w:t>
            </w:r>
          </w:p>
        </w:tc>
        <w:tc>
          <w:tcPr>
            <w:tcW w:w="234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(56.8)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Items impacting comparability</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16"/>
        </w:trPr>
        <w:tc>
          <w:tcPr>
            <w:tcW w:w="6840" w:type="dxa"/>
            <w:vAlign w:val="bottom"/>
          </w:tcPr>
          <w:p>
            <w:pPr>
              <w:ind w:left="180"/>
              <w:spacing w:after="0"/>
              <w:rPr>
                <w:sz w:val="20"/>
                <w:szCs w:val="20"/>
                <w:color w:val="auto"/>
              </w:rPr>
            </w:pPr>
            <w:r>
              <w:rPr>
                <w:rFonts w:ascii="Arial" w:cs="Arial" w:eastAsia="Arial" w:hAnsi="Arial"/>
                <w:sz w:val="16"/>
                <w:szCs w:val="16"/>
                <w:color w:val="auto"/>
              </w:rPr>
              <w:t>Net loss (income) from discontinued operations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provision (benefit)</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0"/>
        </w:trPr>
        <w:tc>
          <w:tcPr>
            <w:tcW w:w="6840" w:type="dxa"/>
            <w:vAlign w:val="bottom"/>
          </w:tcPr>
          <w:p>
            <w:pPr>
              <w:ind w:left="180"/>
              <w:spacing w:after="0" w:line="230" w:lineRule="exact"/>
              <w:rPr>
                <w:sz w:val="20"/>
                <w:szCs w:val="20"/>
                <w:color w:val="auto"/>
              </w:rPr>
            </w:pPr>
            <w:r>
              <w:rPr>
                <w:rFonts w:ascii="Arial" w:cs="Arial" w:eastAsia="Arial" w:hAnsi="Arial"/>
                <w:sz w:val="16"/>
                <w:szCs w:val="16"/>
                <w:color w:val="auto"/>
              </w:rPr>
              <w:t>Interest income from energy efficient government buildings</w:t>
            </w:r>
            <w:r>
              <w:rPr>
                <w:rFonts w:ascii="Arial" w:cs="Arial" w:eastAsia="Arial" w:hAnsi="Arial"/>
                <w:sz w:val="26"/>
                <w:szCs w:val="26"/>
                <w:color w:val="auto"/>
                <w:vertAlign w:val="superscript"/>
              </w:rPr>
              <w:t>(f)</w:t>
            </w: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6"/>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Depreciation and amortization</w:t>
            </w:r>
          </w:p>
        </w:tc>
        <w:tc>
          <w:tcPr>
            <w:tcW w:w="12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223"/>
        </w:trPr>
        <w:tc>
          <w:tcPr>
            <w:tcW w:w="6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EBITDA</w:t>
            </w:r>
          </w:p>
        </w:tc>
        <w:tc>
          <w:tcPr>
            <w:tcW w:w="1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r>
      <w:tr>
        <w:trPr>
          <w:trHeight w:val="413"/>
        </w:trPr>
        <w:tc>
          <w:tcPr>
            <w:tcW w:w="6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0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January 31,</w:t>
            </w:r>
          </w:p>
        </w:tc>
      </w:tr>
      <w:tr>
        <w:trPr>
          <w:trHeight w:val="210"/>
        </w:trPr>
        <w:tc>
          <w:tcPr>
            <w:tcW w:w="6840" w:type="dxa"/>
            <w:vAlign w:val="bottom"/>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151"/>
        </w:trPr>
        <w:tc>
          <w:tcPr>
            <w:tcW w:w="6840" w:type="dxa"/>
            <w:vAlign w:val="bottom"/>
            <w:tcBorders>
              <w:top w:val="single" w:sz="8" w:color="CCEEFF"/>
            </w:tcBorders>
            <w:shd w:val="clear" w:color="auto" w:fill="CCEEFF"/>
          </w:tcPr>
          <w:p>
            <w:pPr>
              <w:ind w:left="60"/>
              <w:spacing w:after="0" w:line="151" w:lineRule="exact"/>
              <w:rPr>
                <w:sz w:val="20"/>
                <w:szCs w:val="20"/>
                <w:color w:val="auto"/>
              </w:rPr>
            </w:pPr>
            <w:r>
              <w:rPr>
                <w:rFonts w:ascii="Arial" w:cs="Arial" w:eastAsia="Arial" w:hAnsi="Arial"/>
                <w:sz w:val="16"/>
                <w:szCs w:val="16"/>
                <w:b w:val="1"/>
                <w:bCs w:val="1"/>
                <w:color w:val="auto"/>
              </w:rPr>
              <w:t>Reconciliation of Income from Continuing Operations per Diluted Share</w:t>
            </w:r>
          </w:p>
        </w:tc>
        <w:tc>
          <w:tcPr>
            <w:tcW w:w="12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207"/>
        </w:trPr>
        <w:tc>
          <w:tcPr>
            <w:tcW w:w="68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 Adjusted Income from Continuing Operations per Diluted Share</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840" w:type="dxa"/>
            <w:vAlign w:val="bottom"/>
          </w:tcPr>
          <w:p>
            <w:pPr>
              <w:ind w:left="60"/>
              <w:spacing w:after="0"/>
              <w:rPr>
                <w:sz w:val="20"/>
                <w:szCs w:val="20"/>
                <w:color w:val="auto"/>
              </w:rPr>
            </w:pPr>
            <w:r>
              <w:rPr>
                <w:rFonts w:ascii="Arial" w:cs="Arial" w:eastAsia="Arial" w:hAnsi="Arial"/>
                <w:sz w:val="16"/>
                <w:szCs w:val="16"/>
                <w:color w:val="auto"/>
              </w:rPr>
              <w:t>Income from continuing operations per diluted share</w:t>
            </w:r>
          </w:p>
        </w:tc>
        <w:tc>
          <w:tcPr>
            <w:tcW w:w="234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0.28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0.24</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Items impacting comparability, net of taxes</w:t>
            </w:r>
          </w:p>
        </w:tc>
        <w:tc>
          <w:tcPr>
            <w:tcW w:w="12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r>
      <w:tr>
        <w:trPr>
          <w:trHeight w:val="210"/>
        </w:trPr>
        <w:tc>
          <w:tcPr>
            <w:tcW w:w="6840" w:type="dxa"/>
            <w:vAlign w:val="bottom"/>
          </w:tcPr>
          <w:p>
            <w:pPr>
              <w:ind w:left="60"/>
              <w:spacing w:after="0" w:line="177" w:lineRule="exact"/>
              <w:rPr>
                <w:sz w:val="20"/>
                <w:szCs w:val="20"/>
                <w:color w:val="auto"/>
              </w:rPr>
            </w:pPr>
            <w:r>
              <w:rPr>
                <w:rFonts w:ascii="Arial" w:cs="Arial" w:eastAsia="Arial" w:hAnsi="Arial"/>
                <w:sz w:val="16"/>
                <w:szCs w:val="16"/>
                <w:color w:val="auto"/>
              </w:rPr>
              <w:t>Adjusted income from continuing operations per diluted share</w:t>
            </w:r>
          </w:p>
        </w:tc>
        <w:tc>
          <w:tcPr>
            <w:tcW w:w="234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0.38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0.38</w:t>
            </w:r>
          </w:p>
        </w:tc>
      </w:tr>
      <w:tr>
        <w:trPr>
          <w:trHeight w:val="210"/>
        </w:trPr>
        <w:tc>
          <w:tcPr>
            <w:tcW w:w="6840" w:type="dxa"/>
            <w:vAlign w:val="bottom"/>
            <w:tcBorders>
              <w:top w:val="single" w:sz="8" w:color="CCEEFF"/>
            </w:tcBorders>
            <w:shd w:val="clear" w:color="auto" w:fill="CCEEFF"/>
          </w:tcPr>
          <w:p>
            <w:pPr>
              <w:ind w:left="60"/>
              <w:spacing w:after="0" w:line="177" w:lineRule="exact"/>
              <w:rPr>
                <w:sz w:val="20"/>
                <w:szCs w:val="20"/>
                <w:color w:val="auto"/>
              </w:rPr>
            </w:pPr>
            <w:r>
              <w:rPr>
                <w:rFonts w:ascii="Arial" w:cs="Arial" w:eastAsia="Arial" w:hAnsi="Arial"/>
                <w:sz w:val="16"/>
                <w:szCs w:val="16"/>
                <w:color w:val="auto"/>
              </w:rPr>
              <w:t>Diluted shares</w:t>
            </w:r>
          </w:p>
        </w:tc>
        <w:tc>
          <w:tcPr>
            <w:tcW w:w="1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r>
    </w:tbl>
    <w:p>
      <w:pPr>
        <w:spacing w:after="0" w:line="242" w:lineRule="exact"/>
        <w:rPr>
          <w:sz w:val="20"/>
          <w:szCs w:val="20"/>
          <w:color w:val="auto"/>
        </w:rPr>
      </w:pPr>
    </w:p>
    <w:p>
      <w:pPr>
        <w:ind w:right="20" w:firstLine="8"/>
        <w:spacing w:after="0" w:line="190" w:lineRule="auto"/>
        <w:tabs>
          <w:tab w:leader="none" w:pos="182"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The Company adjusts income from continuing operations to exclude the impact of certain items that are unusual, non-recurring, or otherwise do not reflect management's views of the underlying operational results and trends of the Company.</w:t>
      </w:r>
    </w:p>
    <w:p>
      <w:pPr>
        <w:spacing w:after="0" w:line="244" w:lineRule="exact"/>
        <w:rPr>
          <w:rFonts w:ascii="Arial" w:cs="Arial" w:eastAsia="Arial" w:hAnsi="Arial"/>
          <w:sz w:val="21"/>
          <w:szCs w:val="21"/>
          <w:color w:val="auto"/>
          <w:vertAlign w:val="superscript"/>
        </w:rPr>
      </w:pPr>
    </w:p>
    <w:p>
      <w:pPr>
        <w:jc w:val="both"/>
        <w:ind w:firstLine="8"/>
        <w:spacing w:after="0" w:line="224" w:lineRule="auto"/>
        <w:tabs>
          <w:tab w:leader="none" w:pos="178"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Represents adjustments to our self-insurance reserve for general liability, workers’ compensation and automobile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the business is run as the Company holds its management accountable for the current year’s operational performance. The Company believes this is the most meaningful presentation for its investors and analysts to evaluate performance.</w:t>
      </w:r>
    </w:p>
    <w:p>
      <w:pPr>
        <w:spacing w:after="0" w:line="165"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Represents reimbursement of previously expensed legal and other costs incurred in connection with an internal investigation into a foreign entity affiliated with a former joint venture partner.</w:t>
      </w:r>
    </w:p>
    <w:p>
      <w:pPr>
        <w:spacing w:after="0" w:line="15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Represents costs for 2020 Vision Transformation Initiative, net of the reversal of certain share-based compensation costs.</w:t>
      </w:r>
    </w:p>
    <w:p>
      <w:pPr>
        <w:spacing w:after="0" w:line="16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Tax impact is calculated using the federal and state statutory rate of 41.5%.</w:t>
      </w:r>
    </w:p>
    <w:p>
      <w:pPr>
        <w:spacing w:after="0" w:line="161" w:lineRule="exact"/>
        <w:rPr>
          <w:rFonts w:ascii="Arial" w:cs="Arial" w:eastAsia="Arial" w:hAnsi="Arial"/>
          <w:sz w:val="21"/>
          <w:szCs w:val="21"/>
          <w:color w:val="auto"/>
          <w:vertAlign w:val="superscript"/>
        </w:rPr>
      </w:pPr>
    </w:p>
    <w:p>
      <w:pPr>
        <w:ind w:left="140" w:hanging="132"/>
        <w:spacing w:after="0"/>
        <w:tabs>
          <w:tab w:leader="none" w:pos="1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Adjusted EBITDA does not include interest income for certain long term energy contracts, in which case a gross up of both interest income and interest expense is being recorded.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GUIDANCE</w:t>
      </w:r>
    </w:p>
    <w:p>
      <w:pPr>
        <w:spacing w:after="0" w:line="262" w:lineRule="exact"/>
        <w:rPr>
          <w:sz w:val="20"/>
          <w:szCs w:val="20"/>
          <w:color w:val="auto"/>
        </w:rPr>
      </w:pPr>
    </w:p>
    <w:p>
      <w:pPr>
        <w:ind w:left="8960"/>
        <w:spacing w:after="0"/>
        <w:rPr>
          <w:sz w:val="20"/>
          <w:szCs w:val="20"/>
          <w:color w:val="auto"/>
        </w:rPr>
      </w:pPr>
      <w:r>
        <w:rPr>
          <w:rFonts w:ascii="Arial" w:cs="Arial" w:eastAsia="Arial" w:hAnsi="Arial"/>
          <w:sz w:val="15"/>
          <w:szCs w:val="15"/>
          <w:b w:val="1"/>
          <w:bCs w:val="1"/>
          <w:color w:val="auto"/>
        </w:rPr>
        <w:t>Year Ended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6985</wp:posOffset>
            </wp:positionV>
            <wp:extent cx="1800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Low Estimate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High Estimate</w:t>
            </w:r>
          </w:p>
        </w:tc>
      </w:tr>
      <w:tr>
        <w:trPr>
          <w:trHeight w:val="151"/>
        </w:trPr>
        <w:tc>
          <w:tcPr>
            <w:tcW w:w="7480" w:type="dxa"/>
            <w:vAlign w:val="bottom"/>
            <w:shd w:val="clear" w:color="auto" w:fill="CCEEFF"/>
          </w:tcPr>
          <w:p>
            <w:pPr>
              <w:ind w:left="60"/>
              <w:spacing w:after="0" w:line="151" w:lineRule="exact"/>
              <w:rPr>
                <w:sz w:val="20"/>
                <w:szCs w:val="20"/>
                <w:color w:val="auto"/>
              </w:rPr>
            </w:pPr>
            <w:r>
              <w:rPr>
                <w:rFonts w:ascii="Arial" w:cs="Arial" w:eastAsia="Arial" w:hAnsi="Arial"/>
                <w:sz w:val="16"/>
                <w:szCs w:val="16"/>
                <w:b w:val="1"/>
                <w:bCs w:val="1"/>
                <w:color w:val="auto"/>
              </w:rPr>
              <w:t>Reconciliation of Estimated Income from Continuing Operations per Diluted Share</w:t>
            </w: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07"/>
        </w:trPr>
        <w:tc>
          <w:tcPr>
            <w:tcW w:w="74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 Estimated Adjusted Income from Continuing Operations per Diluted Share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480" w:type="dxa"/>
            <w:vAlign w:val="bottom"/>
          </w:tcPr>
          <w:p>
            <w:pPr>
              <w:ind w:left="60"/>
              <w:spacing w:after="0" w:line="230" w:lineRule="exact"/>
              <w:rPr>
                <w:sz w:val="20"/>
                <w:szCs w:val="20"/>
                <w:color w:val="auto"/>
              </w:rPr>
            </w:pPr>
            <w:r>
              <w:rPr>
                <w:rFonts w:ascii="Arial" w:cs="Arial" w:eastAsia="Arial" w:hAnsi="Arial"/>
                <w:sz w:val="16"/>
                <w:szCs w:val="16"/>
                <w:color w:val="auto"/>
              </w:rPr>
              <w:t>Income from continuing operations per diluted share</w:t>
            </w:r>
            <w:r>
              <w:rPr>
                <w:rFonts w:ascii="Arial" w:cs="Arial" w:eastAsia="Arial" w:hAnsi="Arial"/>
                <w:sz w:val="26"/>
                <w:szCs w:val="26"/>
                <w:color w:val="auto"/>
                <w:vertAlign w:val="superscript"/>
              </w:rPr>
              <w:t>(a)</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1.50</w:t>
            </w:r>
          </w:p>
        </w:tc>
      </w:tr>
      <w:tr>
        <w:trPr>
          <w:trHeight w:val="230"/>
        </w:trPr>
        <w:tc>
          <w:tcPr>
            <w:tcW w:w="7480" w:type="dxa"/>
            <w:vAlign w:val="bottom"/>
            <w:shd w:val="clear" w:color="auto" w:fill="CCEEFF"/>
          </w:tcPr>
          <w:p>
            <w:pPr>
              <w:ind w:left="60"/>
              <w:spacing w:after="0" w:line="230" w:lineRule="exact"/>
              <w:rPr>
                <w:sz w:val="20"/>
                <w:szCs w:val="20"/>
                <w:color w:val="auto"/>
              </w:rPr>
            </w:pPr>
            <w:r>
              <w:rPr>
                <w:rFonts w:ascii="Arial" w:cs="Arial" w:eastAsia="Arial" w:hAnsi="Arial"/>
                <w:sz w:val="16"/>
                <w:szCs w:val="16"/>
                <w:color w:val="auto"/>
              </w:rPr>
              <w:t>Adjustments</w:t>
            </w:r>
            <w:r>
              <w:rPr>
                <w:rFonts w:ascii="Arial" w:cs="Arial" w:eastAsia="Arial" w:hAnsi="Arial"/>
                <w:sz w:val="26"/>
                <w:szCs w:val="26"/>
                <w:color w:val="auto"/>
                <w:vertAlign w:val="superscript"/>
              </w:rPr>
              <w:t>(b)</w:t>
            </w:r>
          </w:p>
        </w:tc>
        <w:tc>
          <w:tcPr>
            <w:tcW w:w="1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0.40</w:t>
            </w:r>
          </w:p>
        </w:tc>
      </w:tr>
      <w:tr>
        <w:trPr>
          <w:trHeight w:val="326"/>
        </w:trPr>
        <w:tc>
          <w:tcPr>
            <w:tcW w:w="7480" w:type="dxa"/>
            <w:vAlign w:val="bottom"/>
          </w:tcPr>
          <w:p>
            <w:pPr>
              <w:ind w:left="60"/>
              <w:spacing w:after="0"/>
              <w:rPr>
                <w:sz w:val="20"/>
                <w:szCs w:val="20"/>
                <w:color w:val="auto"/>
              </w:rPr>
            </w:pPr>
            <w:r>
              <w:rPr>
                <w:rFonts w:ascii="Arial" w:cs="Arial" w:eastAsia="Arial" w:hAnsi="Arial"/>
                <w:sz w:val="16"/>
                <w:szCs w:val="16"/>
                <w:color w:val="auto"/>
              </w:rPr>
              <w:t>Adjusted income from continuing operations per diluted share</w:t>
            </w:r>
            <w:r>
              <w:rPr>
                <w:rFonts w:ascii="Arial" w:cs="Arial" w:eastAsia="Arial" w:hAnsi="Arial"/>
                <w:sz w:val="27"/>
                <w:szCs w:val="27"/>
                <w:color w:val="auto"/>
                <w:vertAlign w:val="superscript"/>
              </w:rPr>
              <w:t>(a)</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1.80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1.90</w:t>
            </w:r>
          </w:p>
        </w:tc>
      </w:tr>
    </w:tbl>
    <w:p>
      <w:pPr>
        <w:spacing w:after="0" w:line="118" w:lineRule="exact"/>
        <w:rPr>
          <w:sz w:val="20"/>
          <w:szCs w:val="20"/>
          <w:color w:val="auto"/>
        </w:rPr>
      </w:pPr>
    </w:p>
    <w:p>
      <w:pPr>
        <w:ind w:firstLine="8"/>
        <w:spacing w:after="0" w:line="205" w:lineRule="auto"/>
        <w:tabs>
          <w:tab w:leader="none" w:pos="186"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With the exception of the 2017 Work Opportunity Tax Credits and the benefit from the adoption of ASU 2016-09, this guidance does not include any potential benefits associated with certain other discrete tax items and other unrecognized tax benefits.</w:t>
      </w:r>
    </w:p>
    <w:p>
      <w:pPr>
        <w:spacing w:after="0" w:line="233" w:lineRule="exact"/>
        <w:rPr>
          <w:rFonts w:ascii="Arial" w:cs="Arial" w:eastAsia="Arial" w:hAnsi="Arial"/>
          <w:sz w:val="21"/>
          <w:szCs w:val="21"/>
          <w:color w:val="auto"/>
          <w:vertAlign w:val="superscript"/>
        </w:rPr>
      </w:pPr>
    </w:p>
    <w:p>
      <w:pPr>
        <w:ind w:firstLine="8"/>
        <w:spacing w:after="0" w:line="205"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Adjustments include costs associated with the strategic review and realignment, legal settlements, adjustments to self-insurance reserves pertaining to prior year's claims and other unique items impacting comparability.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 w:name="page15"/>
    <w:bookmarkEnd w:id="14"/>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4587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96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96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587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587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855"/>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2019-12-05T12:58:46Z</dcterms:created>
  <dcterms:modified xsi:type="dcterms:W3CDTF">2019-12-05T12:58:46Z</dcterms:modified>
</cp:coreProperties>
</file>