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825500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793115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140"/>
        <w:spacing w:after="0"/>
        <w:rPr>
          <w:sz w:val="20"/>
          <w:szCs w:val="20"/>
          <w:color w:val="auto"/>
        </w:rPr>
      </w:pPr>
      <w:r>
        <w:rPr>
          <w:rFonts w:ascii="Arial" w:cs="Arial" w:eastAsia="Arial" w:hAnsi="Arial"/>
          <w:sz w:val="21"/>
          <w:szCs w:val="21"/>
          <w:color w:val="auto"/>
        </w:rPr>
        <w:t>__________________________</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79" w:lineRule="exact"/>
        <w:rPr>
          <w:sz w:val="24"/>
          <w:szCs w:val="24"/>
          <w:color w:val="auto"/>
        </w:rPr>
      </w:pPr>
    </w:p>
    <w:p>
      <w:pPr>
        <w:ind w:left="680" w:right="500" w:hanging="660"/>
        <w:spacing w:after="0" w:line="245"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6" w:lineRule="exact"/>
        <w:rPr>
          <w:sz w:val="24"/>
          <w:szCs w:val="24"/>
          <w:color w:val="auto"/>
        </w:rPr>
      </w:pPr>
    </w:p>
    <w:p>
      <w:pPr>
        <w:ind w:left="3740"/>
        <w:spacing w:after="0"/>
        <w:rPr>
          <w:sz w:val="20"/>
          <w:szCs w:val="20"/>
          <w:color w:val="auto"/>
        </w:rPr>
      </w:pPr>
      <w:r>
        <w:rPr>
          <w:rFonts w:ascii="Arial" w:cs="Arial" w:eastAsia="Arial" w:hAnsi="Arial"/>
          <w:sz w:val="21"/>
          <w:szCs w:val="21"/>
          <w:b w:val="1"/>
          <w:bCs w:val="1"/>
          <w:color w:val="auto"/>
        </w:rPr>
        <w:t xml:space="preserve">For the quarterly period ended </w:t>
      </w:r>
      <w:r>
        <w:rPr>
          <w:rFonts w:ascii="Arial" w:cs="Arial" w:eastAsia="Arial" w:hAnsi="Arial"/>
          <w:sz w:val="21"/>
          <w:szCs w:val="21"/>
          <w:b w:val="1"/>
          <w:bCs w:val="1"/>
          <w:u w:val="single" w:color="auto"/>
          <w:color w:val="auto"/>
        </w:rPr>
        <w:t>July 31, 2025</w:t>
      </w:r>
    </w:p>
    <w:p>
      <w:pPr>
        <w:spacing w:after="0" w:line="23" w:lineRule="exact"/>
        <w:rPr>
          <w:sz w:val="24"/>
          <w:szCs w:val="24"/>
          <w:color w:val="auto"/>
        </w:rPr>
      </w:pPr>
    </w:p>
    <w:p>
      <w:pPr>
        <w:ind w:left="5540"/>
        <w:spacing w:after="0"/>
        <w:rPr>
          <w:sz w:val="20"/>
          <w:szCs w:val="20"/>
          <w:color w:val="auto"/>
        </w:rPr>
      </w:pPr>
      <w:r>
        <w:rPr>
          <w:rFonts w:ascii="Arial" w:cs="Arial" w:eastAsia="Arial" w:hAnsi="Arial"/>
          <w:sz w:val="21"/>
          <w:szCs w:val="21"/>
          <w:color w:val="auto"/>
        </w:rPr>
        <w:t>or</w:t>
      </w:r>
    </w:p>
    <w:p>
      <w:pPr>
        <w:spacing w:after="0" w:line="164" w:lineRule="exact"/>
        <w:rPr>
          <w:sz w:val="24"/>
          <w:szCs w:val="24"/>
          <w:color w:val="auto"/>
        </w:rPr>
      </w:pPr>
    </w:p>
    <w:p>
      <w:pPr>
        <w:ind w:left="680" w:right="500" w:hanging="660"/>
        <w:spacing w:after="0" w:line="245"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-5080</wp:posOffset>
            </wp:positionV>
            <wp:extent cx="890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1-8929</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ABM INDUSTRIES INCORPORATED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121920</wp:posOffset>
            </wp:positionV>
            <wp:extent cx="1604645"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4645" cy="622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220" w:type="dxa"/>
            <w:vAlign w:val="bottom"/>
          </w:tcPr>
          <w:p>
            <w:pPr>
              <w:jc w:val="center"/>
              <w:ind w:right="61"/>
              <w:spacing w:after="0"/>
              <w:rPr>
                <w:sz w:val="20"/>
                <w:szCs w:val="20"/>
                <w:color w:val="auto"/>
              </w:rPr>
            </w:pPr>
            <w:r>
              <w:rPr>
                <w:rFonts w:ascii="Arial" w:cs="Arial" w:eastAsia="Arial" w:hAnsi="Arial"/>
                <w:sz w:val="15"/>
                <w:szCs w:val="15"/>
                <w:b w:val="1"/>
                <w:bCs w:val="1"/>
                <w:color w:val="auto"/>
              </w:rPr>
              <w:t>Delaware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tcPr>
          <w:p>
            <w:pPr>
              <w:jc w:val="center"/>
              <w:ind w:left="923"/>
              <w:spacing w:after="0"/>
              <w:rPr>
                <w:sz w:val="20"/>
                <w:szCs w:val="20"/>
                <w:color w:val="auto"/>
              </w:rPr>
            </w:pPr>
            <w:r>
              <w:rPr>
                <w:rFonts w:ascii="Arial" w:cs="Arial" w:eastAsia="Arial" w:hAnsi="Arial"/>
                <w:sz w:val="15"/>
                <w:szCs w:val="15"/>
                <w:b w:val="1"/>
                <w:bCs w:val="1"/>
                <w:color w:val="auto"/>
              </w:rPr>
              <w:t>94-1369354</w:t>
            </w:r>
          </w:p>
        </w:tc>
      </w:tr>
      <w:tr>
        <w:trPr>
          <w:trHeight w:val="155"/>
        </w:trPr>
        <w:tc>
          <w:tcPr>
            <w:tcW w:w="3220" w:type="dxa"/>
            <w:vAlign w:val="bottom"/>
          </w:tcPr>
          <w:p>
            <w:pPr>
              <w:jc w:val="center"/>
              <w:ind w:right="61"/>
              <w:spacing w:after="0" w:line="155" w:lineRule="exact"/>
              <w:rPr>
                <w:sz w:val="20"/>
                <w:szCs w:val="20"/>
                <w:color w:val="auto"/>
              </w:rPr>
            </w:pPr>
            <w:r>
              <w:rPr>
                <w:rFonts w:ascii="Arial" w:cs="Arial" w:eastAsia="Arial" w:hAnsi="Arial"/>
                <w:sz w:val="15"/>
                <w:szCs w:val="15"/>
                <w:color w:val="auto"/>
              </w:rPr>
              <w:t>(State or other jurisdiction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00" w:type="dxa"/>
            <w:vAlign w:val="bottom"/>
          </w:tcPr>
          <w:p>
            <w:pPr>
              <w:jc w:val="center"/>
              <w:ind w:left="923"/>
              <w:spacing w:after="0" w:line="155" w:lineRule="exact"/>
              <w:rPr>
                <w:sz w:val="20"/>
                <w:szCs w:val="20"/>
                <w:color w:val="auto"/>
              </w:rPr>
            </w:pPr>
            <w:r>
              <w:rPr>
                <w:rFonts w:ascii="Arial" w:cs="Arial" w:eastAsia="Arial" w:hAnsi="Arial"/>
                <w:sz w:val="15"/>
                <w:szCs w:val="15"/>
                <w:color w:val="auto"/>
              </w:rPr>
              <w:t>(I.R.S. Employer</w:t>
            </w:r>
          </w:p>
        </w:tc>
      </w:tr>
      <w:tr>
        <w:trPr>
          <w:trHeight w:val="204"/>
        </w:trPr>
        <w:tc>
          <w:tcPr>
            <w:tcW w:w="3220" w:type="dxa"/>
            <w:vAlign w:val="bottom"/>
          </w:tcPr>
          <w:p>
            <w:pPr>
              <w:jc w:val="center"/>
              <w:ind w:right="61"/>
              <w:spacing w:after="0"/>
              <w:rPr>
                <w:sz w:val="20"/>
                <w:szCs w:val="20"/>
                <w:color w:val="auto"/>
              </w:rPr>
            </w:pPr>
            <w:r>
              <w:rPr>
                <w:rFonts w:ascii="Arial" w:cs="Arial" w:eastAsia="Arial" w:hAnsi="Arial"/>
                <w:sz w:val="15"/>
                <w:szCs w:val="15"/>
                <w:color w:val="auto"/>
              </w:rPr>
              <w:t>incorporation or organization)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left="943"/>
              <w:spacing w:after="0"/>
              <w:rPr>
                <w:sz w:val="20"/>
                <w:szCs w:val="20"/>
                <w:color w:val="auto"/>
              </w:rPr>
            </w:pPr>
            <w:r>
              <w:rPr>
                <w:rFonts w:ascii="Arial" w:cs="Arial" w:eastAsia="Arial" w:hAnsi="Arial"/>
                <w:sz w:val="15"/>
                <w:szCs w:val="15"/>
                <w:color w:val="auto"/>
              </w:rPr>
              <w:t>Identification No.)</w:t>
            </w:r>
          </w:p>
        </w:tc>
      </w:tr>
      <w:tr>
        <w:trPr>
          <w:trHeight w:val="326"/>
        </w:trPr>
        <w:tc>
          <w:tcPr>
            <w:tcW w:w="3220" w:type="dxa"/>
            <w:vAlign w:val="bottom"/>
          </w:tcPr>
          <w:p>
            <w:pPr>
              <w:spacing w:after="0"/>
              <w:rPr>
                <w:sz w:val="24"/>
                <w:szCs w:val="24"/>
                <w:color w:val="auto"/>
              </w:rPr>
            </w:pPr>
          </w:p>
        </w:tc>
        <w:tc>
          <w:tcPr>
            <w:tcW w:w="3980" w:type="dxa"/>
            <w:vAlign w:val="bottom"/>
            <w:gridSpan w:val="7"/>
          </w:tcPr>
          <w:p>
            <w:pPr>
              <w:jc w:val="center"/>
              <w:ind w:left="734"/>
              <w:spacing w:after="0"/>
              <w:rPr>
                <w:sz w:val="20"/>
                <w:szCs w:val="20"/>
                <w:color w:val="auto"/>
              </w:rPr>
            </w:pPr>
            <w:r>
              <w:rPr>
                <w:rFonts w:ascii="Arial" w:cs="Arial" w:eastAsia="Arial" w:hAnsi="Arial"/>
                <w:sz w:val="17"/>
                <w:szCs w:val="17"/>
                <w:color w:val="auto"/>
              </w:rPr>
              <w:t>__________________________</w:t>
            </w:r>
          </w:p>
        </w:tc>
        <w:tc>
          <w:tcPr>
            <w:tcW w:w="3900" w:type="dxa"/>
            <w:vAlign w:val="bottom"/>
          </w:tcPr>
          <w:p>
            <w:pPr>
              <w:spacing w:after="0"/>
              <w:rPr>
                <w:sz w:val="24"/>
                <w:szCs w:val="24"/>
                <w:color w:val="auto"/>
              </w:rPr>
            </w:pPr>
          </w:p>
        </w:tc>
      </w:tr>
      <w:tr>
        <w:trPr>
          <w:trHeight w:val="288"/>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8"/>
              <w:spacing w:after="0"/>
              <w:rPr>
                <w:sz w:val="20"/>
                <w:szCs w:val="20"/>
                <w:color w:val="auto"/>
              </w:rPr>
            </w:pPr>
            <w:r>
              <w:rPr>
                <w:rFonts w:ascii="Arial" w:cs="Arial" w:eastAsia="Arial" w:hAnsi="Arial"/>
                <w:sz w:val="17"/>
                <w:szCs w:val="17"/>
                <w:b w:val="1"/>
                <w:bCs w:val="1"/>
                <w:color w:val="auto"/>
                <w:w w:val="99"/>
              </w:rPr>
              <w:t>One Liberty Plaza, 7</w:t>
            </w:r>
            <w:r>
              <w:rPr>
                <w:rFonts w:ascii="Arial" w:cs="Arial" w:eastAsia="Arial" w:hAnsi="Arial"/>
                <w:sz w:val="22"/>
                <w:szCs w:val="22"/>
                <w:b w:val="1"/>
                <w:bCs w:val="1"/>
                <w:color w:val="auto"/>
                <w:w w:val="99"/>
                <w:vertAlign w:val="superscript"/>
              </w:rPr>
              <w:t>th</w:t>
            </w:r>
            <w:r>
              <w:rPr>
                <w:rFonts w:ascii="Arial" w:cs="Arial" w:eastAsia="Arial" w:hAnsi="Arial"/>
                <w:sz w:val="17"/>
                <w:szCs w:val="17"/>
                <w:b w:val="1"/>
                <w:bCs w:val="1"/>
                <w:color w:val="auto"/>
                <w:w w:val="99"/>
              </w:rPr>
              <w:t xml:space="preserve"> Floor</w:t>
            </w:r>
          </w:p>
        </w:tc>
        <w:tc>
          <w:tcPr>
            <w:tcW w:w="390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5"/>
          </w:tcPr>
          <w:p>
            <w:pPr>
              <w:jc w:val="center"/>
              <w:ind w:left="238"/>
              <w:spacing w:after="0"/>
              <w:rPr>
                <w:sz w:val="20"/>
                <w:szCs w:val="20"/>
                <w:color w:val="auto"/>
              </w:rPr>
            </w:pPr>
            <w:r>
              <w:rPr>
                <w:rFonts w:ascii="Arial" w:cs="Arial" w:eastAsia="Arial" w:hAnsi="Arial"/>
                <w:sz w:val="17"/>
                <w:szCs w:val="17"/>
                <w:b w:val="1"/>
                <w:bCs w:val="1"/>
                <w:color w:val="auto"/>
                <w:w w:val="99"/>
              </w:rPr>
              <w:t>New York, New York 10006</w:t>
            </w:r>
          </w:p>
        </w:tc>
        <w:tc>
          <w:tcPr>
            <w:tcW w:w="3900" w:type="dxa"/>
            <w:vAlign w:val="bottom"/>
          </w:tcPr>
          <w:p>
            <w:pPr>
              <w:spacing w:after="0"/>
              <w:rPr>
                <w:sz w:val="20"/>
                <w:szCs w:val="20"/>
                <w:color w:val="auto"/>
              </w:rPr>
            </w:pPr>
          </w:p>
        </w:tc>
      </w:tr>
      <w:tr>
        <w:trPr>
          <w:trHeight w:val="299"/>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8"/>
              <w:spacing w:after="0"/>
              <w:rPr>
                <w:sz w:val="20"/>
                <w:szCs w:val="20"/>
                <w:color w:val="auto"/>
              </w:rPr>
            </w:pPr>
            <w:r>
              <w:rPr>
                <w:rFonts w:ascii="Arial" w:cs="Arial" w:eastAsia="Arial" w:hAnsi="Arial"/>
                <w:sz w:val="17"/>
                <w:szCs w:val="17"/>
                <w:color w:val="auto"/>
              </w:rPr>
              <w:t>(Address of principal executive offices)</w:t>
            </w:r>
          </w:p>
        </w:tc>
        <w:tc>
          <w:tcPr>
            <w:tcW w:w="3900" w:type="dxa"/>
            <w:vAlign w:val="bottom"/>
          </w:tcPr>
          <w:p>
            <w:pPr>
              <w:spacing w:after="0"/>
              <w:rPr>
                <w:sz w:val="24"/>
                <w:szCs w:val="24"/>
                <w:color w:val="auto"/>
              </w:rPr>
            </w:pPr>
          </w:p>
        </w:tc>
      </w:tr>
      <w:tr>
        <w:trPr>
          <w:trHeight w:val="397"/>
        </w:trPr>
        <w:tc>
          <w:tcPr>
            <w:tcW w:w="3220" w:type="dxa"/>
            <w:vAlign w:val="bottom"/>
          </w:tcPr>
          <w:p>
            <w:pPr>
              <w:spacing w:after="0"/>
              <w:rPr>
                <w:sz w:val="24"/>
                <w:szCs w:val="24"/>
                <w:color w:val="auto"/>
              </w:rPr>
            </w:pPr>
          </w:p>
        </w:tc>
        <w:tc>
          <w:tcPr>
            <w:tcW w:w="3000" w:type="dxa"/>
            <w:vAlign w:val="bottom"/>
            <w:gridSpan w:val="4"/>
          </w:tcPr>
          <w:p>
            <w:pPr>
              <w:jc w:val="center"/>
              <w:ind w:left="1734"/>
              <w:spacing w:after="0"/>
              <w:rPr>
                <w:sz w:val="20"/>
                <w:szCs w:val="20"/>
                <w:color w:val="auto"/>
              </w:rPr>
            </w:pPr>
            <w:r>
              <w:rPr>
                <w:rFonts w:ascii="Arial" w:cs="Arial" w:eastAsia="Arial" w:hAnsi="Arial"/>
                <w:sz w:val="17"/>
                <w:szCs w:val="17"/>
                <w:b w:val="1"/>
                <w:bCs w:val="1"/>
                <w:color w:val="auto"/>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r>
      <w:tr>
        <w:trPr>
          <w:trHeight w:val="331"/>
        </w:trPr>
        <w:tc>
          <w:tcPr>
            <w:tcW w:w="3220" w:type="dxa"/>
            <w:vAlign w:val="bottom"/>
          </w:tcPr>
          <w:p>
            <w:pPr>
              <w:spacing w:after="0"/>
              <w:rPr>
                <w:sz w:val="24"/>
                <w:szCs w:val="24"/>
                <w:color w:val="auto"/>
              </w:rPr>
            </w:pPr>
          </w:p>
        </w:tc>
        <w:tc>
          <w:tcPr>
            <w:tcW w:w="7880" w:type="dxa"/>
            <w:vAlign w:val="bottom"/>
            <w:gridSpan w:val="8"/>
          </w:tcPr>
          <w:p>
            <w:pPr>
              <w:jc w:val="center"/>
              <w:ind w:right="2983"/>
              <w:spacing w:after="0"/>
              <w:rPr>
                <w:sz w:val="20"/>
                <w:szCs w:val="20"/>
                <w:color w:val="auto"/>
              </w:rPr>
            </w:pPr>
            <w:r>
              <w:rPr>
                <w:rFonts w:ascii="Arial" w:cs="Arial" w:eastAsia="Arial" w:hAnsi="Arial"/>
                <w:sz w:val="17"/>
                <w:szCs w:val="17"/>
                <w:color w:val="auto"/>
              </w:rPr>
              <w:t>(Registrant’s telephone number, including area code)</w:t>
            </w:r>
          </w:p>
        </w:tc>
      </w:tr>
      <w:tr>
        <w:trPr>
          <w:trHeight w:val="290"/>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rPr>
              <w:t>None</w:t>
            </w:r>
          </w:p>
        </w:tc>
        <w:tc>
          <w:tcPr>
            <w:tcW w:w="3900" w:type="dxa"/>
            <w:vAlign w:val="bottom"/>
          </w:tcPr>
          <w:p>
            <w:pPr>
              <w:spacing w:after="0"/>
              <w:rPr>
                <w:sz w:val="24"/>
                <w:szCs w:val="24"/>
                <w:color w:val="auto"/>
              </w:rPr>
            </w:pPr>
          </w:p>
        </w:tc>
      </w:tr>
      <w:tr>
        <w:trPr>
          <w:trHeight w:val="206"/>
        </w:trPr>
        <w:tc>
          <w:tcPr>
            <w:tcW w:w="11100" w:type="dxa"/>
            <w:vAlign w:val="bottom"/>
            <w:gridSpan w:val="9"/>
          </w:tcPr>
          <w:p>
            <w:pPr>
              <w:jc w:val="center"/>
              <w:ind w:left="61"/>
              <w:spacing w:after="0"/>
              <w:rPr>
                <w:sz w:val="20"/>
                <w:szCs w:val="20"/>
                <w:color w:val="auto"/>
              </w:rPr>
            </w:pPr>
            <w:r>
              <w:rPr>
                <w:rFonts w:ascii="Arial" w:cs="Arial" w:eastAsia="Arial" w:hAnsi="Arial"/>
                <w:sz w:val="17"/>
                <w:szCs w:val="17"/>
                <w:color w:val="auto"/>
              </w:rPr>
              <w:t>(Former name, former address and former fiscal year, if changed since last report)</w:t>
            </w:r>
          </w:p>
        </w:tc>
      </w:tr>
      <w:tr>
        <w:trPr>
          <w:trHeight w:val="226"/>
        </w:trPr>
        <w:tc>
          <w:tcPr>
            <w:tcW w:w="3220" w:type="dxa"/>
            <w:vAlign w:val="bottom"/>
          </w:tcPr>
          <w:p>
            <w:pPr>
              <w:spacing w:after="0"/>
              <w:rPr>
                <w:sz w:val="19"/>
                <w:szCs w:val="19"/>
                <w:color w:val="auto"/>
              </w:rPr>
            </w:pPr>
          </w:p>
        </w:tc>
        <w:tc>
          <w:tcPr>
            <w:tcW w:w="3980" w:type="dxa"/>
            <w:vAlign w:val="bottom"/>
            <w:gridSpan w:val="7"/>
          </w:tcPr>
          <w:p>
            <w:pPr>
              <w:jc w:val="center"/>
              <w:ind w:left="734"/>
              <w:spacing w:after="0"/>
              <w:rPr>
                <w:sz w:val="20"/>
                <w:szCs w:val="20"/>
                <w:color w:val="auto"/>
              </w:rPr>
            </w:pPr>
            <w:r>
              <w:rPr>
                <w:rFonts w:ascii="Arial" w:cs="Arial" w:eastAsia="Arial" w:hAnsi="Arial"/>
                <w:sz w:val="17"/>
                <w:szCs w:val="17"/>
                <w:color w:val="auto"/>
              </w:rPr>
              <w:t>__________________________</w:t>
            </w:r>
          </w:p>
        </w:tc>
        <w:tc>
          <w:tcPr>
            <w:tcW w:w="3900" w:type="dxa"/>
            <w:vAlign w:val="bottom"/>
          </w:tcPr>
          <w:p>
            <w:pPr>
              <w:spacing w:after="0"/>
              <w:rPr>
                <w:sz w:val="19"/>
                <w:szCs w:val="19"/>
                <w:color w:val="auto"/>
              </w:rPr>
            </w:pPr>
          </w:p>
        </w:tc>
      </w:tr>
      <w:tr>
        <w:trPr>
          <w:trHeight w:val="309"/>
        </w:trPr>
        <w:tc>
          <w:tcPr>
            <w:tcW w:w="3220" w:type="dxa"/>
            <w:vAlign w:val="bottom"/>
          </w:tcPr>
          <w:p>
            <w:pPr>
              <w:spacing w:after="0"/>
              <w:rPr>
                <w:sz w:val="24"/>
                <w:szCs w:val="24"/>
                <w:color w:val="auto"/>
              </w:rPr>
            </w:pPr>
          </w:p>
        </w:tc>
        <w:tc>
          <w:tcPr>
            <w:tcW w:w="7880" w:type="dxa"/>
            <w:vAlign w:val="bottom"/>
            <w:gridSpan w:val="8"/>
          </w:tcPr>
          <w:p>
            <w:pPr>
              <w:jc w:val="center"/>
              <w:ind w:right="3003"/>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384"/>
        </w:trPr>
        <w:tc>
          <w:tcPr>
            <w:tcW w:w="3220" w:type="dxa"/>
            <w:vAlign w:val="bottom"/>
          </w:tcPr>
          <w:p>
            <w:pPr>
              <w:jc w:val="center"/>
              <w:ind w:left="341"/>
              <w:spacing w:after="0"/>
              <w:rPr>
                <w:sz w:val="20"/>
                <w:szCs w:val="20"/>
                <w:color w:val="auto"/>
              </w:rPr>
            </w:pPr>
            <w:r>
              <w:rPr>
                <w:rFonts w:ascii="Arial" w:cs="Arial" w:eastAsia="Arial" w:hAnsi="Arial"/>
                <w:sz w:val="15"/>
                <w:szCs w:val="15"/>
                <w:color w:val="auto"/>
              </w:rPr>
              <w:t>Title of each class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right="720"/>
              <w:spacing w:after="0"/>
              <w:rPr>
                <w:sz w:val="20"/>
                <w:szCs w:val="20"/>
                <w:color w:val="auto"/>
              </w:rPr>
            </w:pPr>
            <w:r>
              <w:rPr>
                <w:rFonts w:ascii="Arial" w:cs="Arial" w:eastAsia="Arial" w:hAnsi="Arial"/>
                <w:sz w:val="15"/>
                <w:szCs w:val="15"/>
                <w:color w:val="auto"/>
              </w:rPr>
              <w:t>Trading Symbol</w:t>
            </w:r>
          </w:p>
        </w:tc>
        <w:tc>
          <w:tcPr>
            <w:tcW w:w="3900" w:type="dxa"/>
            <w:vAlign w:val="bottom"/>
          </w:tcPr>
          <w:p>
            <w:pPr>
              <w:jc w:val="center"/>
              <w:ind w:right="543"/>
              <w:spacing w:after="0"/>
              <w:rPr>
                <w:sz w:val="20"/>
                <w:szCs w:val="20"/>
                <w:color w:val="auto"/>
              </w:rPr>
            </w:pPr>
            <w:r>
              <w:rPr>
                <w:rFonts w:ascii="Arial" w:cs="Arial" w:eastAsia="Arial" w:hAnsi="Arial"/>
                <w:sz w:val="15"/>
                <w:szCs w:val="15"/>
                <w:color w:val="auto"/>
              </w:rPr>
              <w:t>Name of each exchange on which registered</w:t>
            </w:r>
          </w:p>
        </w:tc>
      </w:tr>
      <w:tr>
        <w:trPr>
          <w:trHeight w:val="208"/>
        </w:trPr>
        <w:tc>
          <w:tcPr>
            <w:tcW w:w="3220" w:type="dxa"/>
            <w:vAlign w:val="bottom"/>
            <w:tcBorders>
              <w:top w:val="single" w:sz="8" w:color="auto"/>
            </w:tcBorders>
          </w:tcPr>
          <w:p>
            <w:pPr>
              <w:jc w:val="center"/>
              <w:ind w:left="341"/>
              <w:spacing w:after="0"/>
              <w:rPr>
                <w:sz w:val="20"/>
                <w:szCs w:val="20"/>
                <w:color w:val="auto"/>
              </w:rPr>
            </w:pPr>
            <w:r>
              <w:rPr>
                <w:rFonts w:ascii="Arial" w:cs="Arial" w:eastAsia="Arial" w:hAnsi="Arial"/>
                <w:sz w:val="15"/>
                <w:szCs w:val="15"/>
                <w:b w:val="1"/>
                <w:bCs w:val="1"/>
                <w:color w:val="auto"/>
              </w:rPr>
              <w:t>Common Stock, $0.01 par value</w:t>
            </w: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9"/>
              </w:rPr>
              <w:t>ABM</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43"/>
              <w:spacing w:after="0"/>
              <w:rPr>
                <w:sz w:val="20"/>
                <w:szCs w:val="20"/>
                <w:color w:val="auto"/>
              </w:rPr>
            </w:pPr>
            <w:r>
              <w:rPr>
                <w:rFonts w:ascii="Arial" w:cs="Arial" w:eastAsia="Arial" w:hAnsi="Arial"/>
                <w:sz w:val="15"/>
                <w:szCs w:val="15"/>
                <w:b w:val="1"/>
                <w:bCs w:val="1"/>
                <w:color w:val="auto"/>
              </w:rPr>
              <w:t>New York Stock Exchange</w:t>
            </w:r>
          </w:p>
        </w:tc>
      </w:tr>
    </w:tbl>
    <w:p>
      <w:pPr>
        <w:spacing w:after="0" w:line="220"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528955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0"/>
          <w:szCs w:val="20"/>
          <w:color w:val="auto"/>
        </w:rPr>
      </w:pPr>
    </w:p>
    <w:p>
      <w:pPr>
        <w:ind w:left="180"/>
        <w:spacing w:after="0" w:line="196" w:lineRule="exact"/>
        <w:tabs>
          <w:tab w:leader="none" w:pos="2060" w:val="left"/>
          <w:tab w:leader="none" w:pos="6240" w:val="left"/>
          <w:tab w:leader="none" w:pos="84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 xml:space="preserve">  ☐  </w:t>
      </w:r>
      <w:r>
        <w:rPr>
          <w:rFonts w:ascii="Arial" w:cs="Arial" w:eastAsia="Arial" w:hAnsi="Arial"/>
          <w:sz w:val="17"/>
          <w:szCs w:val="17"/>
          <w:color w:val="auto"/>
        </w:rPr>
        <w:t>Non-accelerated filer</w:t>
      </w:r>
      <w:r>
        <w:rPr>
          <w:rFonts w:ascii="MS PGothic" w:cs="MS PGothic" w:eastAsia="MS PGothic" w:hAnsi="MS PGothic"/>
          <w:sz w:val="17"/>
          <w:szCs w:val="17"/>
          <w:color w:val="auto"/>
        </w:rPr>
        <w:t xml:space="preserve">  ☐</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Emerging growth company</w:t>
      </w:r>
      <w:r>
        <w:rPr>
          <w:rFonts w:ascii="MS PGothic" w:cs="MS PGothic" w:eastAsia="MS PGothic" w:hAnsi="MS PGothic"/>
          <w:sz w:val="17"/>
          <w:szCs w:val="17"/>
          <w:color w:val="auto"/>
        </w:rPr>
        <w:t xml:space="preserve">  ☐</w:t>
      </w:r>
    </w:p>
    <w:p>
      <w:pPr>
        <w:spacing w:after="0" w:line="290"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3" w:lineRule="exact"/>
        <w:rPr>
          <w:sz w:val="20"/>
          <w:szCs w:val="20"/>
          <w:color w:val="auto"/>
        </w:rPr>
      </w:pPr>
    </w:p>
    <w:p>
      <w:pPr>
        <w:spacing w:after="0" w:line="196" w:lineRule="exact"/>
        <w:tabs>
          <w:tab w:leader="none" w:pos="872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20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Number of shares of the registrant’s common stock outstanding as of September 4, 2025: 61,233,895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165100</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132080</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120" w:type="dxa"/>
            <w:vAlign w:val="bottom"/>
          </w:tcPr>
          <w:p>
            <w:pPr>
              <w:spacing w:after="0"/>
              <w:rPr>
                <w:sz w:val="14"/>
                <w:szCs w:val="14"/>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24</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3.</w:t>
            </w:r>
          </w:p>
        </w:tc>
        <w:tc>
          <w:tcPr>
            <w:tcW w:w="1050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41</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4.</w:t>
            </w:r>
          </w:p>
        </w:tc>
        <w:tc>
          <w:tcPr>
            <w:tcW w:w="1050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41</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5.</w:t>
            </w:r>
          </w:p>
        </w:tc>
        <w:tc>
          <w:tcPr>
            <w:tcW w:w="1050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41</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6.</w:t>
            </w:r>
          </w:p>
        </w:tc>
        <w:tc>
          <w:tcPr>
            <w:tcW w:w="10500" w:type="dxa"/>
            <w:vAlign w:val="bottom"/>
          </w:tcPr>
          <w:p>
            <w:pPr>
              <w:ind w:left="20"/>
              <w:spacing w:after="0"/>
              <w:rPr>
                <w:sz w:val="20"/>
                <w:szCs w:val="20"/>
                <w:color w:val="auto"/>
              </w:rPr>
            </w:pPr>
            <w:r>
              <w:rPr>
                <w:rFonts w:ascii="Arial" w:cs="Arial" w:eastAsia="Arial" w:hAnsi="Arial"/>
                <w:sz w:val="14"/>
                <w:szCs w:val="14"/>
                <w:color w:val="auto"/>
              </w:rPr>
              <w:t>Exhibits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43</w:t>
            </w:r>
          </w:p>
        </w:tc>
        <w:tc>
          <w:tcPr>
            <w:tcW w:w="120" w:type="dxa"/>
            <w:vAlign w:val="bottom"/>
          </w:tcPr>
          <w:p>
            <w:pPr>
              <w:spacing w:after="0"/>
              <w:rPr>
                <w:sz w:val="15"/>
                <w:szCs w:val="15"/>
                <w:color w:val="auto"/>
              </w:rPr>
            </w:pPr>
          </w:p>
        </w:tc>
      </w:tr>
      <w:tr>
        <w:trPr>
          <w:trHeight w:val="1004"/>
        </w:trPr>
        <w:tc>
          <w:tcPr>
            <w:tcW w:w="460" w:type="dxa"/>
            <w:vAlign w:val="bottom"/>
            <w:tcBorders>
              <w:bottom w:val="single" w:sz="8" w:color="9A9A9A"/>
            </w:tcBorders>
          </w:tcPr>
          <w:p>
            <w:pPr>
              <w:spacing w:after="0"/>
              <w:rPr>
                <w:sz w:val="24"/>
                <w:szCs w:val="24"/>
                <w:color w:val="auto"/>
              </w:rPr>
            </w:pPr>
          </w:p>
        </w:tc>
        <w:tc>
          <w:tcPr>
            <w:tcW w:w="10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046AD"/>
        </w:rPr>
        <w:t>FORWARD-LOOKING STATEMENTS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gain profitable business despite competitive market pressures.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results of operations can be adversely affected by labor shortages, turnover, and labor cost increases.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attract and retain qualified personnel and senior management we need to support our business.</w:t>
      </w:r>
    </w:p>
    <w:p>
      <w:pPr>
        <w:spacing w:after="0" w:line="60" w:lineRule="exact"/>
        <w:rPr>
          <w:rFonts w:ascii="Arial" w:cs="Arial" w:eastAsia="Arial" w:hAnsi="Arial"/>
          <w:sz w:val="17"/>
          <w:szCs w:val="17"/>
          <w:color w:val="auto"/>
        </w:rPr>
      </w:pPr>
    </w:p>
    <w:p>
      <w:pPr>
        <w:jc w:val="both"/>
        <w:ind w:left="620" w:hanging="307"/>
        <w:spacing w:after="0" w:line="272"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Investments in and changes to our businesses, operating structure, or personnel relating to our </w:t>
      </w:r>
      <w:r>
        <w:rPr>
          <w:rFonts w:ascii="Arial" w:cs="Arial" w:eastAsia="Arial" w:hAnsi="Arial"/>
          <w:sz w:val="17"/>
          <w:szCs w:val="17"/>
          <w:b w:val="1"/>
          <w:bCs w:val="1"/>
          <w:color w:val="D76428"/>
        </w:rPr>
        <w:t>ELEVATE</w:t>
      </w:r>
      <w:r>
        <w:rPr>
          <w:rFonts w:ascii="Arial" w:cs="Arial" w:eastAsia="Arial" w:hAnsi="Arial"/>
          <w:sz w:val="17"/>
          <w:szCs w:val="17"/>
          <w:color w:val="auto"/>
        </w:rPr>
        <w:t xml:space="preserve"> strategy, including the implementation of strategic transformations, enhanced business processes, and technology initiatives, may not have the desired effects on our financial condition and results of operations.</w:t>
      </w:r>
    </w:p>
    <w:p>
      <w:pPr>
        <w:spacing w:after="0" w:line="7"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preserve long-term client relationships is essential to our continued success.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use of subcontractors or joint venture partners to perform work under customer contracts exposes us to liability and financial risk.</w:t>
      </w:r>
    </w:p>
    <w:p>
      <w:pPr>
        <w:spacing w:after="0" w:line="6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international business involves risks different from those we face in the United States that could negatively impact our results of operations and financial condition.</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commercial office space utilization due to hybrid work models and increases in office vacancy rates could adversely affect our financial condition.</w:t>
      </w:r>
    </w:p>
    <w:p>
      <w:pPr>
        <w:spacing w:after="0" w:line="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8"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experience breaches of, or disruptions to, our information technology systems or those of our third-party providers or clients, or other compromises of our data that could adversely affect our business.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implementation of new enterprise resource planning (“ERP”) and related boundary systems could adversely impact our ability to operate our business, including the timing and amount of working capital needed, and report our financial results.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divestitures, and other strategic transactions could fail to achieve financial or strategic objectives, disrupt our ongoing business, and adversely impact our results of operations.</w:t>
      </w:r>
    </w:p>
    <w:p>
      <w:pPr>
        <w:spacing w:after="0" w:line="1" w:lineRule="exact"/>
        <w:rPr>
          <w:rFonts w:ascii="Arial" w:cs="Arial" w:eastAsia="Arial" w:hAnsi="Arial"/>
          <w:sz w:val="17"/>
          <w:szCs w:val="17"/>
          <w:color w:val="auto"/>
        </w:rPr>
      </w:pPr>
    </w:p>
    <w:p>
      <w:pPr>
        <w:jc w:val="both"/>
        <w:ind w:left="620" w:hanging="307"/>
        <w:spacing w:after="0" w:line="26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22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risk management and safety programs may not have the intended effect of reducing our liability for personal injury or property loss.</w:t>
      </w:r>
    </w:p>
    <w:p>
      <w:pPr>
        <w:spacing w:after="0" w:line="6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developments in our class and representative actions and other lawsuits alleging various claims could cause us to incur substantial liabilities.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legal and regulatory requirements, which could limit our profitability by increasing the costs of legal and regulatory compliance.</w:t>
      </w:r>
    </w:p>
    <w:p>
      <w:pPr>
        <w:spacing w:after="0" w:line="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8"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may be materially affected by changes to fiscal and tax policies. Negative or unexpected tax consequences could adversely affect our results of operations.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increases in the level of our borrowings and interest rates could affect our results of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 w:name="page5"/>
    <w:bookmarkEnd w:id="4"/>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Impairment of goodwill and long-lived assets could have a material adverse effect on our financial condition and results of operations.</w:t>
      </w:r>
    </w:p>
    <w:p>
      <w:pPr>
        <w:spacing w:after="0" w:line="62"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may be negatively impacted by adverse weather conditions.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Catastrophic events, disasters, pandemics, and terrorist attacks could disrupt our services.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Actions of activist investors could disrupt our business.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and other risks and uncertainties we face is contained in our Annual Report on Form 10-K for the year ended October 31, 2024, and in other reports (including all amendments to those reports) we file from time to time with the Securities and Exchange Commission (“SEC”).</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0046AD"/>
        </w:rPr>
        <w:t>PART I. FINANCIAL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CONSOLIDATED FINANCIAL STATEMENTS.</w:t>
      </w:r>
    </w:p>
    <w:p>
      <w:pPr>
        <w:spacing w:after="0" w:line="11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0046AD"/>
        </w:rPr>
        <w:t>CONSOLIDATED BALANCE SHEETS</w:t>
      </w:r>
    </w:p>
    <w:p>
      <w:pPr>
        <w:spacing w:after="0" w:line="127"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0046AD"/>
        </w:rPr>
        <w:t>(UNAUDITED)</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 except share and per share amounts)</w:t>
            </w:r>
          </w:p>
        </w:tc>
        <w:tc>
          <w:tcPr>
            <w:tcW w:w="280" w:type="dxa"/>
            <w:vAlign w:val="bottom"/>
          </w:tcPr>
          <w:p>
            <w:pPr>
              <w:spacing w:after="0"/>
              <w:rPr>
                <w:sz w:val="15"/>
                <w:szCs w:val="15"/>
                <w:color w:val="auto"/>
              </w:rPr>
            </w:pPr>
          </w:p>
        </w:tc>
        <w:tc>
          <w:tcPr>
            <w:tcW w:w="16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July 31, 2025</w:t>
            </w:r>
          </w:p>
        </w:tc>
        <w:tc>
          <w:tcPr>
            <w:tcW w:w="180" w:type="dxa"/>
            <w:vAlign w:val="bottom"/>
          </w:tcPr>
          <w:p>
            <w:pPr>
              <w:spacing w:after="0"/>
              <w:rPr>
                <w:sz w:val="15"/>
                <w:szCs w:val="15"/>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b w:val="1"/>
                <w:bCs w:val="1"/>
                <w:color w:val="auto"/>
              </w:rPr>
              <w:t>October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3060" w:type="dxa"/>
            <w:vAlign w:val="bottom"/>
            <w:tcBorders>
              <w:top w:val="single" w:sz="8" w:color="auto"/>
              <w:bottom w:val="single" w:sz="8" w:color="DCE2EF"/>
            </w:tcBorders>
          </w:tcPr>
          <w:p>
            <w:pPr>
              <w:spacing w:after="0" w:line="20" w:lineRule="exact"/>
              <w:rPr>
                <w:sz w:val="1"/>
                <w:szCs w:val="1"/>
                <w:color w:val="auto"/>
              </w:rPr>
            </w:pPr>
          </w:p>
        </w:tc>
        <w:tc>
          <w:tcPr>
            <w:tcW w:w="42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DCE2EF"/>
          </w:tcPr>
          <w:p>
            <w:pPr>
              <w:spacing w:after="0"/>
              <w:rPr>
                <w:sz w:val="16"/>
                <w:szCs w:val="16"/>
                <w:color w:val="auto"/>
              </w:rPr>
            </w:pPr>
          </w:p>
        </w:tc>
        <w:tc>
          <w:tcPr>
            <w:tcW w:w="15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5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69.3</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80" w:type="dxa"/>
            <w:vAlign w:val="bottom"/>
            <w:gridSpan w:val="2"/>
          </w:tcPr>
          <w:p>
            <w:pPr>
              <w:ind w:left="300"/>
              <w:spacing w:after="0" w:line="156" w:lineRule="exact"/>
              <w:rPr>
                <w:sz w:val="20"/>
                <w:szCs w:val="20"/>
                <w:color w:val="auto"/>
              </w:rPr>
            </w:pPr>
            <w:r>
              <w:rPr>
                <w:rFonts w:ascii="Arial" w:cs="Arial" w:eastAsia="Arial" w:hAnsi="Arial"/>
                <w:sz w:val="15"/>
                <w:szCs w:val="15"/>
                <w:color w:val="auto"/>
              </w:rPr>
              <w:t>Trade accounts receivable, net of allowances of $25.1 and $22.8</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1,495.0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1,384.1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440"/>
              <w:spacing w:after="0"/>
              <w:rPr>
                <w:sz w:val="20"/>
                <w:szCs w:val="20"/>
                <w:color w:val="auto"/>
              </w:rPr>
            </w:pPr>
            <w:r>
              <w:rPr>
                <w:rFonts w:ascii="Arial" w:cs="Arial" w:eastAsia="Arial" w:hAnsi="Arial"/>
                <w:sz w:val="15"/>
                <w:szCs w:val="15"/>
                <w:color w:val="auto"/>
              </w:rPr>
              <w:t>at July 31, 2025 and October 31, 2024,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Costs incurred in excess of amounts billed</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159.1</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Prepaid expenses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103.2</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Other current assets</w:t>
            </w:r>
          </w:p>
        </w:tc>
        <w:tc>
          <w:tcPr>
            <w:tcW w:w="28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72.5</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620"/>
              <w:spacing w:after="0"/>
              <w:rPr>
                <w:sz w:val="20"/>
                <w:szCs w:val="20"/>
                <w:color w:val="auto"/>
              </w:rPr>
            </w:pPr>
            <w:r>
              <w:rPr>
                <w:rFonts w:ascii="Arial" w:cs="Arial" w:eastAsia="Arial" w:hAnsi="Arial"/>
                <w:sz w:val="15"/>
                <w:szCs w:val="15"/>
                <w:color w:val="auto"/>
              </w:rPr>
              <w:t>Total 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1,951.6</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1,788.7</w:t>
            </w:r>
          </w:p>
        </w:tc>
        <w:tc>
          <w:tcPr>
            <w:tcW w:w="0" w:type="dxa"/>
            <w:vAlign w:val="bottom"/>
          </w:tcPr>
          <w:p>
            <w:pPr>
              <w:spacing w:after="0"/>
              <w:rPr>
                <w:sz w:val="1"/>
                <w:szCs w:val="1"/>
                <w:color w:val="auto"/>
              </w:rPr>
            </w:pPr>
          </w:p>
        </w:tc>
      </w:tr>
      <w:tr>
        <w:trPr>
          <w:trHeight w:val="200"/>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80" w:type="dxa"/>
            <w:vAlign w:val="bottom"/>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Property, plant and equipment, net of accumulated depreciation of $368.9 and $351.3 at July 31, 2025</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150.7</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and October 31, 2024,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Right-of-use assets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96.3</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Other intangible assets, net of accumulated amortization of $519.6 and $479.3</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255.6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282.4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July 31, 2025 and October 31, 2024,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2,588.6</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2,575.9</w:t>
            </w:r>
          </w:p>
        </w:tc>
        <w:tc>
          <w:tcPr>
            <w:tcW w:w="0" w:type="dxa"/>
            <w:vAlign w:val="bottom"/>
          </w:tcPr>
          <w:p>
            <w:pPr>
              <w:spacing w:after="0"/>
              <w:rPr>
                <w:sz w:val="1"/>
                <w:szCs w:val="1"/>
                <w:color w:val="auto"/>
              </w:rPr>
            </w:pPr>
          </w:p>
        </w:tc>
      </w:tr>
      <w:tr>
        <w:trPr>
          <w:trHeight w:val="205"/>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180.4</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167.5</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5,270.5</w:t>
            </w:r>
          </w:p>
        </w:tc>
        <w:tc>
          <w:tcPr>
            <w:tcW w:w="10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5,097.2</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3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Current portion of debt, net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payable</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357.1</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Accrued compensation</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295.6</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Accrued taxes — other than income</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41.4</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Deferred revenue</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63.7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Insurance claims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199.7</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Income taxes payable</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Current portion of lease liabilities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28.6</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Other accrued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330.7</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348.2</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620"/>
              <w:spacing w:after="0"/>
              <w:rPr>
                <w:sz w:val="20"/>
                <w:szCs w:val="20"/>
                <w:color w:val="auto"/>
              </w:rPr>
            </w:pPr>
            <w:r>
              <w:rPr>
                <w:rFonts w:ascii="Arial" w:cs="Arial" w:eastAsia="Arial" w:hAnsi="Arial"/>
                <w:sz w:val="15"/>
                <w:szCs w:val="15"/>
                <w:color w:val="auto"/>
              </w:rPr>
              <w:t>Total current liabilities</w:t>
            </w:r>
          </w:p>
        </w:tc>
        <w:tc>
          <w:tcPr>
            <w:tcW w:w="280" w:type="dxa"/>
            <w:vAlign w:val="bottom"/>
            <w:tcBorders>
              <w:bottom w:val="single" w:sz="8" w:color="auto"/>
            </w:tcBorders>
            <w:shd w:val="clear" w:color="auto" w:fill="DCE2EF"/>
          </w:tcPr>
          <w:p>
            <w:pPr>
              <w:spacing w:after="0"/>
              <w:rPr>
                <w:sz w:val="17"/>
                <w:szCs w:val="17"/>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1,313.4</w:t>
            </w:r>
          </w:p>
        </w:tc>
        <w:tc>
          <w:tcPr>
            <w:tcW w:w="100" w:type="dxa"/>
            <w:vAlign w:val="bottom"/>
            <w:shd w:val="clear" w:color="auto" w:fill="DCE2EF"/>
          </w:tcPr>
          <w:p>
            <w:pPr>
              <w:spacing w:after="0"/>
              <w:rPr>
                <w:sz w:val="17"/>
                <w:szCs w:val="17"/>
                <w:color w:val="auto"/>
              </w:rPr>
            </w:pPr>
          </w:p>
        </w:tc>
        <w:tc>
          <w:tcPr>
            <w:tcW w:w="180" w:type="dxa"/>
            <w:vAlign w:val="bottom"/>
            <w:tcBorders>
              <w:bottom w:val="single" w:sz="8" w:color="auto"/>
            </w:tcBorders>
            <w:shd w:val="clear" w:color="auto" w:fill="DCE2EF"/>
          </w:tcPr>
          <w:p>
            <w:pPr>
              <w:spacing w:after="0"/>
              <w:rPr>
                <w:sz w:val="17"/>
                <w:szCs w:val="17"/>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1,348.4</w:t>
            </w:r>
          </w:p>
        </w:tc>
        <w:tc>
          <w:tcPr>
            <w:tcW w:w="0" w:type="dxa"/>
            <w:vAlign w:val="bottom"/>
          </w:tcPr>
          <w:p>
            <w:pPr>
              <w:spacing w:after="0"/>
              <w:rPr>
                <w:sz w:val="1"/>
                <w:szCs w:val="1"/>
                <w:color w:val="auto"/>
              </w:rPr>
            </w:pPr>
          </w:p>
        </w:tc>
      </w:tr>
      <w:tr>
        <w:trPr>
          <w:trHeight w:val="198"/>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1,302.2</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lease liabilities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84.1</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426.8</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421.8</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8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3,439.6</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3,315.2</w:t>
            </w:r>
          </w:p>
        </w:tc>
        <w:tc>
          <w:tcPr>
            <w:tcW w:w="0" w:type="dxa"/>
            <w:vAlign w:val="bottom"/>
          </w:tcPr>
          <w:p>
            <w:pPr>
              <w:spacing w:after="0"/>
              <w:rPr>
                <w:sz w:val="1"/>
                <w:szCs w:val="1"/>
                <w:color w:val="auto"/>
              </w:rPr>
            </w:pPr>
          </w:p>
        </w:tc>
      </w:tr>
      <w:tr>
        <w:trPr>
          <w:trHeight w:val="18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80" w:type="dxa"/>
            <w:vAlign w:val="bottom"/>
            <w:shd w:val="clear" w:color="auto" w:fill="DCE2EF"/>
          </w:tcPr>
          <w:p>
            <w:pPr>
              <w:spacing w:after="0"/>
              <w:rPr>
                <w:sz w:val="16"/>
                <w:szCs w:val="16"/>
                <w:color w:val="auto"/>
              </w:rPr>
            </w:pPr>
          </w:p>
        </w:tc>
        <w:tc>
          <w:tcPr>
            <w:tcW w:w="15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5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0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80" w:type="dxa"/>
            <w:vAlign w:val="bottom"/>
            <w:shd w:val="clear" w:color="auto" w:fill="DCE2EF"/>
          </w:tcPr>
          <w:p>
            <w:pPr>
              <w:spacing w:after="0"/>
              <w:rPr>
                <w:sz w:val="17"/>
                <w:szCs w:val="17"/>
                <w:color w:val="auto"/>
              </w:rPr>
            </w:pPr>
          </w:p>
        </w:tc>
        <w:tc>
          <w:tcPr>
            <w:tcW w:w="1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Common stock, $0.01 par value; 100,000,000 shares authorized;</w:t>
            </w: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80" w:type="dxa"/>
            <w:vAlign w:val="bottom"/>
            <w:gridSpan w:val="2"/>
          </w:tcPr>
          <w:p>
            <w:pPr>
              <w:ind w:left="520"/>
              <w:spacing w:after="0" w:line="155" w:lineRule="exact"/>
              <w:rPr>
                <w:sz w:val="20"/>
                <w:szCs w:val="20"/>
                <w:color w:val="auto"/>
              </w:rPr>
            </w:pPr>
            <w:r>
              <w:rPr>
                <w:rFonts w:ascii="Arial" w:cs="Arial" w:eastAsia="Arial" w:hAnsi="Arial"/>
                <w:sz w:val="15"/>
                <w:szCs w:val="15"/>
                <w:color w:val="auto"/>
              </w:rPr>
              <w:t>61,725,062 and 62,196,665 shares issued and outstanding at</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520"/>
              <w:spacing w:after="0"/>
              <w:rPr>
                <w:sz w:val="20"/>
                <w:szCs w:val="20"/>
                <w:color w:val="auto"/>
              </w:rPr>
            </w:pPr>
            <w:r>
              <w:rPr>
                <w:rFonts w:ascii="Arial" w:cs="Arial" w:eastAsia="Arial" w:hAnsi="Arial"/>
                <w:sz w:val="15"/>
                <w:szCs w:val="15"/>
                <w:color w:val="auto"/>
              </w:rPr>
              <w:t>July 31, 2025 and October 31, 2024,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498.6</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527.4</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Accumulated other comprehensive loss, net of taxes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Retained earnings</w:t>
            </w:r>
          </w:p>
        </w:tc>
        <w:tc>
          <w:tcPr>
            <w:tcW w:w="28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1,349.7</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1,272.9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1,830.9</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1,781.9</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5,270.5</w:t>
            </w:r>
          </w:p>
        </w:tc>
        <w:tc>
          <w:tcPr>
            <w:tcW w:w="10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5,097.2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3060" w:type="dxa"/>
            <w:vAlign w:val="bottom"/>
            <w:tcBorders>
              <w:top w:val="single" w:sz="8" w:color="DCE2EF"/>
            </w:tcBorders>
          </w:tcPr>
          <w:p>
            <w:pPr>
              <w:spacing w:after="0" w:line="20" w:lineRule="exact"/>
              <w:rPr>
                <w:sz w:val="1"/>
                <w:szCs w:val="1"/>
                <w:color w:val="auto"/>
              </w:rPr>
            </w:pPr>
          </w:p>
        </w:tc>
        <w:tc>
          <w:tcPr>
            <w:tcW w:w="422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accompanying notes to unaudited consolidated financial statements.</w:t>
      </w:r>
    </w:p>
    <w:p>
      <w:pPr>
        <w:sectPr>
          <w:pgSz w:w="11900" w:h="16838" w:orient="portrait"/>
          <w:cols w:equalWidth="0" w:num="1">
            <w:col w:w="11120"/>
          </w:cols>
          <w:pgMar w:left="320" w:top="1204"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04" w:right="4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CONSOLIDATED STATEMENTS OF COMPREHENSIVE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260" w:type="dxa"/>
            <w:vAlign w:val="bottom"/>
          </w:tcPr>
          <w:p>
            <w:pPr>
              <w:spacing w:after="0"/>
              <w:rPr>
                <w:sz w:val="17"/>
                <w:szCs w:val="17"/>
                <w:color w:val="auto"/>
              </w:rPr>
            </w:pPr>
          </w:p>
        </w:tc>
        <w:tc>
          <w:tcPr>
            <w:tcW w:w="2760" w:type="dxa"/>
            <w:vAlign w:val="bottom"/>
            <w:gridSpan w:val="4"/>
          </w:tcPr>
          <w:p>
            <w:pPr>
              <w:jc w:val="right"/>
              <w:ind w:right="383"/>
              <w:spacing w:after="0"/>
              <w:rPr>
                <w:sz w:val="20"/>
                <w:szCs w:val="20"/>
                <w:color w:val="auto"/>
              </w:rPr>
            </w:pPr>
            <w:r>
              <w:rPr>
                <w:rFonts w:ascii="Arial" w:cs="Arial" w:eastAsia="Arial" w:hAnsi="Arial"/>
                <w:sz w:val="15"/>
                <w:szCs w:val="15"/>
                <w:b w:val="1"/>
                <w:bCs w:val="1"/>
                <w:color w:val="auto"/>
              </w:rPr>
              <w:t>Three Months Ended July 31,</w:t>
            </w:r>
          </w:p>
        </w:tc>
        <w:tc>
          <w:tcPr>
            <w:tcW w:w="320" w:type="dxa"/>
            <w:vAlign w:val="bottom"/>
          </w:tcPr>
          <w:p>
            <w:pPr>
              <w:spacing w:after="0"/>
              <w:rPr>
                <w:sz w:val="17"/>
                <w:szCs w:val="17"/>
                <w:color w:val="auto"/>
              </w:rPr>
            </w:pPr>
          </w:p>
        </w:tc>
        <w:tc>
          <w:tcPr>
            <w:tcW w:w="2680" w:type="dxa"/>
            <w:vAlign w:val="bottom"/>
            <w:gridSpan w:val="4"/>
          </w:tcPr>
          <w:p>
            <w:pPr>
              <w:jc w:val="right"/>
              <w:ind w:right="363"/>
              <w:spacing w:after="0"/>
              <w:rPr>
                <w:sz w:val="20"/>
                <w:szCs w:val="20"/>
                <w:color w:val="auto"/>
              </w:rPr>
            </w:pPr>
            <w:r>
              <w:rPr>
                <w:rFonts w:ascii="Arial" w:cs="Arial" w:eastAsia="Arial" w:hAnsi="Arial"/>
                <w:sz w:val="15"/>
                <w:szCs w:val="15"/>
                <w:b w:val="1"/>
                <w:bCs w:val="1"/>
                <w:color w:val="auto"/>
              </w:rPr>
              <w:t>Nine Months Ended July 31,</w:t>
            </w:r>
          </w:p>
        </w:tc>
        <w:tc>
          <w:tcPr>
            <w:tcW w:w="0" w:type="dxa"/>
            <w:vAlign w:val="bottom"/>
          </w:tcPr>
          <w:p>
            <w:pPr>
              <w:spacing w:after="0"/>
              <w:rPr>
                <w:sz w:val="1"/>
                <w:szCs w:val="1"/>
                <w:color w:val="auto"/>
              </w:rPr>
            </w:pPr>
          </w:p>
        </w:tc>
      </w:tr>
      <w:tr>
        <w:trPr>
          <w:trHeight w:val="169"/>
        </w:trPr>
        <w:tc>
          <w:tcPr>
            <w:tcW w:w="51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63"/>
              <w:spacing w:after="0" w:line="169"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23"/>
              <w:spacing w:after="0" w:line="169" w:lineRule="exact"/>
              <w:rPr>
                <w:sz w:val="20"/>
                <w:szCs w:val="20"/>
                <w:color w:val="auto"/>
              </w:rPr>
            </w:pPr>
            <w:r>
              <w:rPr>
                <w:rFonts w:ascii="Arial" w:cs="Arial" w:eastAsia="Arial" w:hAnsi="Arial"/>
                <w:sz w:val="15"/>
                <w:szCs w:val="15"/>
                <w:b w:val="1"/>
                <w:bCs w:val="1"/>
                <w:color w:val="auto"/>
              </w:rPr>
              <w:t>2024</w:t>
            </w:r>
          </w:p>
        </w:tc>
        <w:tc>
          <w:tcPr>
            <w:tcW w:w="320" w:type="dxa"/>
            <w:vAlign w:val="bottom"/>
          </w:tcPr>
          <w:p>
            <w:pPr>
              <w:spacing w:after="0"/>
              <w:rPr>
                <w:sz w:val="14"/>
                <w:szCs w:val="14"/>
                <w:color w:val="auto"/>
              </w:rPr>
            </w:pPr>
          </w:p>
        </w:tc>
        <w:tc>
          <w:tcPr>
            <w:tcW w:w="1180" w:type="dxa"/>
            <w:vAlign w:val="bottom"/>
          </w:tcPr>
          <w:p>
            <w:pPr>
              <w:jc w:val="right"/>
              <w:ind w:right="483"/>
              <w:spacing w:after="0" w:line="169" w:lineRule="exact"/>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63"/>
              <w:spacing w:after="0" w:line="169" w:lineRule="exact"/>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27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26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2,224.0</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2,094.2</w:t>
            </w:r>
          </w:p>
        </w:tc>
        <w:tc>
          <w:tcPr>
            <w:tcW w:w="32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6,450.5</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6,182.0</w:t>
            </w:r>
          </w:p>
        </w:tc>
        <w:tc>
          <w:tcPr>
            <w:tcW w:w="0" w:type="dxa"/>
            <w:vAlign w:val="bottom"/>
          </w:tcPr>
          <w:p>
            <w:pPr>
              <w:spacing w:after="0"/>
              <w:rPr>
                <w:sz w:val="1"/>
                <w:szCs w:val="1"/>
                <w:color w:val="auto"/>
              </w:rPr>
            </w:pPr>
          </w:p>
        </w:tc>
      </w:tr>
      <w:tr>
        <w:trPr>
          <w:trHeight w:val="205"/>
        </w:trPr>
        <w:tc>
          <w:tcPr>
            <w:tcW w:w="518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1,949.6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1,831.0</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5,645.7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5,420.8</w:t>
            </w:r>
          </w:p>
        </w:tc>
        <w:tc>
          <w:tcPr>
            <w:tcW w:w="0" w:type="dxa"/>
            <w:vAlign w:val="bottom"/>
          </w:tcPr>
          <w:p>
            <w:pPr>
              <w:spacing w:after="0"/>
              <w:rPr>
                <w:sz w:val="1"/>
                <w:szCs w:val="1"/>
                <w:color w:val="auto"/>
              </w:rPr>
            </w:pPr>
          </w:p>
        </w:tc>
      </w:tr>
      <w:tr>
        <w:trPr>
          <w:trHeight w:val="207"/>
        </w:trPr>
        <w:tc>
          <w:tcPr>
            <w:tcW w:w="5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26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177.5</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211.8</w:t>
            </w:r>
          </w:p>
        </w:tc>
        <w:tc>
          <w:tcPr>
            <w:tcW w:w="32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521.7</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526.3</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14.0</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39.9</w:t>
            </w:r>
          </w:p>
        </w:tc>
        <w:tc>
          <w:tcPr>
            <w:tcW w:w="8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200"/>
        </w:trPr>
        <w:tc>
          <w:tcPr>
            <w:tcW w:w="51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Operating profit</w:t>
            </w: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83.4</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37.4</w:t>
            </w:r>
          </w:p>
        </w:tc>
        <w:tc>
          <w:tcPr>
            <w:tcW w:w="32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243.3</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205"/>
        </w:trPr>
        <w:tc>
          <w:tcPr>
            <w:tcW w:w="5180" w:type="dxa"/>
            <w:vAlign w:val="bottom"/>
            <w:gridSpan w:val="3"/>
          </w:tcPr>
          <w:p>
            <w:pPr>
              <w:ind w:left="20"/>
              <w:spacing w:after="0"/>
              <w:rPr>
                <w:sz w:val="20"/>
                <w:szCs w:val="20"/>
                <w:color w:val="auto"/>
              </w:rPr>
            </w:pPr>
            <w:r>
              <w:rPr>
                <w:rFonts w:ascii="Arial" w:cs="Arial" w:eastAsia="Arial" w:hAnsi="Arial"/>
                <w:sz w:val="15"/>
                <w:szCs w:val="15"/>
                <w:color w:val="auto"/>
              </w:rPr>
              <w:t>Income from unconsolidated affiliates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1.8</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7"/>
        </w:trPr>
        <w:tc>
          <w:tcPr>
            <w:tcW w:w="5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Interest expense</w:t>
            </w:r>
          </w:p>
        </w:tc>
        <w:tc>
          <w:tcPr>
            <w:tcW w:w="26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(25.3)</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(21.2)</w:t>
            </w:r>
          </w:p>
        </w:tc>
        <w:tc>
          <w:tcPr>
            <w:tcW w:w="32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(72.1)</w:t>
            </w:r>
          </w:p>
        </w:tc>
        <w:tc>
          <w:tcPr>
            <w:tcW w:w="8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198"/>
        </w:trPr>
        <w:tc>
          <w:tcPr>
            <w:tcW w:w="5180" w:type="dxa"/>
            <w:vAlign w:val="bottom"/>
            <w:gridSpan w:val="3"/>
          </w:tcPr>
          <w:p>
            <w:pPr>
              <w:ind w:left="20"/>
              <w:spacing w:after="0"/>
              <w:rPr>
                <w:sz w:val="20"/>
                <w:szCs w:val="20"/>
                <w:color w:val="auto"/>
              </w:rPr>
            </w:pPr>
            <w:r>
              <w:rPr>
                <w:rFonts w:ascii="Arial" w:cs="Arial" w:eastAsia="Arial" w:hAnsi="Arial"/>
                <w:sz w:val="15"/>
                <w:szCs w:val="15"/>
                <w:color w:val="auto"/>
              </w:rPr>
              <w:t>Income before income taxes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18.0</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174.6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134.4</w:t>
            </w:r>
          </w:p>
        </w:tc>
        <w:tc>
          <w:tcPr>
            <w:tcW w:w="0" w:type="dxa"/>
            <w:vAlign w:val="bottom"/>
          </w:tcPr>
          <w:p>
            <w:pPr>
              <w:spacing w:after="0"/>
              <w:rPr>
                <w:sz w:val="1"/>
                <w:szCs w:val="1"/>
                <w:color w:val="auto"/>
              </w:rPr>
            </w:pPr>
          </w:p>
        </w:tc>
      </w:tr>
      <w:tr>
        <w:trPr>
          <w:trHeight w:val="207"/>
        </w:trPr>
        <w:tc>
          <w:tcPr>
            <w:tcW w:w="5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tax provision</w:t>
            </w:r>
          </w:p>
        </w:tc>
        <w:tc>
          <w:tcPr>
            <w:tcW w:w="26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(13.3)</w:t>
            </w:r>
          </w:p>
        </w:tc>
        <w:tc>
          <w:tcPr>
            <w:tcW w:w="32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(47.0)</w:t>
            </w:r>
          </w:p>
        </w:tc>
        <w:tc>
          <w:tcPr>
            <w:tcW w:w="80" w:type="dxa"/>
            <w:vAlign w:val="bottom"/>
            <w:tcBorders>
              <w:bottom w:val="single" w:sz="8" w:color="auto"/>
            </w:tcBorders>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198"/>
        </w:trPr>
        <w:tc>
          <w:tcPr>
            <w:tcW w:w="518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127.6</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93.1</w:t>
            </w:r>
          </w:p>
        </w:tc>
        <w:tc>
          <w:tcPr>
            <w:tcW w:w="0" w:type="dxa"/>
            <w:vAlign w:val="bottom"/>
          </w:tcPr>
          <w:p>
            <w:pPr>
              <w:spacing w:after="0"/>
              <w:rPr>
                <w:sz w:val="1"/>
                <w:szCs w:val="1"/>
                <w:color w:val="auto"/>
              </w:rPr>
            </w:pPr>
          </w:p>
        </w:tc>
      </w:tr>
      <w:tr>
        <w:trPr>
          <w:trHeight w:val="187"/>
        </w:trPr>
        <w:tc>
          <w:tcPr>
            <w:tcW w:w="5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comprehensive income (loss)</w:t>
            </w:r>
          </w:p>
        </w:tc>
        <w:tc>
          <w:tcPr>
            <w:tcW w:w="26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gridSpan w:val="2"/>
          </w:tcPr>
          <w:p>
            <w:pPr>
              <w:ind w:left="320"/>
              <w:spacing w:after="0"/>
              <w:rPr>
                <w:sz w:val="20"/>
                <w:szCs w:val="20"/>
                <w:color w:val="auto"/>
              </w:rPr>
            </w:pPr>
            <w:r>
              <w:rPr>
                <w:rFonts w:ascii="Arial" w:cs="Arial" w:eastAsia="Arial" w:hAnsi="Arial"/>
                <w:sz w:val="15"/>
                <w:szCs w:val="15"/>
                <w:color w:val="auto"/>
              </w:rPr>
              <w:t>Interest rate swaps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(12.4)</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16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Foreign currency translation and other</w:t>
            </w:r>
          </w:p>
        </w:tc>
        <w:tc>
          <w:tcPr>
            <w:tcW w:w="26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2.7</w:t>
            </w:r>
          </w:p>
        </w:tc>
        <w:tc>
          <w:tcPr>
            <w:tcW w:w="32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5.2</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516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Income tax (provision) / benefit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Comprehensive income (loss)</w:t>
            </w:r>
          </w:p>
        </w:tc>
        <w:tc>
          <w:tcPr>
            <w:tcW w:w="26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41.0</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(1.8)</w:t>
            </w:r>
          </w:p>
        </w:tc>
        <w:tc>
          <w:tcPr>
            <w:tcW w:w="32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128.6</w:t>
            </w:r>
          </w:p>
        </w:tc>
        <w:tc>
          <w:tcPr>
            <w:tcW w:w="8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20"/>
        </w:trPr>
        <w:tc>
          <w:tcPr>
            <w:tcW w:w="518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Net income per common share</w:t>
            </w: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16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0.67</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0.07</w:t>
            </w:r>
          </w:p>
        </w:tc>
        <w:tc>
          <w:tcPr>
            <w:tcW w:w="32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2.04</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gridSpan w:val="2"/>
          </w:tcPr>
          <w:p>
            <w:pPr>
              <w:ind w:left="32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0.67</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0.07</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2.03</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55"/>
        </w:trPr>
        <w:tc>
          <w:tcPr>
            <w:tcW w:w="5180" w:type="dxa"/>
            <w:vAlign w:val="bottom"/>
            <w:gridSpan w:val="3"/>
            <w:shd w:val="clear" w:color="auto" w:fill="DCE2EF"/>
          </w:tcPr>
          <w:p>
            <w:pPr>
              <w:ind w:left="20"/>
              <w:spacing w:after="0" w:line="156" w:lineRule="exact"/>
              <w:rPr>
                <w:sz w:val="20"/>
                <w:szCs w:val="20"/>
                <w:color w:val="auto"/>
              </w:rPr>
            </w:pPr>
            <w:r>
              <w:rPr>
                <w:rFonts w:ascii="Arial" w:cs="Arial" w:eastAsia="Arial" w:hAnsi="Arial"/>
                <w:sz w:val="15"/>
                <w:szCs w:val="15"/>
                <w:b w:val="1"/>
                <w:bCs w:val="1"/>
                <w:color w:val="auto"/>
              </w:rPr>
              <w:t>Weighted-average common and common equivalent</w:t>
            </w:r>
          </w:p>
        </w:tc>
        <w:tc>
          <w:tcPr>
            <w:tcW w:w="260" w:type="dxa"/>
            <w:vAlign w:val="bottom"/>
            <w:shd w:val="clear" w:color="auto" w:fill="DCE2EF"/>
          </w:tcPr>
          <w:p>
            <w:pPr>
              <w:spacing w:after="0"/>
              <w:rPr>
                <w:sz w:val="13"/>
                <w:szCs w:val="13"/>
                <w:color w:val="auto"/>
              </w:rPr>
            </w:pPr>
          </w:p>
        </w:tc>
        <w:tc>
          <w:tcPr>
            <w:tcW w:w="11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6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8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0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160" w:type="dxa"/>
            <w:vAlign w:val="bottom"/>
            <w:gridSpan w:val="2"/>
            <w:shd w:val="clear" w:color="auto" w:fill="DCE2EF"/>
          </w:tcPr>
          <w:p>
            <w:pPr>
              <w:ind w:left="140"/>
              <w:spacing w:after="0"/>
              <w:rPr>
                <w:sz w:val="20"/>
                <w:szCs w:val="20"/>
                <w:color w:val="auto"/>
              </w:rPr>
            </w:pPr>
            <w:r>
              <w:rPr>
                <w:rFonts w:ascii="Arial" w:cs="Arial" w:eastAsia="Arial" w:hAnsi="Arial"/>
                <w:sz w:val="15"/>
                <w:szCs w:val="15"/>
                <w:b w:val="1"/>
                <w:bCs w:val="1"/>
                <w:color w:val="auto"/>
              </w:rPr>
              <w:t>shares outstanding</w:t>
            </w: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gridSpan w:val="2"/>
          </w:tcPr>
          <w:p>
            <w:pPr>
              <w:ind w:left="320"/>
              <w:spacing w:after="0"/>
              <w:rPr>
                <w:sz w:val="20"/>
                <w:szCs w:val="20"/>
                <w:color w:val="auto"/>
              </w:rPr>
            </w:pPr>
            <w:r>
              <w:rPr>
                <w:rFonts w:ascii="Arial" w:cs="Arial" w:eastAsia="Arial" w:hAnsi="Arial"/>
                <w:sz w:val="15"/>
                <w:szCs w:val="15"/>
                <w:color w:val="auto"/>
              </w:rPr>
              <w:t>Basic</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63.1</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62.6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16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63.5</w:t>
            </w:r>
          </w:p>
        </w:tc>
        <w:tc>
          <w:tcPr>
            <w:tcW w:w="32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63.0</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1204" w:right="359" w:bottom="1440" w:gutter="0" w:footer="0" w:header="0"/>
        </w:sectPr>
      </w:pPr>
    </w:p>
    <w:bookmarkStart w:id="7" w:name="page8"/>
    <w:bookmarkEnd w:id="7"/>
    <w:p>
      <w:pPr>
        <w:ind w:left="33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0046AD"/>
        </w:rPr>
        <w:t>CONSOLIDATED STATEMENTS OF STOCKHOLDERS’ EQUITY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20" w:type="dxa"/>
            <w:vAlign w:val="bottom"/>
            <w:gridSpan w:val="8"/>
          </w:tcPr>
          <w:p>
            <w:pPr>
              <w:jc w:val="right"/>
              <w:ind w:right="3"/>
              <w:spacing w:after="0"/>
              <w:rPr>
                <w:sz w:val="20"/>
                <w:szCs w:val="20"/>
                <w:color w:val="auto"/>
              </w:rPr>
            </w:pPr>
            <w:r>
              <w:rPr>
                <w:rFonts w:ascii="Arial" w:cs="Arial" w:eastAsia="Arial" w:hAnsi="Arial"/>
                <w:sz w:val="15"/>
                <w:szCs w:val="15"/>
                <w:b w:val="1"/>
                <w:bCs w:val="1"/>
                <w:color w:val="auto"/>
              </w:rPr>
              <w:t>Three Months Ended July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80" w:type="dxa"/>
            <w:vAlign w:val="bottom"/>
            <w:gridSpan w:val="7"/>
          </w:tcPr>
          <w:p>
            <w:pPr>
              <w:ind w:left="20"/>
              <w:spacing w:after="0"/>
              <w:rPr>
                <w:sz w:val="20"/>
                <w:szCs w:val="20"/>
                <w:color w:val="auto"/>
              </w:rPr>
            </w:pPr>
            <w:r>
              <w:rPr>
                <w:rFonts w:ascii="Arial" w:cs="Arial" w:eastAsia="Arial" w:hAnsi="Arial"/>
                <w:sz w:val="15"/>
                <w:szCs w:val="15"/>
                <w:b w:val="1"/>
                <w:bCs w:val="1"/>
                <w:color w:val="auto"/>
              </w:rPr>
              <w:t>Nine Months Ended July 31,</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2024</w:t>
            </w:r>
          </w:p>
        </w:tc>
        <w:tc>
          <w:tcPr>
            <w:tcW w:w="7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5"/>
                <w:szCs w:val="15"/>
                <w:b w:val="1"/>
                <w:bCs w:val="1"/>
                <w:color w:val="auto"/>
              </w:rPr>
              <w:t>2024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800" w:type="dxa"/>
            <w:vAlign w:val="bottom"/>
            <w:tcBorders>
              <w:top w:val="single" w:sz="8" w:color="auto"/>
            </w:tcBorders>
          </w:tcPr>
          <w:p>
            <w:pPr>
              <w:jc w:val="right"/>
              <w:ind w:right="43"/>
              <w:spacing w:after="0" w:line="161" w:lineRule="exact"/>
              <w:rPr>
                <w:sz w:val="20"/>
                <w:szCs w:val="20"/>
                <w:color w:val="auto"/>
              </w:rPr>
            </w:pPr>
            <w:r>
              <w:rPr>
                <w:rFonts w:ascii="Arial" w:cs="Arial" w:eastAsia="Arial" w:hAnsi="Arial"/>
                <w:sz w:val="15"/>
                <w:szCs w:val="15"/>
                <w:b w:val="1"/>
                <w:bCs w:val="1"/>
                <w:color w:val="auto"/>
              </w:rPr>
              <w:t>Shares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3"/>
              <w:spacing w:after="0" w:line="161" w:lineRule="exact"/>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3"/>
                <w:szCs w:val="13"/>
                <w:color w:val="auto"/>
              </w:rPr>
            </w:pPr>
          </w:p>
        </w:tc>
        <w:tc>
          <w:tcPr>
            <w:tcW w:w="960" w:type="dxa"/>
            <w:vAlign w:val="bottom"/>
            <w:tcBorders>
              <w:top w:val="single" w:sz="8" w:color="auto"/>
            </w:tcBorders>
            <w:gridSpan w:val="2"/>
          </w:tcPr>
          <w:p>
            <w:pPr>
              <w:ind w:left="180"/>
              <w:spacing w:after="0" w:line="161" w:lineRule="exact"/>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3"/>
              <w:spacing w:after="0" w:line="161" w:lineRule="exact"/>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83"/>
              <w:spacing w:after="0" w:line="161" w:lineRule="exact"/>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3"/>
              <w:spacing w:after="0" w:line="161" w:lineRule="exact"/>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3"/>
                <w:szCs w:val="13"/>
                <w:color w:val="auto"/>
              </w:rPr>
            </w:pPr>
          </w:p>
        </w:tc>
        <w:tc>
          <w:tcPr>
            <w:tcW w:w="1000" w:type="dxa"/>
            <w:vAlign w:val="bottom"/>
            <w:tcBorders>
              <w:top w:val="single" w:sz="8" w:color="auto"/>
            </w:tcBorders>
            <w:gridSpan w:val="3"/>
          </w:tcPr>
          <w:p>
            <w:pPr>
              <w:ind w:left="180"/>
              <w:spacing w:after="0" w:line="161" w:lineRule="exact"/>
              <w:rPr>
                <w:sz w:val="20"/>
                <w:szCs w:val="20"/>
                <w:color w:val="auto"/>
              </w:rPr>
            </w:pPr>
            <w:r>
              <w:rPr>
                <w:rFonts w:ascii="Arial" w:cs="Arial" w:eastAsia="Arial" w:hAnsi="Arial"/>
                <w:sz w:val="15"/>
                <w:szCs w:val="15"/>
                <w:b w:val="1"/>
                <w:bCs w:val="1"/>
                <w:color w:val="auto"/>
              </w:rPr>
              <w:t>Shares</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3"/>
              <w:spacing w:after="0" w:line="161" w:lineRule="exact"/>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114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Common Stock</w:t>
            </w:r>
          </w:p>
        </w:tc>
        <w:tc>
          <w:tcPr>
            <w:tcW w:w="80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gridSpan w:val="2"/>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tcPr>
          <w:p>
            <w:pPr>
              <w:jc w:val="right"/>
              <w:spacing w:after="0"/>
              <w:rPr>
                <w:sz w:val="20"/>
                <w:szCs w:val="20"/>
                <w:color w:val="auto"/>
              </w:rPr>
            </w:pPr>
            <w:r>
              <w:rPr>
                <w:rFonts w:ascii="Arial" w:cs="Arial" w:eastAsia="Arial" w:hAnsi="Arial"/>
                <w:sz w:val="15"/>
                <w:szCs w:val="15"/>
                <w:color w:val="auto"/>
              </w:rPr>
              <w:t>62.3</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0.6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62.2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980" w:type="dxa"/>
            <w:vAlign w:val="bottom"/>
            <w:gridSpan w:val="2"/>
          </w:tcPr>
          <w:p>
            <w:pPr>
              <w:jc w:val="right"/>
              <w:ind w:right="3"/>
              <w:spacing w:after="0"/>
              <w:rPr>
                <w:sz w:val="20"/>
                <w:szCs w:val="20"/>
                <w:color w:val="auto"/>
              </w:rPr>
            </w:pPr>
            <w:r>
              <w:rPr>
                <w:rFonts w:ascii="Arial" w:cs="Arial" w:eastAsia="Arial" w:hAnsi="Arial"/>
                <w:sz w:val="15"/>
                <w:szCs w:val="15"/>
                <w:color w:val="auto"/>
              </w:rPr>
              <w:t>62.8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3560" w:type="dxa"/>
            <w:vAlign w:val="bottom"/>
            <w:gridSpan w:val="2"/>
            <w:shd w:val="clear" w:color="auto" w:fill="DCE2EF"/>
          </w:tcPr>
          <w:p>
            <w:pPr>
              <w:ind w:left="120"/>
              <w:spacing w:after="0" w:line="156" w:lineRule="exact"/>
              <w:rPr>
                <w:sz w:val="20"/>
                <w:szCs w:val="20"/>
                <w:color w:val="auto"/>
              </w:rPr>
            </w:pPr>
            <w:r>
              <w:rPr>
                <w:rFonts w:ascii="Arial" w:cs="Arial" w:eastAsia="Arial" w:hAnsi="Arial"/>
                <w:sz w:val="15"/>
                <w:szCs w:val="15"/>
                <w:color w:val="auto"/>
              </w:rPr>
              <w:t>Stock issued under employee stock purchase</w:t>
            </w: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3"/>
                <w:szCs w:val="13"/>
                <w:color w:val="auto"/>
              </w:rPr>
            </w:pPr>
          </w:p>
        </w:tc>
        <w:tc>
          <w:tcPr>
            <w:tcW w:w="96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280"/>
              <w:spacing w:after="0"/>
              <w:rPr>
                <w:sz w:val="20"/>
                <w:szCs w:val="20"/>
                <w:color w:val="auto"/>
              </w:rPr>
            </w:pPr>
            <w:r>
              <w:rPr>
                <w:rFonts w:ascii="Arial" w:cs="Arial" w:eastAsia="Arial" w:hAnsi="Arial"/>
                <w:sz w:val="15"/>
                <w:szCs w:val="15"/>
                <w:color w:val="auto"/>
              </w:rPr>
              <w:t>and share-based compensation plans</w:t>
            </w:r>
          </w:p>
        </w:tc>
        <w:tc>
          <w:tcPr>
            <w:tcW w:w="800" w:type="dxa"/>
            <w:vAlign w:val="bottom"/>
            <w:vMerge w:val="continue"/>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60" w:type="dxa"/>
            <w:vAlign w:val="bottom"/>
            <w:gridSpan w:val="2"/>
            <w:vMerge w:val="continue"/>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960" w:type="dxa"/>
            <w:vAlign w:val="bottom"/>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980" w:type="dxa"/>
            <w:vAlign w:val="bottom"/>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Repurchase of common stock, including excise</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356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tax</w:t>
            </w:r>
          </w:p>
        </w:tc>
        <w:tc>
          <w:tcPr>
            <w:tcW w:w="8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61.7</w:t>
            </w: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96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96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61.7</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980" w:type="dxa"/>
            <w:vAlign w:val="bottom"/>
            <w:gridSpan w:val="2"/>
            <w:shd w:val="clear" w:color="auto" w:fill="DCE2EF"/>
          </w:tcPr>
          <w:p>
            <w:pPr>
              <w:jc w:val="right"/>
              <w:ind w:right="3"/>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86"/>
        </w:trPr>
        <w:tc>
          <w:tcPr>
            <w:tcW w:w="3580" w:type="dxa"/>
            <w:vAlign w:val="bottom"/>
            <w:gridSpan w:val="3"/>
          </w:tcPr>
          <w:p>
            <w:pPr>
              <w:ind w:left="20"/>
              <w:spacing w:after="0"/>
              <w:rPr>
                <w:sz w:val="20"/>
                <w:szCs w:val="20"/>
                <w:color w:val="auto"/>
              </w:rPr>
            </w:pPr>
            <w:r>
              <w:rPr>
                <w:rFonts w:ascii="Arial" w:cs="Arial" w:eastAsia="Arial" w:hAnsi="Arial"/>
                <w:sz w:val="15"/>
                <w:szCs w:val="15"/>
                <w:b w:val="1"/>
                <w:bCs w:val="1"/>
                <w:color w:val="auto"/>
              </w:rPr>
              <w:t>Additional Paid-in Capital</w:t>
            </w: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516.3</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544.0</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527.4</w:t>
            </w: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559.0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Stock Issued (taxes withheld) under employee</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gridSpan w:val="2"/>
          </w:tcPr>
          <w:p>
            <w:pPr>
              <w:ind w:left="280"/>
              <w:spacing w:after="0" w:line="155" w:lineRule="exact"/>
              <w:rPr>
                <w:sz w:val="20"/>
                <w:szCs w:val="20"/>
                <w:color w:val="auto"/>
              </w:rPr>
            </w:pPr>
            <w:r>
              <w:rPr>
                <w:rFonts w:ascii="Arial" w:cs="Arial" w:eastAsia="Arial" w:hAnsi="Arial"/>
                <w:sz w:val="15"/>
                <w:szCs w:val="15"/>
                <w:color w:val="auto"/>
              </w:rPr>
              <w:t>stock purchase and share-based</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gridSpan w:val="2"/>
          </w:tcPr>
          <w:p>
            <w:pPr>
              <w:ind w:left="280"/>
              <w:spacing w:after="0"/>
              <w:rPr>
                <w:sz w:val="20"/>
                <w:szCs w:val="20"/>
                <w:color w:val="auto"/>
              </w:rPr>
            </w:pPr>
            <w:r>
              <w:rPr>
                <w:rFonts w:ascii="Arial" w:cs="Arial" w:eastAsia="Arial" w:hAnsi="Arial"/>
                <w:sz w:val="15"/>
                <w:szCs w:val="15"/>
                <w:color w:val="auto"/>
              </w:rPr>
              <w:t>compensation plans, net</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Share-based compensation expense</w:t>
            </w:r>
          </w:p>
        </w:tc>
        <w:tc>
          <w:tcPr>
            <w:tcW w:w="80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6.5</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26.8</w:t>
            </w:r>
          </w:p>
        </w:tc>
        <w:tc>
          <w:tcPr>
            <w:tcW w:w="100" w:type="dxa"/>
            <w:vAlign w:val="bottom"/>
            <w:shd w:val="clear" w:color="auto" w:fill="DCE2EF"/>
          </w:tcPr>
          <w:p>
            <w:pPr>
              <w:spacing w:after="0"/>
              <w:rPr>
                <w:sz w:val="18"/>
                <w:szCs w:val="18"/>
                <w:color w:val="auto"/>
              </w:rPr>
            </w:pPr>
          </w:p>
        </w:tc>
        <w:tc>
          <w:tcPr>
            <w:tcW w:w="8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Repurchase of common stock, including excise</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(48.5)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356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tax</w:t>
            </w:r>
          </w:p>
        </w:tc>
        <w:tc>
          <w:tcPr>
            <w:tcW w:w="80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88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498.6</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551.6</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498.6</w:t>
            </w: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551.6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2"/>
          </w:tcPr>
          <w:p>
            <w:pPr>
              <w:ind w:left="60"/>
              <w:spacing w:after="0" w:line="135" w:lineRule="exact"/>
              <w:rPr>
                <w:sz w:val="20"/>
                <w:szCs w:val="20"/>
                <w:color w:val="auto"/>
              </w:rPr>
            </w:pPr>
            <w:r>
              <w:rPr>
                <w:rFonts w:ascii="Arial" w:cs="Arial" w:eastAsia="Arial" w:hAnsi="Arial"/>
                <w:sz w:val="15"/>
                <w:szCs w:val="15"/>
                <w:b w:val="1"/>
                <w:bCs w:val="1"/>
                <w:color w:val="auto"/>
              </w:rPr>
              <w:t>Accumulated Other Comprehensive Loss, Net</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60"/>
              <w:spacing w:after="0"/>
              <w:rPr>
                <w:sz w:val="20"/>
                <w:szCs w:val="20"/>
                <w:color w:val="auto"/>
              </w:rPr>
            </w:pPr>
            <w:r>
              <w:rPr>
                <w:rFonts w:ascii="Arial" w:cs="Arial" w:eastAsia="Arial" w:hAnsi="Arial"/>
                <w:sz w:val="15"/>
                <w:szCs w:val="15"/>
                <w:b w:val="1"/>
                <w:bCs w:val="1"/>
                <w:color w:val="auto"/>
              </w:rPr>
              <w:t>of Taxes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356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Other comprehensive (loss) / income</w:t>
            </w:r>
          </w:p>
        </w:tc>
        <w:tc>
          <w:tcPr>
            <w:tcW w:w="80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DCE2EF"/>
            </w:tcBorders>
          </w:tcPr>
          <w:p>
            <w:pPr>
              <w:spacing w:after="0"/>
              <w:rPr>
                <w:sz w:val="17"/>
                <w:szCs w:val="17"/>
                <w:color w:val="auto"/>
              </w:rPr>
            </w:pPr>
          </w:p>
        </w:tc>
        <w:tc>
          <w:tcPr>
            <w:tcW w:w="88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(16.3)</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6"/>
        </w:trPr>
        <w:tc>
          <w:tcPr>
            <w:tcW w:w="3580" w:type="dxa"/>
            <w:vAlign w:val="bottom"/>
            <w:gridSpan w:val="3"/>
          </w:tcPr>
          <w:p>
            <w:pPr>
              <w:ind w:left="20"/>
              <w:spacing w:after="0"/>
              <w:rPr>
                <w:sz w:val="20"/>
                <w:szCs w:val="20"/>
                <w:color w:val="auto"/>
              </w:rPr>
            </w:pPr>
            <w:r>
              <w:rPr>
                <w:rFonts w:ascii="Arial" w:cs="Arial" w:eastAsia="Arial" w:hAnsi="Arial"/>
                <w:sz w:val="15"/>
                <w:szCs w:val="15"/>
                <w:b w:val="1"/>
                <w:bCs w:val="1"/>
                <w:color w:val="auto"/>
              </w:rPr>
              <w:t>Retained Earnings</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1,324.7</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1,308.8</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1,272.9</w:t>
            </w: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1,249.6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gridSpan w:val="2"/>
          </w:tcPr>
          <w:p>
            <w:pPr>
              <w:ind w:left="120"/>
              <w:spacing w:after="0"/>
              <w:rPr>
                <w:sz w:val="20"/>
                <w:szCs w:val="20"/>
                <w:color w:val="auto"/>
              </w:rPr>
            </w:pPr>
            <w:r>
              <w:rPr>
                <w:rFonts w:ascii="Arial" w:cs="Arial" w:eastAsia="Arial" w:hAnsi="Arial"/>
                <w:sz w:val="15"/>
                <w:szCs w:val="15"/>
                <w:color w:val="auto"/>
              </w:rPr>
              <w:t>Net income</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127.6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93.1</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356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Dividends</w:t>
            </w:r>
          </w:p>
        </w:tc>
        <w:tc>
          <w:tcPr>
            <w:tcW w:w="80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200"/>
              <w:spacing w:after="0" w:line="207"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0"/>
                <w:szCs w:val="20"/>
                <w:color w:val="auto"/>
                <w:vertAlign w:val="superscript"/>
              </w:rPr>
              <w:t>(1)</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155"/>
        </w:trPr>
        <w:tc>
          <w:tcPr>
            <w:tcW w:w="20" w:type="dxa"/>
            <w:vAlign w:val="bottom"/>
            <w:shd w:val="clear" w:color="auto" w:fill="DCE2EF"/>
          </w:tcPr>
          <w:p>
            <w:pPr>
              <w:spacing w:after="0"/>
              <w:rPr>
                <w:sz w:val="13"/>
                <w:szCs w:val="13"/>
                <w:color w:val="auto"/>
              </w:rPr>
            </w:pPr>
          </w:p>
        </w:tc>
        <w:tc>
          <w:tcPr>
            <w:tcW w:w="3560" w:type="dxa"/>
            <w:vAlign w:val="bottom"/>
            <w:gridSpan w:val="2"/>
            <w:shd w:val="clear" w:color="auto" w:fill="DCE2EF"/>
          </w:tcPr>
          <w:p>
            <w:pPr>
              <w:ind w:left="200"/>
              <w:spacing w:after="0" w:line="156" w:lineRule="exact"/>
              <w:rPr>
                <w:sz w:val="20"/>
                <w:szCs w:val="20"/>
                <w:color w:val="auto"/>
              </w:rPr>
            </w:pPr>
            <w:r>
              <w:rPr>
                <w:rFonts w:ascii="Arial" w:cs="Arial" w:eastAsia="Arial" w:hAnsi="Arial"/>
                <w:sz w:val="15"/>
                <w:szCs w:val="15"/>
                <w:color w:val="auto"/>
              </w:rPr>
              <w:t>Stock issued under share-based compensation</w:t>
            </w:r>
          </w:p>
        </w:tc>
        <w:tc>
          <w:tcPr>
            <w:tcW w:w="80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3"/>
                <w:szCs w:val="13"/>
                <w:color w:val="auto"/>
              </w:rPr>
            </w:pPr>
          </w:p>
        </w:tc>
        <w:tc>
          <w:tcPr>
            <w:tcW w:w="8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3"/>
                <w:szCs w:val="13"/>
                <w:color w:val="auto"/>
              </w:rPr>
            </w:pPr>
          </w:p>
        </w:tc>
        <w:tc>
          <w:tcPr>
            <w:tcW w:w="8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CE2EF"/>
          </w:tcPr>
          <w:p>
            <w:pPr>
              <w:spacing w:after="0"/>
              <w:rPr>
                <w:sz w:val="13"/>
                <w:szCs w:val="13"/>
                <w:color w:val="auto"/>
              </w:rPr>
            </w:pPr>
          </w:p>
        </w:tc>
        <w:tc>
          <w:tcPr>
            <w:tcW w:w="8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6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plans</w:t>
            </w:r>
          </w:p>
        </w:tc>
        <w:tc>
          <w:tcPr>
            <w:tcW w:w="80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356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1,349.7</w:t>
            </w: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1,299.1</w:t>
            </w: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1,349.7</w:t>
            </w:r>
          </w:p>
        </w:tc>
        <w:tc>
          <w:tcPr>
            <w:tcW w:w="100" w:type="dxa"/>
            <w:vAlign w:val="bottom"/>
            <w:tcBorders>
              <w:bottom w:val="single" w:sz="8" w:color="DCE2EF"/>
            </w:tcBorders>
          </w:tcPr>
          <w:p>
            <w:pPr>
              <w:spacing w:after="0"/>
              <w:rPr>
                <w:sz w:val="17"/>
                <w:szCs w:val="17"/>
                <w:color w:val="auto"/>
              </w:rPr>
            </w:pPr>
          </w:p>
        </w:tc>
        <w:tc>
          <w:tcPr>
            <w:tcW w:w="88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1,299.1</w:t>
            </w:r>
          </w:p>
        </w:tc>
        <w:tc>
          <w:tcPr>
            <w:tcW w:w="0" w:type="dxa"/>
            <w:vAlign w:val="bottom"/>
          </w:tcPr>
          <w:p>
            <w:pPr>
              <w:spacing w:after="0"/>
              <w:rPr>
                <w:sz w:val="1"/>
                <w:szCs w:val="1"/>
                <w:color w:val="auto"/>
              </w:rPr>
            </w:pPr>
          </w:p>
        </w:tc>
      </w:tr>
      <w:tr>
        <w:trPr>
          <w:trHeight w:val="220"/>
        </w:trPr>
        <w:tc>
          <w:tcPr>
            <w:tcW w:w="35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800" w:type="dxa"/>
            <w:vAlign w:val="bottom"/>
            <w:shd w:val="clear" w:color="auto" w:fill="DCE2EF"/>
          </w:tcPr>
          <w:p>
            <w:pPr>
              <w:spacing w:after="0"/>
              <w:rPr>
                <w:sz w:val="19"/>
                <w:szCs w:val="19"/>
                <w:color w:val="auto"/>
              </w:rPr>
            </w:pPr>
          </w:p>
        </w:tc>
        <w:tc>
          <w:tcPr>
            <w:tcW w:w="280" w:type="dxa"/>
            <w:vAlign w:val="bottom"/>
            <w:gridSpan w:val="3"/>
            <w:shd w:val="clear" w:color="auto" w:fill="DCE2E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1,830.9</w:t>
            </w:r>
          </w:p>
        </w:tc>
        <w:tc>
          <w:tcPr>
            <w:tcW w:w="10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1,835.0</w:t>
            </w:r>
          </w:p>
        </w:tc>
        <w:tc>
          <w:tcPr>
            <w:tcW w:w="10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c>
          <w:tcPr>
            <w:tcW w:w="240" w:type="dxa"/>
            <w:vAlign w:val="bottom"/>
            <w:gridSpan w:val="2"/>
            <w:shd w:val="clear" w:color="auto" w:fill="DCE2E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1,830.9</w:t>
            </w:r>
          </w:p>
        </w:tc>
        <w:tc>
          <w:tcPr>
            <w:tcW w:w="10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1,835.0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tcBorders>
          </w:tcPr>
          <w:p>
            <w:pPr>
              <w:spacing w:after="0" w:line="20" w:lineRule="exact"/>
              <w:rPr>
                <w:sz w:val="1"/>
                <w:szCs w:val="1"/>
                <w:color w:val="auto"/>
              </w:rPr>
            </w:pPr>
          </w:p>
        </w:tc>
        <w:tc>
          <w:tcPr>
            <w:tcW w:w="114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right="240" w:firstLine="3"/>
        <w:spacing w:after="0" w:line="224" w:lineRule="auto"/>
        <w:tabs>
          <w:tab w:leader="none" w:pos="147"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Cash dividends declared per common share were $0.265 and $0.225 for the three months ended July 31, 2025 and 2024, respectively, and $0.795 and $0.675 for the nine months ended July 31, 2025 and 2024,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8" w:name="page9"/>
    <w:bookmarkEnd w:id="8"/>
    <w:p>
      <w:pPr>
        <w:ind w:left="30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5"/>
                <w:szCs w:val="15"/>
                <w:b w:val="1"/>
                <w:bCs w:val="1"/>
                <w:color w:val="auto"/>
              </w:rPr>
              <w:t>Nine Months Ended July 31,</w:t>
            </w:r>
          </w:p>
        </w:tc>
      </w:tr>
      <w:tr>
        <w:trPr>
          <w:trHeight w:val="160"/>
        </w:trPr>
        <w:tc>
          <w:tcPr>
            <w:tcW w:w="20" w:type="dxa"/>
            <w:vAlign w:val="bottom"/>
          </w:tcPr>
          <w:p>
            <w:pPr>
              <w:spacing w:after="0"/>
              <w:rPr>
                <w:sz w:val="13"/>
                <w:szCs w:val="13"/>
                <w:color w:val="auto"/>
              </w:rPr>
            </w:pPr>
          </w:p>
        </w:tc>
        <w:tc>
          <w:tcPr>
            <w:tcW w:w="71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i w:val="1"/>
                <w:iCs w:val="1"/>
                <w:color w:val="auto"/>
              </w:rPr>
              <w:t>(in millions)</w:t>
            </w:r>
          </w:p>
        </w:tc>
        <w:tc>
          <w:tcPr>
            <w:tcW w:w="380" w:type="dxa"/>
            <w:vAlign w:val="bottom"/>
          </w:tcPr>
          <w:p>
            <w:pPr>
              <w:spacing w:after="0"/>
              <w:rPr>
                <w:sz w:val="13"/>
                <w:szCs w:val="13"/>
                <w:color w:val="auto"/>
              </w:rPr>
            </w:pPr>
          </w:p>
        </w:tc>
        <w:tc>
          <w:tcPr>
            <w:tcW w:w="1300" w:type="dxa"/>
            <w:vAlign w:val="bottom"/>
          </w:tcPr>
          <w:p>
            <w:pPr>
              <w:jc w:val="right"/>
              <w:ind w:right="603"/>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603"/>
              <w:spacing w:after="0" w:line="161" w:lineRule="exact"/>
              <w:rPr>
                <w:sz w:val="20"/>
                <w:szCs w:val="20"/>
                <w:color w:val="auto"/>
              </w:rPr>
            </w:pPr>
            <w:r>
              <w:rPr>
                <w:rFonts w:ascii="Arial" w:cs="Arial" w:eastAsia="Arial" w:hAnsi="Arial"/>
                <w:sz w:val="15"/>
                <w:szCs w:val="15"/>
                <w:b w:val="1"/>
                <w:bCs w:val="1"/>
                <w:color w:val="auto"/>
              </w:rPr>
              <w:t>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127.6</w:t>
            </w:r>
          </w:p>
        </w:tc>
        <w:tc>
          <w:tcPr>
            <w:tcW w:w="100" w:type="dxa"/>
            <w:vAlign w:val="bottom"/>
          </w:tcPr>
          <w:p>
            <w:pPr>
              <w:spacing w:after="0"/>
              <w:rPr>
                <w:sz w:val="17"/>
                <w:szCs w:val="17"/>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93.1</w:t>
            </w:r>
          </w:p>
        </w:tc>
      </w:tr>
      <w:tr>
        <w:trPr>
          <w:trHeight w:val="155"/>
        </w:trPr>
        <w:tc>
          <w:tcPr>
            <w:tcW w:w="20" w:type="dxa"/>
            <w:vAlign w:val="bottom"/>
            <w:shd w:val="clear" w:color="auto" w:fill="DCE2EF"/>
          </w:tcPr>
          <w:p>
            <w:pPr>
              <w:spacing w:after="0"/>
              <w:rPr>
                <w:sz w:val="13"/>
                <w:szCs w:val="13"/>
                <w:color w:val="auto"/>
              </w:rPr>
            </w:pPr>
          </w:p>
        </w:tc>
        <w:tc>
          <w:tcPr>
            <w:tcW w:w="7180" w:type="dxa"/>
            <w:vAlign w:val="bottom"/>
            <w:gridSpan w:val="2"/>
            <w:shd w:val="clear" w:color="auto" w:fill="DCE2EF"/>
          </w:tcPr>
          <w:p>
            <w:pPr>
              <w:spacing w:after="0" w:line="156" w:lineRule="exact"/>
              <w:rPr>
                <w:sz w:val="20"/>
                <w:szCs w:val="20"/>
                <w:color w:val="auto"/>
              </w:rPr>
            </w:pPr>
            <w:r>
              <w:rPr>
                <w:rFonts w:ascii="Arial" w:cs="Arial" w:eastAsia="Arial" w:hAnsi="Arial"/>
                <w:sz w:val="15"/>
                <w:szCs w:val="15"/>
                <w:b w:val="1"/>
                <w:bCs w:val="1"/>
                <w:color w:val="auto"/>
              </w:rPr>
              <w:t>Adjustments to reconcile net income to net cash provided by operating</w:t>
            </w:r>
          </w:p>
        </w:tc>
        <w:tc>
          <w:tcPr>
            <w:tcW w:w="380" w:type="dxa"/>
            <w:vAlign w:val="bottom"/>
            <w:shd w:val="clear" w:color="auto" w:fill="DCE2EF"/>
          </w:tcPr>
          <w:p>
            <w:pPr>
              <w:spacing w:after="0"/>
              <w:rPr>
                <w:sz w:val="13"/>
                <w:szCs w:val="13"/>
                <w:color w:val="auto"/>
              </w:rPr>
            </w:pPr>
          </w:p>
        </w:tc>
        <w:tc>
          <w:tcPr>
            <w:tcW w:w="13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1300" w:type="dxa"/>
            <w:vAlign w:val="bottom"/>
            <w:shd w:val="clear" w:color="auto" w:fill="DCE2EF"/>
          </w:tcPr>
          <w:p>
            <w:pPr>
              <w:spacing w:after="0"/>
              <w:rPr>
                <w:sz w:val="13"/>
                <w:szCs w:val="13"/>
                <w:color w:val="auto"/>
              </w:rPr>
            </w:pP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ind w:left="160"/>
              <w:spacing w:after="0"/>
              <w:rPr>
                <w:sz w:val="20"/>
                <w:szCs w:val="20"/>
                <w:color w:val="auto"/>
              </w:rPr>
            </w:pPr>
            <w:r>
              <w:rPr>
                <w:rFonts w:ascii="Arial" w:cs="Arial" w:eastAsia="Arial" w:hAnsi="Arial"/>
                <w:sz w:val="15"/>
                <w:szCs w:val="15"/>
                <w:b w:val="1"/>
                <w:bCs w:val="1"/>
                <w:color w:val="auto"/>
              </w:rPr>
              <w:t>activities</w:t>
            </w: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78.9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79.5</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Deferred income taxes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(14.1)</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Share-based compensation expense</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23.1</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Provision for bad debt</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5.6</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Discount accretion on insurance claims</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0.4</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Impairment of assets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Gain on sale of assets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Change in fair value of contingent consideration</w:t>
            </w:r>
          </w:p>
        </w:tc>
        <w:tc>
          <w:tcPr>
            <w:tcW w:w="380" w:type="dxa"/>
            <w:vAlign w:val="bottom"/>
            <w:shd w:val="clear" w:color="auto" w:fill="DCE2EF"/>
          </w:tcPr>
          <w:p>
            <w:pPr>
              <w:spacing w:after="0"/>
              <w:rPr>
                <w:sz w:val="18"/>
                <w:szCs w:val="18"/>
                <w:color w:val="auto"/>
              </w:rPr>
            </w:pPr>
          </w:p>
        </w:tc>
        <w:tc>
          <w:tcPr>
            <w:tcW w:w="14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36.0</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Income from unconsolidated affiliates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Distributions from unconsolidated affiliates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4.6</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Changes in operating assets and liabilities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receivable and costs incurred in excess of amounts billed</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(96.2)</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42.3</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(24.2)</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Right-of-use assets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7.8</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Other noncurrent assets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payable and other accrued liabilities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55.0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(68.9)</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Long-term lease liabilities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Insurance claims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6.7</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46.6</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Income taxes payable, net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Other noncurrent liabilities</w:t>
            </w: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(1.9)</w:t>
            </w:r>
          </w:p>
        </w:tc>
      </w:tr>
      <w:tr>
        <w:trPr>
          <w:trHeight w:val="198"/>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Total adjustments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103.2</w:t>
            </w:r>
          </w:p>
        </w:tc>
      </w:tr>
      <w:tr>
        <w:trPr>
          <w:trHeight w:val="200"/>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101.0</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196.3</w:t>
            </w:r>
          </w:p>
        </w:tc>
      </w:tr>
      <w:tr>
        <w:trPr>
          <w:trHeight w:val="186"/>
        </w:trPr>
        <w:tc>
          <w:tcPr>
            <w:tcW w:w="20" w:type="dxa"/>
            <w:vAlign w:val="bottom"/>
          </w:tcPr>
          <w:p>
            <w:pPr>
              <w:spacing w:after="0"/>
              <w:rPr>
                <w:sz w:val="16"/>
                <w:szCs w:val="16"/>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Additions to property, plant and equipment</w:t>
            </w: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(58.6)</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(44.6)</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Proceeds from sale of assets</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0.9</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Purchase of businesses, net of cash acquired</w:t>
            </w: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(114.3)</w:t>
            </w:r>
          </w:p>
        </w:tc>
      </w:tr>
      <w:tr>
        <w:trPr>
          <w:trHeight w:val="199"/>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(157.9)</w:t>
            </w:r>
          </w:p>
        </w:tc>
      </w:tr>
      <w:tr>
        <w:trPr>
          <w:trHeight w:val="186"/>
        </w:trPr>
        <w:tc>
          <w:tcPr>
            <w:tcW w:w="20" w:type="dxa"/>
            <w:vAlign w:val="bottom"/>
            <w:shd w:val="clear" w:color="auto" w:fill="DCE2EF"/>
          </w:tcPr>
          <w:p>
            <w:pPr>
              <w:spacing w:after="0"/>
              <w:rPr>
                <w:sz w:val="16"/>
                <w:szCs w:val="16"/>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Taxes withheld from issuance of share-based compensation awards, net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Repurchases of common stock, including excise taxes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(23.8)</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Dividends paid</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(42.4)</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Deferred financing costs paid</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Borrowings from debt</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1,409.3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912.0</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Repayment of borrowings from debt</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(1,212.0)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(887.4)</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Changes in book cash overdrafts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29.5</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Repayment of finance lease obligations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(3.1)</w:t>
            </w:r>
          </w:p>
        </w:tc>
      </w:tr>
      <w:tr>
        <w:trPr>
          <w:trHeight w:val="205"/>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Cash paid to settle the contingent consideration liability</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0"/>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Net cash used in financing activities</w:t>
            </w: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(23.0)</w:t>
            </w:r>
          </w:p>
        </w:tc>
      </w:tr>
      <w:tr>
        <w:trPr>
          <w:trHeight w:val="199"/>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Effect of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w:t>
            </w:r>
          </w:p>
        </w:tc>
      </w:tr>
      <w:tr>
        <w:trPr>
          <w:trHeight w:val="199"/>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Net increase in cash and cash equivalents</w:t>
            </w: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16.8</w:t>
            </w:r>
          </w:p>
        </w:tc>
      </w:tr>
      <w:tr>
        <w:trPr>
          <w:trHeight w:val="206"/>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Cash and cash equivalents at beginning of year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64.6</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69.5</w:t>
            </w:r>
          </w:p>
        </w:tc>
      </w:tr>
      <w:tr>
        <w:trPr>
          <w:trHeight w:val="224"/>
        </w:trPr>
        <w:tc>
          <w:tcPr>
            <w:tcW w:w="20" w:type="dxa"/>
            <w:vAlign w:val="bottom"/>
            <w:tcBorders>
              <w:bottom w:val="single" w:sz="8" w:color="DCE2EF"/>
            </w:tcBorders>
            <w:shd w:val="clear" w:color="auto" w:fill="DCE2EF"/>
          </w:tcPr>
          <w:p>
            <w:pPr>
              <w:spacing w:after="0"/>
              <w:rPr>
                <w:sz w:val="19"/>
                <w:szCs w:val="19"/>
                <w:color w:val="auto"/>
              </w:rPr>
            </w:pPr>
          </w:p>
        </w:tc>
        <w:tc>
          <w:tcPr>
            <w:tcW w:w="71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380" w:type="dxa"/>
            <w:vAlign w:val="bottom"/>
            <w:tcBorders>
              <w:bottom w:val="single" w:sz="8" w:color="auto"/>
            </w:tcBorders>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69.3</w:t>
            </w:r>
          </w:p>
        </w:tc>
        <w:tc>
          <w:tcPr>
            <w:tcW w:w="10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86.3</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6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3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300" w:type="dxa"/>
            <w:vAlign w:val="bottom"/>
            <w:tcBorders>
              <w:top w:val="single" w:sz="8" w:color="DCE2E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620" w:top="1049" w:right="61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NOTES TO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71120</wp:posOffset>
            </wp:positionV>
            <wp:extent cx="4968875" cy="843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8875" cy="84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 these groups, we offer janitorial, facilities engineering, parking, and specialized mechanical and electrical technical solutions, on a standalone basis or in combination with other services.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Basis of Presentation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2024. Unless otherwise indicated, all references to years are to our fiscal years, which end on October 31.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Rounding</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Management Reimbursement Revenue by Segment</w:t>
      </w:r>
    </w:p>
    <w:p>
      <w:pPr>
        <w:spacing w:after="0" w:line="1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for the three and nine months ended July 31, 2025, was $88.7 million and $255.2 million, respectively. Management reimbursement revenue for the three and nine months ended July 31, 2024, was $79.6 million and $236.6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Adopted Accounting Standards</w:t>
      </w:r>
    </w:p>
    <w:p>
      <w:pPr>
        <w:spacing w:after="0" w:line="16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In September 2022, the FASB issued ASU 2022-04, </w:t>
      </w:r>
      <w:r>
        <w:rPr>
          <w:rFonts w:ascii="Arial" w:cs="Arial" w:eastAsia="Arial" w:hAnsi="Arial"/>
          <w:sz w:val="17"/>
          <w:szCs w:val="17"/>
          <w:i w:val="1"/>
          <w:iCs w:val="1"/>
          <w:color w:val="auto"/>
        </w:rPr>
        <w:t>Liabilities — Supplier Finance Programs (Subtopic 405-50): Disclosure of Supplier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Finance Program Obligations</w:t>
      </w:r>
      <w:r>
        <w:rPr>
          <w:rFonts w:ascii="Arial" w:cs="Arial" w:eastAsia="Arial" w:hAnsi="Arial"/>
          <w:sz w:val="17"/>
          <w:szCs w:val="17"/>
          <w:color w:val="auto"/>
        </w:rPr>
        <w:t>, designed to enhance transparency around supplier finance programs by requiring new disclosures that would allow a</w:t>
      </w:r>
      <w:r>
        <w:rPr>
          <w:rFonts w:ascii="Arial" w:cs="Arial" w:eastAsia="Arial" w:hAnsi="Arial"/>
          <w:sz w:val="17"/>
          <w:szCs w:val="17"/>
          <w:i w:val="1"/>
          <w:iCs w:val="1"/>
          <w:color w:val="auto"/>
        </w:rPr>
        <w:t xml:space="preserve"> </w:t>
      </w:r>
      <w:r>
        <w:rPr>
          <w:rFonts w:ascii="Arial" w:cs="Arial" w:eastAsia="Arial" w:hAnsi="Arial"/>
          <w:sz w:val="17"/>
          <w:szCs w:val="17"/>
          <w:color w:val="auto"/>
        </w:rPr>
        <w:t>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adopted this standard, effective November 1, 2023, and adopted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0" w:name="page11"/>
    <w:bookmarkEnd w:id="10"/>
    <w:p>
      <w:pPr>
        <w:spacing w:after="0" w:line="290" w:lineRule="auto"/>
        <w:rPr>
          <w:sz w:val="20"/>
          <w:szCs w:val="20"/>
          <w:color w:val="auto"/>
        </w:rPr>
      </w:pPr>
      <w:r>
        <w:rPr>
          <w:rFonts w:ascii="Arial" w:cs="Arial" w:eastAsia="Arial" w:hAnsi="Arial"/>
          <w:sz w:val="17"/>
          <w:szCs w:val="17"/>
          <w:color w:val="auto"/>
        </w:rPr>
        <w:t>rollforward requirement, effective November 1, 2024, on a prospective basis. We do not participate in any material supplier finance programs and, as such, the adoption of this guidance did not have an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LMC FM</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Effective June 1, 2025, we acquired LMC FM Limited (“LMC”), a Dublin-based facilities services company with coverage across Ireland, for a purchase price of approximately $22.5 million in cash plus the potential of $5.9 million of contingent consideration to be paid in calendar year 2027 upon the retention of the top two customers. The acquisition was accounted for under the acquisition method. Accordingly, the assets acquired and liabilities assumed were recognized on the date of acquisition at their estimated fair values, with the excess of the purchase price recorded as goodwill. The goodwill is not deductible for tax reporting purposes. As of July 31, 2025, we recorded preliminary goodwill and intangibles of $12.6 million and $12.9 million, respectively. The total assets acquired, excluding goodwill and intangibles, and liabilities assumed amounted to $ 20.0 million and $17.2 million, respectively. The purchase price allocation is subject to adjustments within the measurement period not to exceed one year from the acquisition date.</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unaudited Consolidated Statements of Comprehensive Income for the three and nine months ended July 31, 2025, include revenues of $9.3 million attributable to LMC, which are included in our Technical Solutions segment.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Quality Uptime</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Effective June 21, 2024, we acquired Quality Uptime Services, Inc. (“Quality Uptime”), an uninterrupted power supply system (“UPS”) installation and maintenance company providing customized preventive and emergency service programs for mission-critical data centers and other facilities, for a net cash purchase price of $116.3 million. The acquisition was accounted for under the acquisition method. Accordingly, the assets acquired and liabilities assumed were recognized on the date of acquisition at their estimated fair values, with the excess of the purchase price recorded as goodwill. The goodwill is amortizable over 15 years for income tax purposes. As of July 31, 2025, we recorded goodwill and intangibles of $77.4 million and $35.2 million, respectively. The total assets acquired, excluding goodwill and intangibles, and liabilities assumed amounted to $24.0 million and $20.3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RavenVolt</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w:t>
      </w:r>
    </w:p>
    <w:p>
      <w:pPr>
        <w:spacing w:after="0" w:line="11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purchase price for the acquisition was approximately $ 170.0 million in cash at closing plus the potential of post-closing contingent consideration of up to $ 280.0 million. The estimate of the fair value of the contingent consideration on the date of acquisition was $59.0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 In 2024, defined EBITDA targets were not achieved, and as a result, no contingent consideration payment was made in 2024 for calendar year 2023. At October 31, 2024, the estimate of the fair value of the contingent consideration was $109.1 million. There was no material change in the fair value of the contingent consideration during the three and nine months ended July 31, 2025. In the third quarter of 2025, we made a $75.0 million payment for calendar year 2024, of which $16.0 million was classified as an operating cash outflow, and at July 31, 2025, the estimate of the fair value of the remaining contingent consideration is $34.1 million. The maximum contingent consideration that could be payable in calendar year 2026 related to calendar year 2025 target is $130.0 million. However, if the EBITDA achieved for calendar years 2023–2025 cumulatively meets the defined EBITDA targets, the entire $280.0 million would be paid in calendar year 2026, minus any earn-out payments made in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Disaggregation of Revenues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Aviation, Education, and Technical Solutions, as described in Note 12, “Segment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Three Months Ended July 31, 2025</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6"/>
          </w:tcPr>
          <w:p>
            <w:pPr>
              <w:ind w:left="20"/>
              <w:spacing w:after="0"/>
              <w:rPr>
                <w:sz w:val="20"/>
                <w:szCs w:val="20"/>
                <w:color w:val="auto"/>
              </w:rPr>
            </w:pPr>
            <w:r>
              <w:rPr>
                <w:rFonts w:ascii="Arial" w:cs="Arial" w:eastAsia="Arial" w:hAnsi="Arial"/>
                <w:sz w:val="13"/>
                <w:szCs w:val="13"/>
                <w:b w:val="1"/>
                <w:bCs w:val="1"/>
                <w:color w:val="auto"/>
              </w:rPr>
              <w:t>Nine Months Ended July 31, 2025</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9"/>
                <w:szCs w:val="9"/>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B&amp;I</w:t>
            </w:r>
          </w:p>
        </w:tc>
        <w:tc>
          <w:tcPr>
            <w:tcW w:w="120" w:type="dxa"/>
            <w:vAlign w:val="bottom"/>
          </w:tcPr>
          <w:p>
            <w:pPr>
              <w:spacing w:after="0"/>
              <w:rPr>
                <w:sz w:val="9"/>
                <w:szCs w:val="9"/>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rPr>
              <w:t>M&amp;D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Aviation</w:t>
            </w: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Education</w:t>
            </w:r>
          </w:p>
        </w:tc>
        <w:tc>
          <w:tcPr>
            <w:tcW w:w="120" w:type="dxa"/>
            <w:vAlign w:val="bottom"/>
          </w:tcPr>
          <w:p>
            <w:pPr>
              <w:spacing w:after="0"/>
              <w:rPr>
                <w:sz w:val="9"/>
                <w:szCs w:val="9"/>
                <w:color w:val="auto"/>
              </w:rPr>
            </w:pPr>
          </w:p>
        </w:tc>
        <w:tc>
          <w:tcPr>
            <w:tcW w:w="78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Technical</w:t>
            </w:r>
          </w:p>
        </w:tc>
        <w:tc>
          <w:tcPr>
            <w:tcW w:w="160" w:type="dxa"/>
            <w:vAlign w:val="bottom"/>
          </w:tcPr>
          <w:p>
            <w:pPr>
              <w:spacing w:after="0"/>
              <w:rPr>
                <w:sz w:val="9"/>
                <w:szCs w:val="9"/>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B&amp;I</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M&amp;D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Aviation</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Education</w:t>
            </w:r>
          </w:p>
        </w:tc>
        <w:tc>
          <w:tcPr>
            <w:tcW w:w="120" w:type="dxa"/>
            <w:vAlign w:val="bottom"/>
          </w:tcPr>
          <w:p>
            <w:pPr>
              <w:spacing w:after="0"/>
              <w:rPr>
                <w:sz w:val="9"/>
                <w:szCs w:val="9"/>
                <w:color w:val="auto"/>
              </w:rPr>
            </w:pPr>
          </w:p>
        </w:tc>
        <w:tc>
          <w:tcPr>
            <w:tcW w:w="860" w:type="dxa"/>
            <w:vAlign w:val="bottom"/>
            <w:gridSpan w:val="3"/>
          </w:tcPr>
          <w:p>
            <w:pPr>
              <w:ind w:left="40"/>
              <w:spacing w:after="0" w:line="111" w:lineRule="exact"/>
              <w:rPr>
                <w:sz w:val="20"/>
                <w:szCs w:val="20"/>
                <w:color w:val="auto"/>
              </w:rPr>
            </w:pPr>
            <w:r>
              <w:rPr>
                <w:rFonts w:ascii="Arial" w:cs="Arial" w:eastAsia="Arial" w:hAnsi="Arial"/>
                <w:sz w:val="12"/>
                <w:szCs w:val="12"/>
                <w:b w:val="1"/>
                <w:bCs w:val="1"/>
                <w:color w:val="auto"/>
              </w:rPr>
              <w:t>Technical</w:t>
            </w:r>
          </w:p>
        </w:tc>
        <w:tc>
          <w:tcPr>
            <w:tcW w:w="140" w:type="dxa"/>
            <w:vAlign w:val="bottom"/>
          </w:tcPr>
          <w:p>
            <w:pPr>
              <w:spacing w:after="0"/>
              <w:rPr>
                <w:sz w:val="9"/>
                <w:szCs w:val="9"/>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Solutions</w:t>
            </w:r>
          </w:p>
        </w:tc>
        <w:tc>
          <w:tcPr>
            <w:tcW w:w="1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Solutions</w:t>
            </w: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7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44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Major Service Line</w:t>
            </w:r>
          </w:p>
        </w:tc>
        <w:tc>
          <w:tcPr>
            <w:tcW w:w="140" w:type="dxa"/>
            <w:vAlign w:val="bottom"/>
            <w:shd w:val="clear" w:color="auto" w:fill="DCE2EF"/>
          </w:tcPr>
          <w:p>
            <w:pPr>
              <w:spacing w:after="0"/>
              <w:rPr>
                <w:sz w:val="13"/>
                <w:szCs w:val="13"/>
                <w:color w:val="auto"/>
              </w:rPr>
            </w:pPr>
          </w:p>
        </w:tc>
        <w:tc>
          <w:tcPr>
            <w:tcW w:w="56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0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7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0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5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54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5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54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7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5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Janitorial</w:t>
            </w:r>
            <w:r>
              <w:rPr>
                <w:rFonts w:ascii="Arial" w:cs="Arial" w:eastAsia="Arial" w:hAnsi="Arial"/>
                <w:sz w:val="16"/>
                <w:szCs w:val="1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715.5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343.3</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60.1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204.9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1,323.8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jc w:val="right"/>
              <w:ind w:right="15"/>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2,119.9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1,010.9</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166.0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599.3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3,896.1</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Aviation Services</w:t>
            </w:r>
            <w:r>
              <w:rPr>
                <w:rFonts w:ascii="Arial" w:cs="Arial" w:eastAsia="Arial" w:hAnsi="Arial"/>
                <w:sz w:val="16"/>
                <w:szCs w:val="16"/>
                <w:color w:val="auto"/>
                <w:vertAlign w:val="superscript"/>
              </w:rPr>
              <w:t>(2)</w:t>
            </w:r>
          </w:p>
        </w:tc>
        <w:tc>
          <w:tcPr>
            <w:tcW w:w="140" w:type="dxa"/>
            <w:vAlign w:val="bottom"/>
            <w:shd w:val="clear" w:color="auto" w:fill="DCE2EF"/>
          </w:tcPr>
          <w:p>
            <w:pPr>
              <w:spacing w:after="0"/>
              <w:rPr>
                <w:sz w:val="15"/>
                <w:szCs w:val="15"/>
                <w:color w:val="auto"/>
              </w:rPr>
            </w:pPr>
          </w:p>
        </w:tc>
        <w:tc>
          <w:tcPr>
            <w:tcW w:w="640" w:type="dxa"/>
            <w:vAlign w:val="bottom"/>
            <w:gridSpan w:val="2"/>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380" w:type="dxa"/>
            <w:vAlign w:val="bottom"/>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134.5</w:t>
            </w: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0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78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5"/>
                <w:szCs w:val="15"/>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134.5</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64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20" w:type="dxa"/>
            <w:vAlign w:val="bottom"/>
            <w:gridSpan w:val="2"/>
            <w:shd w:val="clear" w:color="auto" w:fill="DCE2EF"/>
          </w:tcPr>
          <w:p>
            <w:pPr>
              <w:jc w:val="right"/>
              <w:ind w:right="80"/>
              <w:spacing w:after="0"/>
              <w:rPr>
                <w:sz w:val="20"/>
                <w:szCs w:val="20"/>
                <w:color w:val="auto"/>
              </w:rPr>
            </w:pPr>
            <w:r>
              <w:rPr>
                <w:rFonts w:ascii="Arial" w:cs="Arial" w:eastAsia="Arial" w:hAnsi="Arial"/>
                <w:sz w:val="13"/>
                <w:szCs w:val="13"/>
                <w:color w:val="auto"/>
              </w:rPr>
              <w:t>368.2</w:t>
            </w: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2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86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CE2EF"/>
          </w:tcPr>
          <w:p>
            <w:pPr>
              <w:spacing w:after="0"/>
              <w:rPr>
                <w:sz w:val="15"/>
                <w:szCs w:val="15"/>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368.2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Parking and</w:t>
            </w:r>
          </w:p>
        </w:tc>
        <w:tc>
          <w:tcPr>
            <w:tcW w:w="140" w:type="dxa"/>
            <w:vAlign w:val="bottom"/>
          </w:tcPr>
          <w:p>
            <w:pPr>
              <w:spacing w:after="0"/>
              <w:rPr>
                <w:sz w:val="11"/>
                <w:szCs w:val="11"/>
                <w:color w:val="auto"/>
              </w:rPr>
            </w:pP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color w:val="auto"/>
              </w:rPr>
              <w:t>111.6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13.6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321.4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38.9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248.4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609.1</w:t>
            </w:r>
          </w:p>
        </w:tc>
        <w:tc>
          <w:tcPr>
            <w:tcW w:w="0" w:type="dxa"/>
            <w:vAlign w:val="bottom"/>
          </w:tcPr>
          <w:p>
            <w:pPr>
              <w:spacing w:after="0"/>
              <w:rPr>
                <w:sz w:val="1"/>
                <w:szCs w:val="1"/>
                <w:color w:val="auto"/>
              </w:rPr>
            </w:pPr>
          </w:p>
        </w:tc>
      </w:tr>
      <w:tr>
        <w:trPr>
          <w:trHeight w:val="180"/>
        </w:trPr>
        <w:tc>
          <w:tcPr>
            <w:tcW w:w="20" w:type="dxa"/>
            <w:vAlign w:val="bottom"/>
            <w:tcBorders>
              <w:bottom w:val="single" w:sz="8" w:color="DCE2EF"/>
            </w:tcBorders>
          </w:tcPr>
          <w:p>
            <w:pPr>
              <w:spacing w:after="0"/>
              <w:rPr>
                <w:sz w:val="15"/>
                <w:szCs w:val="15"/>
                <w:color w:val="auto"/>
              </w:rPr>
            </w:pPr>
          </w:p>
        </w:tc>
        <w:tc>
          <w:tcPr>
            <w:tcW w:w="1420" w:type="dxa"/>
            <w:vAlign w:val="bottom"/>
            <w:tcBorders>
              <w:bottom w:val="single" w:sz="8" w:color="DCE2EF"/>
            </w:tcBorders>
            <w:gridSpan w:val="2"/>
          </w:tcPr>
          <w:p>
            <w:pPr>
              <w:ind w:left="100"/>
              <w:spacing w:after="0" w:line="181" w:lineRule="exact"/>
              <w:rPr>
                <w:sz w:val="20"/>
                <w:szCs w:val="20"/>
                <w:color w:val="auto"/>
              </w:rPr>
            </w:pPr>
            <w:r>
              <w:rPr>
                <w:rFonts w:ascii="Arial" w:cs="Arial" w:eastAsia="Arial" w:hAnsi="Arial"/>
                <w:sz w:val="13"/>
                <w:szCs w:val="13"/>
                <w:color w:val="auto"/>
              </w:rPr>
              <w:t>Transportation</w:t>
            </w:r>
            <w:r>
              <w:rPr>
                <w:rFonts w:ascii="Arial" w:cs="Arial" w:eastAsia="Arial" w:hAnsi="Arial"/>
                <w:sz w:val="16"/>
                <w:szCs w:val="16"/>
                <w:color w:val="auto"/>
                <w:vertAlign w:val="superscript"/>
              </w:rPr>
              <w:t>(3)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6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Facility Solutions</w:t>
            </w: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827.1</w:t>
            </w: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356.9</w:t>
            </w:r>
          </w:p>
        </w:tc>
        <w:tc>
          <w:tcPr>
            <w:tcW w:w="260" w:type="dxa"/>
            <w:vAlign w:val="bottom"/>
            <w:gridSpan w:val="3"/>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278.8</w:t>
            </w: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205.0</w:t>
            </w: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1,667.8</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60" w:type="dxa"/>
            <w:vAlign w:val="bottom"/>
            <w:gridSpan w:val="2"/>
            <w:shd w:val="clear" w:color="auto" w:fill="DCE2EF"/>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2,441.3</w:t>
            </w: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gridSpan w:val="2"/>
            <w:shd w:val="clear" w:color="auto" w:fill="DCE2EF"/>
          </w:tcPr>
          <w:p>
            <w:pPr>
              <w:jc w:val="right"/>
              <w:ind w:right="40"/>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1,049.8</w:t>
            </w:r>
          </w:p>
        </w:tc>
        <w:tc>
          <w:tcPr>
            <w:tcW w:w="240" w:type="dxa"/>
            <w:vAlign w:val="bottom"/>
            <w:gridSpan w:val="4"/>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DCE2EF"/>
          </w:tcPr>
          <w:p>
            <w:pPr>
              <w:jc w:val="right"/>
              <w:ind w:right="80"/>
              <w:spacing w:after="0"/>
              <w:rPr>
                <w:sz w:val="20"/>
                <w:szCs w:val="20"/>
                <w:color w:val="auto"/>
              </w:rPr>
            </w:pPr>
            <w:r>
              <w:rPr>
                <w:rFonts w:ascii="Arial" w:cs="Arial" w:eastAsia="Arial" w:hAnsi="Arial"/>
                <w:sz w:val="13"/>
                <w:szCs w:val="13"/>
                <w:b w:val="1"/>
                <w:bCs w:val="1"/>
                <w:color w:val="auto"/>
              </w:rPr>
              <w:t>782.7</w:t>
            </w: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599.6</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4,873.4</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1420" w:type="dxa"/>
            <w:vAlign w:val="bottom"/>
            <w:gridSpan w:val="2"/>
            <w:shd w:val="clear" w:color="auto" w:fill="DCE2EF"/>
          </w:tcPr>
          <w:p>
            <w:pPr>
              <w:ind w:left="100"/>
              <w:spacing w:after="0" w:line="129" w:lineRule="exact"/>
              <w:rPr>
                <w:sz w:val="20"/>
                <w:szCs w:val="20"/>
                <w:color w:val="auto"/>
              </w:rPr>
            </w:pPr>
            <w:r>
              <w:rPr>
                <w:rFonts w:ascii="Arial" w:cs="Arial" w:eastAsia="Arial" w:hAnsi="Arial"/>
                <w:sz w:val="13"/>
                <w:szCs w:val="13"/>
                <w:color w:val="auto"/>
              </w:rPr>
              <w:t>Operations and</w:t>
            </w: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color w:val="auto"/>
              </w:rPr>
              <w:t>210.5</w:t>
            </w: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38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51.3</w:t>
            </w: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30.1</w:t>
            </w: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8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304.8</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632.0</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2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color w:val="auto"/>
              </w:rPr>
              <w:t>150.5</w:t>
            </w: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20" w:type="dxa"/>
            <w:vAlign w:val="bottom"/>
            <w:gridSpan w:val="2"/>
            <w:vMerge w:val="restart"/>
            <w:shd w:val="clear" w:color="auto" w:fill="DCE2EF"/>
          </w:tcPr>
          <w:p>
            <w:pPr>
              <w:jc w:val="right"/>
              <w:ind w:right="80"/>
              <w:spacing w:after="0"/>
              <w:rPr>
                <w:sz w:val="20"/>
                <w:szCs w:val="20"/>
                <w:color w:val="auto"/>
              </w:rPr>
            </w:pPr>
            <w:r>
              <w:rPr>
                <w:rFonts w:ascii="Arial" w:cs="Arial" w:eastAsia="Arial" w:hAnsi="Arial"/>
                <w:sz w:val="13"/>
                <w:szCs w:val="13"/>
                <w:color w:val="auto"/>
              </w:rPr>
              <w:t>39.3</w:t>
            </w: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88.6</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60" w:type="dxa"/>
            <w:vAlign w:val="bottom"/>
            <w:gridSpan w:val="3"/>
            <w:vMerge w:val="restart"/>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910.4</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Maintenance</w:t>
            </w:r>
            <w:r>
              <w:rPr>
                <w:rFonts w:ascii="Arial" w:cs="Arial" w:eastAsia="Arial" w:hAnsi="Arial"/>
                <w:sz w:val="16"/>
                <w:szCs w:val="16"/>
                <w:color w:val="auto"/>
                <w:vertAlign w:val="superscript"/>
              </w:rPr>
              <w:t>(4)</w:t>
            </w:r>
          </w:p>
        </w:tc>
        <w:tc>
          <w:tcPr>
            <w:tcW w:w="14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80" w:type="dxa"/>
            <w:vAlign w:val="bottom"/>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780" w:type="dxa"/>
            <w:vAlign w:val="bottom"/>
            <w:gridSpan w:val="2"/>
            <w:vMerge w:val="continue"/>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gridSpan w:val="2"/>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20" w:type="dxa"/>
            <w:vAlign w:val="bottom"/>
            <w:gridSpan w:val="2"/>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60" w:type="dxa"/>
            <w:vAlign w:val="bottom"/>
            <w:gridSpan w:val="3"/>
            <w:vMerge w:val="continue"/>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Building &amp; Energy</w:t>
            </w:r>
          </w:p>
        </w:tc>
        <w:tc>
          <w:tcPr>
            <w:tcW w:w="140" w:type="dxa"/>
            <w:vAlign w:val="bottom"/>
          </w:tcPr>
          <w:p>
            <w:pPr>
              <w:spacing w:after="0"/>
              <w:rPr>
                <w:sz w:val="11"/>
                <w:szCs w:val="11"/>
                <w:color w:val="auto"/>
              </w:rPr>
            </w:pP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251.4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662.0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666.8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Solutions</w:t>
            </w:r>
            <w:r>
              <w:rPr>
                <w:rFonts w:ascii="Arial" w:cs="Arial" w:eastAsia="Arial" w:hAnsi="Arial"/>
                <w:sz w:val="16"/>
                <w:szCs w:val="16"/>
                <w:color w:val="auto"/>
                <w:vertAlign w:val="superscript"/>
              </w:rPr>
              <w:t>(5)</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DCE2EF"/>
            </w:tcBorders>
            <w:shd w:val="clear" w:color="auto" w:fill="DCE2EF"/>
          </w:tcPr>
          <w:p>
            <w:pPr>
              <w:spacing w:after="0"/>
              <w:rPr>
                <w:sz w:val="9"/>
                <w:szCs w:val="9"/>
                <w:color w:val="auto"/>
              </w:rPr>
            </w:pPr>
          </w:p>
        </w:tc>
        <w:tc>
          <w:tcPr>
            <w:tcW w:w="1420" w:type="dxa"/>
            <w:vAlign w:val="bottom"/>
            <w:tcBorders>
              <w:top w:val="single" w:sz="8" w:color="DCE2EF"/>
            </w:tcBorders>
            <w:gridSpan w:val="2"/>
            <w:shd w:val="clear" w:color="auto" w:fill="DCE2EF"/>
          </w:tcPr>
          <w:p>
            <w:pPr>
              <w:ind w:left="100"/>
              <w:spacing w:after="0" w:line="109" w:lineRule="exact"/>
              <w:rPr>
                <w:sz w:val="20"/>
                <w:szCs w:val="20"/>
                <w:color w:val="auto"/>
              </w:rPr>
            </w:pPr>
            <w:r>
              <w:rPr>
                <w:rFonts w:ascii="Arial" w:cs="Arial" w:eastAsia="Arial" w:hAnsi="Arial"/>
                <w:sz w:val="12"/>
                <w:szCs w:val="12"/>
                <w:b w:val="1"/>
                <w:bCs w:val="1"/>
                <w:color w:val="auto"/>
              </w:rPr>
              <w:t>Engineering and</w:t>
            </w: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38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60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7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0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160" w:type="dxa"/>
            <w:vAlign w:val="bottom"/>
            <w:tcBorders>
              <w:top w:val="single" w:sz="8" w:color="auto"/>
            </w:tcBorders>
            <w:shd w:val="clear" w:color="auto" w:fill="DCE2EF"/>
          </w:tcPr>
          <w:p>
            <w:pPr>
              <w:spacing w:after="0"/>
              <w:rPr>
                <w:sz w:val="9"/>
                <w:szCs w:val="9"/>
                <w:color w:val="auto"/>
              </w:rPr>
            </w:pPr>
          </w:p>
        </w:tc>
        <w:tc>
          <w:tcPr>
            <w:tcW w:w="54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DCE2EF"/>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4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50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54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DCE2EF"/>
            </w:tcBorders>
            <w:shd w:val="clear" w:color="auto" w:fill="DCE2EF"/>
          </w:tcPr>
          <w:p>
            <w:pPr>
              <w:spacing w:after="0"/>
              <w:rPr>
                <w:sz w:val="9"/>
                <w:szCs w:val="9"/>
                <w:color w:val="auto"/>
              </w:rPr>
            </w:pPr>
          </w:p>
        </w:tc>
        <w:tc>
          <w:tcPr>
            <w:tcW w:w="60" w:type="dxa"/>
            <w:vAlign w:val="bottom"/>
            <w:tcBorders>
              <w:top w:val="single" w:sz="8" w:color="DCE2EF"/>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7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6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1420" w:type="dxa"/>
            <w:vAlign w:val="bottom"/>
            <w:gridSpan w:val="2"/>
            <w:shd w:val="clear" w:color="auto" w:fill="DCE2EF"/>
          </w:tcPr>
          <w:p>
            <w:pPr>
              <w:ind w:left="100"/>
              <w:spacing w:after="0" w:line="129" w:lineRule="exact"/>
              <w:rPr>
                <w:sz w:val="20"/>
                <w:szCs w:val="20"/>
                <w:color w:val="auto"/>
              </w:rPr>
            </w:pPr>
            <w:r>
              <w:rPr>
                <w:rFonts w:ascii="Arial" w:cs="Arial" w:eastAsia="Arial" w:hAnsi="Arial"/>
                <w:sz w:val="13"/>
                <w:szCs w:val="13"/>
                <w:b w:val="1"/>
                <w:bCs w:val="1"/>
                <w:color w:val="auto"/>
              </w:rPr>
              <w:t>Infrastructure</w:t>
            </w: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211.7</w:t>
            </w:r>
          </w:p>
        </w:tc>
        <w:tc>
          <w:tcPr>
            <w:tcW w:w="8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52.0</w:t>
            </w:r>
          </w:p>
        </w:tc>
        <w:tc>
          <w:tcPr>
            <w:tcW w:w="260" w:type="dxa"/>
            <w:vAlign w:val="bottom"/>
            <w:gridSpan w:val="3"/>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12.9</w:t>
            </w:r>
          </w:p>
        </w:tc>
        <w:tc>
          <w:tcPr>
            <w:tcW w:w="80" w:type="dxa"/>
            <w:vAlign w:val="bottom"/>
            <w:shd w:val="clear" w:color="auto" w:fill="DCE2EF"/>
          </w:tcPr>
          <w:p>
            <w:pPr>
              <w:spacing w:after="0"/>
              <w:rPr>
                <w:sz w:val="11"/>
                <w:szCs w:val="11"/>
                <w:color w:val="auto"/>
              </w:rPr>
            </w:pPr>
          </w:p>
        </w:tc>
        <w:tc>
          <w:tcPr>
            <w:tcW w:w="1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30.1</w:t>
            </w:r>
          </w:p>
        </w:tc>
        <w:tc>
          <w:tcPr>
            <w:tcW w:w="8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249.5</w:t>
            </w:r>
          </w:p>
        </w:tc>
        <w:tc>
          <w:tcPr>
            <w:tcW w:w="80" w:type="dxa"/>
            <w:vAlign w:val="bottom"/>
            <w:shd w:val="clear" w:color="auto" w:fill="DCE2EF"/>
          </w:tcPr>
          <w:p>
            <w:pPr>
              <w:spacing w:after="0"/>
              <w:rPr>
                <w:sz w:val="11"/>
                <w:szCs w:val="11"/>
                <w:color w:val="auto"/>
              </w:rPr>
            </w:pPr>
          </w:p>
        </w:tc>
        <w:tc>
          <w:tcPr>
            <w:tcW w:w="1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556.2</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60" w:type="dxa"/>
            <w:vAlign w:val="bottom"/>
            <w:gridSpan w:val="2"/>
            <w:vMerge w:val="restart"/>
            <w:shd w:val="clear" w:color="auto" w:fill="DCE2EF"/>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635.9</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20" w:type="dxa"/>
            <w:vAlign w:val="bottom"/>
            <w:gridSpan w:val="2"/>
            <w:vMerge w:val="restart"/>
            <w:shd w:val="clear" w:color="auto" w:fill="DCE2EF"/>
          </w:tcPr>
          <w:p>
            <w:pPr>
              <w:jc w:val="right"/>
              <w:ind w:right="40"/>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151.4</w:t>
            </w:r>
          </w:p>
        </w:tc>
        <w:tc>
          <w:tcPr>
            <w:tcW w:w="240" w:type="dxa"/>
            <w:vAlign w:val="bottom"/>
            <w:gridSpan w:val="4"/>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vMerge w:val="restart"/>
            <w:shd w:val="clear" w:color="auto" w:fill="DCE2EF"/>
          </w:tcPr>
          <w:p>
            <w:pPr>
              <w:jc w:val="right"/>
              <w:ind w:right="80"/>
              <w:spacing w:after="0"/>
              <w:rPr>
                <w:sz w:val="20"/>
                <w:szCs w:val="20"/>
                <w:color w:val="auto"/>
              </w:rPr>
            </w:pPr>
            <w:r>
              <w:rPr>
                <w:rFonts w:ascii="Arial" w:cs="Arial" w:eastAsia="Arial" w:hAnsi="Arial"/>
                <w:sz w:val="13"/>
                <w:szCs w:val="13"/>
                <w:b w:val="1"/>
                <w:bCs w:val="1"/>
                <w:color w:val="auto"/>
              </w:rPr>
              <w:t>39.3</w:t>
            </w: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88.6</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662.0</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1,577.1</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Solutions</w:t>
            </w:r>
          </w:p>
        </w:tc>
        <w:tc>
          <w:tcPr>
            <w:tcW w:w="140" w:type="dxa"/>
            <w:vAlign w:val="bottom"/>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380" w:type="dxa"/>
            <w:vAlign w:val="bottom"/>
            <w:vMerge w:val="continue"/>
            <w:shd w:val="clear" w:color="auto" w:fill="DCE2EF"/>
          </w:tcPr>
          <w:p>
            <w:pPr>
              <w:spacing w:after="0"/>
              <w:rPr>
                <w:sz w:val="15"/>
                <w:szCs w:val="15"/>
                <w:color w:val="auto"/>
              </w:rPr>
            </w:pPr>
          </w:p>
        </w:tc>
        <w:tc>
          <w:tcPr>
            <w:tcW w:w="260" w:type="dxa"/>
            <w:vAlign w:val="bottom"/>
            <w:gridSpan w:val="3"/>
            <w:vMerge w:val="continue"/>
            <w:shd w:val="clear" w:color="auto" w:fill="DCE2EF"/>
          </w:tcPr>
          <w:p>
            <w:pPr>
              <w:spacing w:after="0"/>
              <w:rPr>
                <w:sz w:val="15"/>
                <w:szCs w:val="15"/>
                <w:color w:val="auto"/>
              </w:rPr>
            </w:pPr>
          </w:p>
        </w:tc>
        <w:tc>
          <w:tcPr>
            <w:tcW w:w="6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vMerge w:val="continue"/>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7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60" w:type="dxa"/>
            <w:vAlign w:val="bottom"/>
            <w:vMerge w:val="continue"/>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60" w:type="dxa"/>
            <w:vAlign w:val="bottom"/>
            <w:gridSpan w:val="2"/>
            <w:vMerge w:val="continue"/>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gridSpan w:val="2"/>
            <w:vMerge w:val="continue"/>
            <w:shd w:val="clear" w:color="auto" w:fill="DCE2EF"/>
          </w:tcPr>
          <w:p>
            <w:pPr>
              <w:spacing w:after="0"/>
              <w:rPr>
                <w:sz w:val="15"/>
                <w:szCs w:val="15"/>
                <w:color w:val="auto"/>
              </w:rPr>
            </w:pPr>
          </w:p>
        </w:tc>
        <w:tc>
          <w:tcPr>
            <w:tcW w:w="520" w:type="dxa"/>
            <w:vAlign w:val="bottom"/>
            <w:gridSpan w:val="2"/>
            <w:vMerge w:val="continue"/>
            <w:shd w:val="clear" w:color="auto" w:fill="DCE2EF"/>
          </w:tcPr>
          <w:p>
            <w:pPr>
              <w:spacing w:after="0"/>
              <w:rPr>
                <w:sz w:val="15"/>
                <w:szCs w:val="15"/>
                <w:color w:val="auto"/>
              </w:rPr>
            </w:pPr>
          </w:p>
        </w:tc>
        <w:tc>
          <w:tcPr>
            <w:tcW w:w="240" w:type="dxa"/>
            <w:vAlign w:val="bottom"/>
            <w:gridSpan w:val="4"/>
            <w:vMerge w:val="continue"/>
            <w:shd w:val="clear" w:color="auto" w:fill="DCE2EF"/>
          </w:tcPr>
          <w:p>
            <w:pPr>
              <w:spacing w:after="0"/>
              <w:rPr>
                <w:sz w:val="15"/>
                <w:szCs w:val="15"/>
                <w:color w:val="auto"/>
              </w:rPr>
            </w:pPr>
          </w:p>
        </w:tc>
        <w:tc>
          <w:tcPr>
            <w:tcW w:w="620" w:type="dxa"/>
            <w:vAlign w:val="bottom"/>
            <w:gridSpan w:val="2"/>
            <w:vMerge w:val="continue"/>
            <w:shd w:val="clear" w:color="auto" w:fill="DCE2EF"/>
          </w:tcPr>
          <w:p>
            <w:pPr>
              <w:spacing w:after="0"/>
              <w:rPr>
                <w:sz w:val="15"/>
                <w:szCs w:val="15"/>
                <w:color w:val="auto"/>
              </w:rPr>
            </w:pPr>
          </w:p>
        </w:tc>
        <w:tc>
          <w:tcPr>
            <w:tcW w:w="180" w:type="dxa"/>
            <w:vAlign w:val="bottom"/>
            <w:gridSpan w:val="3"/>
            <w:vMerge w:val="continue"/>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76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4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1,038.7</w:t>
            </w:r>
          </w:p>
        </w:tc>
        <w:tc>
          <w:tcPr>
            <w:tcW w:w="8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408.9</w:t>
            </w:r>
          </w:p>
        </w:tc>
        <w:tc>
          <w:tcPr>
            <w:tcW w:w="6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291.8</w:t>
            </w:r>
          </w:p>
        </w:tc>
        <w:tc>
          <w:tcPr>
            <w:tcW w:w="8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235.1</w:t>
            </w:r>
          </w:p>
        </w:tc>
        <w:tc>
          <w:tcPr>
            <w:tcW w:w="8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249.5</w:t>
            </w:r>
          </w:p>
        </w:tc>
        <w:tc>
          <w:tcPr>
            <w:tcW w:w="80" w:type="dxa"/>
            <w:vAlign w:val="bottom"/>
            <w:tcBorders>
              <w:bottom w:val="single" w:sz="8" w:color="DCE2EF"/>
            </w:tcBorders>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2,224.0</w:t>
            </w:r>
          </w:p>
        </w:tc>
        <w:tc>
          <w:tcPr>
            <w:tcW w:w="20" w:type="dxa"/>
            <w:vAlign w:val="bottom"/>
            <w:tcBorders>
              <w:bottom w:val="single" w:sz="8" w:color="DCE2EF"/>
            </w:tcBorders>
            <w:shd w:val="clear" w:color="auto" w:fill="DCE2EF"/>
          </w:tcPr>
          <w:p>
            <w:pPr>
              <w:spacing w:after="0"/>
              <w:rPr>
                <w:sz w:val="17"/>
                <w:szCs w:val="17"/>
                <w:color w:val="auto"/>
              </w:rPr>
            </w:pPr>
          </w:p>
        </w:tc>
        <w:tc>
          <w:tcPr>
            <w:tcW w:w="80" w:type="dxa"/>
            <w:vAlign w:val="bottom"/>
            <w:tcBorders>
              <w:bottom w:val="single" w:sz="8" w:color="DCE2EF"/>
            </w:tcBorders>
            <w:shd w:val="clear" w:color="auto" w:fill="DCE2EF"/>
          </w:tcPr>
          <w:p>
            <w:pPr>
              <w:spacing w:after="0"/>
              <w:rPr>
                <w:sz w:val="17"/>
                <w:szCs w:val="17"/>
                <w:color w:val="auto"/>
              </w:rPr>
            </w:pPr>
          </w:p>
        </w:tc>
        <w:tc>
          <w:tcPr>
            <w:tcW w:w="160" w:type="dxa"/>
            <w:vAlign w:val="bottom"/>
            <w:tcBorders>
              <w:bottom w:val="single" w:sz="8" w:color="auto"/>
            </w:tcBorders>
            <w:gridSpan w:val="2"/>
            <w:shd w:val="clear" w:color="auto" w:fill="DCE2EF"/>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3,077.2</w:t>
            </w:r>
          </w:p>
        </w:tc>
        <w:tc>
          <w:tcPr>
            <w:tcW w:w="40" w:type="dxa"/>
            <w:vAlign w:val="bottom"/>
            <w:tcBorders>
              <w:bottom w:val="single" w:sz="8" w:color="DCE2EF"/>
            </w:tcBorders>
            <w:shd w:val="clear" w:color="auto" w:fill="DCE2EF"/>
          </w:tcPr>
          <w:p>
            <w:pPr>
              <w:spacing w:after="0"/>
              <w:rPr>
                <w:sz w:val="17"/>
                <w:szCs w:val="17"/>
                <w:color w:val="auto"/>
              </w:rPr>
            </w:pPr>
          </w:p>
        </w:tc>
        <w:tc>
          <w:tcPr>
            <w:tcW w:w="6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auto"/>
            </w:tcBorders>
            <w:gridSpan w:val="2"/>
            <w:shd w:val="clear" w:color="auto" w:fill="DCE2EF"/>
          </w:tcPr>
          <w:p>
            <w:pPr>
              <w:jc w:val="right"/>
              <w:ind w:right="40"/>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1,201.2</w:t>
            </w:r>
          </w:p>
        </w:tc>
        <w:tc>
          <w:tcPr>
            <w:tcW w:w="60" w:type="dxa"/>
            <w:vAlign w:val="bottom"/>
            <w:tcBorders>
              <w:bottom w:val="single" w:sz="8" w:color="auto"/>
            </w:tcBorders>
            <w:shd w:val="clear" w:color="auto" w:fill="DCE2EF"/>
          </w:tcPr>
          <w:p>
            <w:pPr>
              <w:spacing w:after="0"/>
              <w:rPr>
                <w:sz w:val="17"/>
                <w:szCs w:val="17"/>
                <w:color w:val="auto"/>
              </w:rPr>
            </w:pPr>
          </w:p>
        </w:tc>
        <w:tc>
          <w:tcPr>
            <w:tcW w:w="80" w:type="dxa"/>
            <w:vAlign w:val="bottom"/>
            <w:tcBorders>
              <w:bottom w:val="single" w:sz="8" w:color="DCE2EF"/>
            </w:tcBorders>
            <w:gridSpan w:val="2"/>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3"/>
                <w:szCs w:val="13"/>
                <w:b w:val="1"/>
                <w:bCs w:val="1"/>
                <w:color w:val="auto"/>
              </w:rPr>
              <w:t>822.0</w:t>
            </w:r>
          </w:p>
        </w:tc>
        <w:tc>
          <w:tcPr>
            <w:tcW w:w="80" w:type="dxa"/>
            <w:vAlign w:val="bottom"/>
            <w:tcBorders>
              <w:bottom w:val="single" w:sz="8" w:color="DCE2EF"/>
            </w:tcBorders>
            <w:gridSpan w:val="2"/>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688.2</w:t>
            </w:r>
          </w:p>
        </w:tc>
        <w:tc>
          <w:tcPr>
            <w:tcW w:w="8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662.0</w:t>
            </w:r>
          </w:p>
        </w:tc>
        <w:tc>
          <w:tcPr>
            <w:tcW w:w="8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6,450.5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Three Months Ended July 31, 2024</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6"/>
          </w:tcPr>
          <w:p>
            <w:pPr>
              <w:ind w:left="20"/>
              <w:spacing w:after="0"/>
              <w:rPr>
                <w:sz w:val="20"/>
                <w:szCs w:val="20"/>
                <w:color w:val="auto"/>
              </w:rPr>
            </w:pPr>
            <w:r>
              <w:rPr>
                <w:rFonts w:ascii="Arial" w:cs="Arial" w:eastAsia="Arial" w:hAnsi="Arial"/>
                <w:sz w:val="13"/>
                <w:szCs w:val="13"/>
                <w:b w:val="1"/>
                <w:bCs w:val="1"/>
                <w:color w:val="auto"/>
              </w:rPr>
              <w:t>Nine Months Ended July 31, 2024</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10"/>
                <w:szCs w:val="10"/>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B&amp;I</w:t>
            </w:r>
          </w:p>
        </w:tc>
        <w:tc>
          <w:tcPr>
            <w:tcW w:w="120" w:type="dxa"/>
            <w:vAlign w:val="bottom"/>
          </w:tcPr>
          <w:p>
            <w:pPr>
              <w:spacing w:after="0"/>
              <w:rPr>
                <w:sz w:val="10"/>
                <w:szCs w:val="10"/>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rPr>
              <w:t>M&amp;D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Aviation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Education</w:t>
            </w:r>
          </w:p>
        </w:tc>
        <w:tc>
          <w:tcPr>
            <w:tcW w:w="120" w:type="dxa"/>
            <w:vAlign w:val="bottom"/>
          </w:tcPr>
          <w:p>
            <w:pPr>
              <w:spacing w:after="0"/>
              <w:rPr>
                <w:sz w:val="10"/>
                <w:szCs w:val="10"/>
                <w:color w:val="auto"/>
              </w:rPr>
            </w:pPr>
          </w:p>
        </w:tc>
        <w:tc>
          <w:tcPr>
            <w:tcW w:w="7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Technical</w:t>
            </w:r>
          </w:p>
        </w:tc>
        <w:tc>
          <w:tcPr>
            <w:tcW w:w="160" w:type="dxa"/>
            <w:vAlign w:val="bottom"/>
          </w:tcPr>
          <w:p>
            <w:pPr>
              <w:spacing w:after="0"/>
              <w:rPr>
                <w:sz w:val="10"/>
                <w:szCs w:val="10"/>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B&amp;I</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M&amp;D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Aviation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Education</w:t>
            </w:r>
          </w:p>
        </w:tc>
        <w:tc>
          <w:tcPr>
            <w:tcW w:w="120" w:type="dxa"/>
            <w:vAlign w:val="bottom"/>
          </w:tcPr>
          <w:p>
            <w:pPr>
              <w:spacing w:after="0"/>
              <w:rPr>
                <w:sz w:val="10"/>
                <w:szCs w:val="10"/>
                <w:color w:val="auto"/>
              </w:rPr>
            </w:pPr>
          </w:p>
        </w:tc>
        <w:tc>
          <w:tcPr>
            <w:tcW w:w="8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Technical</w:t>
            </w:r>
          </w:p>
        </w:tc>
        <w:tc>
          <w:tcPr>
            <w:tcW w:w="140" w:type="dxa"/>
            <w:vAlign w:val="bottom"/>
          </w:tcPr>
          <w:p>
            <w:pPr>
              <w:spacing w:after="0"/>
              <w:rPr>
                <w:sz w:val="10"/>
                <w:szCs w:val="10"/>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14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Solutions</w:t>
            </w:r>
          </w:p>
        </w:tc>
        <w:tc>
          <w:tcPr>
            <w:tcW w:w="1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40"/>
              <w:spacing w:after="0" w:line="109" w:lineRule="exact"/>
              <w:rPr>
                <w:sz w:val="20"/>
                <w:szCs w:val="20"/>
                <w:color w:val="auto"/>
              </w:rPr>
            </w:pPr>
            <w:r>
              <w:rPr>
                <w:rFonts w:ascii="Arial" w:cs="Arial" w:eastAsia="Arial" w:hAnsi="Arial"/>
                <w:sz w:val="12"/>
                <w:szCs w:val="12"/>
                <w:b w:val="1"/>
                <w:bCs w:val="1"/>
                <w:color w:val="auto"/>
              </w:rPr>
              <w:t>Solutions</w:t>
            </w: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7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44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Major Service Line</w:t>
            </w:r>
          </w:p>
        </w:tc>
        <w:tc>
          <w:tcPr>
            <w:tcW w:w="140" w:type="dxa"/>
            <w:vAlign w:val="bottom"/>
            <w:shd w:val="clear" w:color="auto" w:fill="DCE2EF"/>
          </w:tcPr>
          <w:p>
            <w:pPr>
              <w:spacing w:after="0"/>
              <w:rPr>
                <w:sz w:val="13"/>
                <w:szCs w:val="13"/>
                <w:color w:val="auto"/>
              </w:rPr>
            </w:pPr>
          </w:p>
        </w:tc>
        <w:tc>
          <w:tcPr>
            <w:tcW w:w="56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0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7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0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5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54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5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54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7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5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Janitorial</w:t>
            </w:r>
            <w:r>
              <w:rPr>
                <w:rFonts w:ascii="Arial" w:cs="Arial" w:eastAsia="Arial" w:hAnsi="Arial"/>
                <w:sz w:val="16"/>
                <w:szCs w:val="1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696.1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326.5</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53.7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200.6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1,277.0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2,070.7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6"/>
              </w:rPr>
              <w:t>1,013.5</w:t>
            </w:r>
          </w:p>
        </w:tc>
        <w:tc>
          <w:tcPr>
            <w:tcW w:w="20" w:type="dxa"/>
            <w:vAlign w:val="bottom"/>
          </w:tcPr>
          <w:p>
            <w:pPr>
              <w:spacing w:after="0"/>
              <w:rPr>
                <w:sz w:val="15"/>
                <w:szCs w:val="15"/>
                <w:color w:val="auto"/>
              </w:rPr>
            </w:pPr>
          </w:p>
        </w:tc>
        <w:tc>
          <w:tcPr>
            <w:tcW w:w="240" w:type="dxa"/>
            <w:vAlign w:val="bottom"/>
            <w:gridSpan w:val="4"/>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132.1</w:t>
            </w:r>
          </w:p>
        </w:tc>
        <w:tc>
          <w:tcPr>
            <w:tcW w:w="80" w:type="dxa"/>
            <w:vAlign w:val="bottom"/>
          </w:tcPr>
          <w:p>
            <w:pPr>
              <w:spacing w:after="0"/>
              <w:rPr>
                <w:sz w:val="15"/>
                <w:szCs w:val="15"/>
                <w:color w:val="auto"/>
              </w:rPr>
            </w:pP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598.4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3,814.8</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Aviation Services</w:t>
            </w:r>
            <w:r>
              <w:rPr>
                <w:rFonts w:ascii="Arial" w:cs="Arial" w:eastAsia="Arial" w:hAnsi="Arial"/>
                <w:sz w:val="16"/>
                <w:szCs w:val="16"/>
                <w:color w:val="auto"/>
                <w:vertAlign w:val="superscript"/>
              </w:rPr>
              <w:t>(2)</w:t>
            </w:r>
          </w:p>
        </w:tc>
        <w:tc>
          <w:tcPr>
            <w:tcW w:w="140" w:type="dxa"/>
            <w:vAlign w:val="bottom"/>
            <w:shd w:val="clear" w:color="auto" w:fill="DCE2EF"/>
          </w:tcPr>
          <w:p>
            <w:pPr>
              <w:spacing w:after="0"/>
              <w:rPr>
                <w:sz w:val="15"/>
                <w:szCs w:val="15"/>
                <w:color w:val="auto"/>
              </w:rPr>
            </w:pPr>
          </w:p>
        </w:tc>
        <w:tc>
          <w:tcPr>
            <w:tcW w:w="640" w:type="dxa"/>
            <w:vAlign w:val="bottom"/>
            <w:gridSpan w:val="2"/>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380" w:type="dxa"/>
            <w:vAlign w:val="bottom"/>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118.8</w:t>
            </w: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0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78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5"/>
                <w:szCs w:val="15"/>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118.8</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640" w:type="dxa"/>
            <w:vAlign w:val="bottom"/>
            <w:gridSpan w:val="3"/>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gridSpan w:val="2"/>
            <w:shd w:val="clear" w:color="auto" w:fill="DCE2E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341.2</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2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86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CE2EF"/>
          </w:tcPr>
          <w:p>
            <w:pPr>
              <w:spacing w:after="0"/>
              <w:rPr>
                <w:sz w:val="15"/>
                <w:szCs w:val="15"/>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341.2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Parking and</w:t>
            </w:r>
          </w:p>
        </w:tc>
        <w:tc>
          <w:tcPr>
            <w:tcW w:w="140" w:type="dxa"/>
            <w:vAlign w:val="bottom"/>
          </w:tcPr>
          <w:p>
            <w:pPr>
              <w:spacing w:after="0"/>
              <w:rPr>
                <w:sz w:val="11"/>
                <w:szCs w:val="11"/>
                <w:color w:val="auto"/>
              </w:rPr>
            </w:pP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color w:val="auto"/>
              </w:rPr>
              <w:t>106.0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247.5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180"/>
        </w:trPr>
        <w:tc>
          <w:tcPr>
            <w:tcW w:w="20" w:type="dxa"/>
            <w:vAlign w:val="bottom"/>
            <w:tcBorders>
              <w:bottom w:val="single" w:sz="8" w:color="DCE2EF"/>
            </w:tcBorders>
          </w:tcPr>
          <w:p>
            <w:pPr>
              <w:spacing w:after="0"/>
              <w:rPr>
                <w:sz w:val="15"/>
                <w:szCs w:val="15"/>
                <w:color w:val="auto"/>
              </w:rPr>
            </w:pPr>
          </w:p>
        </w:tc>
        <w:tc>
          <w:tcPr>
            <w:tcW w:w="1420" w:type="dxa"/>
            <w:vAlign w:val="bottom"/>
            <w:tcBorders>
              <w:bottom w:val="single" w:sz="8" w:color="DCE2EF"/>
            </w:tcBorders>
            <w:gridSpan w:val="2"/>
          </w:tcPr>
          <w:p>
            <w:pPr>
              <w:ind w:left="100"/>
              <w:spacing w:after="0" w:line="181" w:lineRule="exact"/>
              <w:rPr>
                <w:sz w:val="20"/>
                <w:szCs w:val="20"/>
                <w:color w:val="auto"/>
              </w:rPr>
            </w:pPr>
            <w:r>
              <w:rPr>
                <w:rFonts w:ascii="Arial" w:cs="Arial" w:eastAsia="Arial" w:hAnsi="Arial"/>
                <w:sz w:val="13"/>
                <w:szCs w:val="13"/>
                <w:color w:val="auto"/>
              </w:rPr>
              <w:t>Transportation</w:t>
            </w:r>
            <w:r>
              <w:rPr>
                <w:rFonts w:ascii="Arial" w:cs="Arial" w:eastAsia="Arial" w:hAnsi="Arial"/>
                <w:sz w:val="16"/>
                <w:szCs w:val="16"/>
                <w:color w:val="auto"/>
                <w:vertAlign w:val="superscript"/>
              </w:rPr>
              <w:t>(3)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Facility Solutions</w:t>
            </w: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802.1</w:t>
            </w: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339.3</w:t>
            </w:r>
          </w:p>
        </w:tc>
        <w:tc>
          <w:tcPr>
            <w:tcW w:w="260" w:type="dxa"/>
            <w:vAlign w:val="bottom"/>
            <w:gridSpan w:val="3"/>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257.2</w:t>
            </w: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200.7</w:t>
            </w: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1,599.4</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2,382.5</w:t>
            </w: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96"/>
              </w:rPr>
              <w:t>1,051.5</w:t>
            </w:r>
          </w:p>
        </w:tc>
        <w:tc>
          <w:tcPr>
            <w:tcW w:w="20" w:type="dxa"/>
            <w:vAlign w:val="bottom"/>
            <w:shd w:val="clear" w:color="auto" w:fill="DCE2EF"/>
          </w:tcPr>
          <w:p>
            <w:pPr>
              <w:spacing w:after="0"/>
              <w:rPr>
                <w:sz w:val="15"/>
                <w:szCs w:val="15"/>
                <w:color w:val="auto"/>
              </w:rPr>
            </w:pPr>
          </w:p>
        </w:tc>
        <w:tc>
          <w:tcPr>
            <w:tcW w:w="240" w:type="dxa"/>
            <w:vAlign w:val="bottom"/>
            <w:gridSpan w:val="4"/>
            <w:shd w:val="clear" w:color="auto" w:fill="DCE2EF"/>
          </w:tcPr>
          <w:p>
            <w:pPr>
              <w:jc w:val="right"/>
              <w:ind w:right="17"/>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720.8</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60" w:type="dxa"/>
            <w:vAlign w:val="bottom"/>
            <w:gridSpan w:val="2"/>
            <w:shd w:val="clear" w:color="auto" w:fill="DCE2E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598.7</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4,753.5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1420" w:type="dxa"/>
            <w:vAlign w:val="bottom"/>
            <w:gridSpan w:val="2"/>
            <w:shd w:val="clear" w:color="auto" w:fill="DCE2EF"/>
          </w:tcPr>
          <w:p>
            <w:pPr>
              <w:ind w:left="100"/>
              <w:spacing w:after="0" w:line="129" w:lineRule="exact"/>
              <w:rPr>
                <w:sz w:val="20"/>
                <w:szCs w:val="20"/>
                <w:color w:val="auto"/>
              </w:rPr>
            </w:pPr>
            <w:r>
              <w:rPr>
                <w:rFonts w:ascii="Arial" w:cs="Arial" w:eastAsia="Arial" w:hAnsi="Arial"/>
                <w:sz w:val="13"/>
                <w:szCs w:val="13"/>
                <w:color w:val="auto"/>
              </w:rPr>
              <w:t>Operations and</w:t>
            </w: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color w:val="auto"/>
              </w:rPr>
              <w:t>208.5</w:t>
            </w: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38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37.8</w:t>
            </w: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27.6</w:t>
            </w: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8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285.1</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650.8</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115.1</w:t>
            </w: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35.3</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75.4</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60" w:type="dxa"/>
            <w:vAlign w:val="bottom"/>
            <w:gridSpan w:val="3"/>
            <w:vMerge w:val="restart"/>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876.6</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Maintenance</w:t>
            </w:r>
            <w:r>
              <w:rPr>
                <w:rFonts w:ascii="Arial" w:cs="Arial" w:eastAsia="Arial" w:hAnsi="Arial"/>
                <w:sz w:val="16"/>
                <w:szCs w:val="16"/>
                <w:color w:val="auto"/>
                <w:vertAlign w:val="superscript"/>
              </w:rPr>
              <w:t>(4)</w:t>
            </w:r>
          </w:p>
        </w:tc>
        <w:tc>
          <w:tcPr>
            <w:tcW w:w="14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80" w:type="dxa"/>
            <w:vAlign w:val="bottom"/>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780" w:type="dxa"/>
            <w:vAlign w:val="bottom"/>
            <w:gridSpan w:val="2"/>
            <w:vMerge w:val="continue"/>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0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60" w:type="dxa"/>
            <w:vAlign w:val="bottom"/>
            <w:gridSpan w:val="3"/>
            <w:vMerge w:val="continue"/>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Building &amp; Energy</w:t>
            </w:r>
          </w:p>
        </w:tc>
        <w:tc>
          <w:tcPr>
            <w:tcW w:w="14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209.7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551.9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551.9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Solutions</w:t>
            </w:r>
            <w:r>
              <w:rPr>
                <w:rFonts w:ascii="Arial" w:cs="Arial" w:eastAsia="Arial" w:hAnsi="Arial"/>
                <w:sz w:val="16"/>
                <w:szCs w:val="16"/>
                <w:color w:val="auto"/>
                <w:vertAlign w:val="superscript"/>
              </w:rPr>
              <w:t>(5)</w:t>
            </w: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DCE2EF"/>
            </w:tcBorders>
            <w:shd w:val="clear" w:color="auto" w:fill="DCE2EF"/>
          </w:tcPr>
          <w:p>
            <w:pPr>
              <w:spacing w:after="0"/>
              <w:rPr>
                <w:sz w:val="9"/>
                <w:szCs w:val="9"/>
                <w:color w:val="auto"/>
              </w:rPr>
            </w:pPr>
          </w:p>
        </w:tc>
        <w:tc>
          <w:tcPr>
            <w:tcW w:w="1420" w:type="dxa"/>
            <w:vAlign w:val="bottom"/>
            <w:tcBorders>
              <w:top w:val="single" w:sz="8" w:color="DCE2EF"/>
            </w:tcBorders>
            <w:gridSpan w:val="2"/>
            <w:shd w:val="clear" w:color="auto" w:fill="DCE2EF"/>
          </w:tcPr>
          <w:p>
            <w:pPr>
              <w:ind w:left="100"/>
              <w:spacing w:after="0" w:line="109" w:lineRule="exact"/>
              <w:rPr>
                <w:sz w:val="20"/>
                <w:szCs w:val="20"/>
                <w:color w:val="auto"/>
              </w:rPr>
            </w:pPr>
            <w:r>
              <w:rPr>
                <w:rFonts w:ascii="Arial" w:cs="Arial" w:eastAsia="Arial" w:hAnsi="Arial"/>
                <w:sz w:val="12"/>
                <w:szCs w:val="12"/>
                <w:b w:val="1"/>
                <w:bCs w:val="1"/>
                <w:color w:val="auto"/>
              </w:rPr>
              <w:t>Engineering and</w:t>
            </w: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38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60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7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0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160" w:type="dxa"/>
            <w:vAlign w:val="bottom"/>
            <w:tcBorders>
              <w:top w:val="single" w:sz="8" w:color="auto"/>
            </w:tcBorders>
            <w:shd w:val="clear" w:color="auto" w:fill="DCE2EF"/>
          </w:tcPr>
          <w:p>
            <w:pPr>
              <w:spacing w:after="0"/>
              <w:rPr>
                <w:sz w:val="9"/>
                <w:szCs w:val="9"/>
                <w:color w:val="auto"/>
              </w:rPr>
            </w:pPr>
          </w:p>
        </w:tc>
        <w:tc>
          <w:tcPr>
            <w:tcW w:w="54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20" w:type="dxa"/>
            <w:vAlign w:val="bottom"/>
            <w:tcBorders>
              <w:top w:val="single" w:sz="8" w:color="DCE2EF"/>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4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50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54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20" w:type="dxa"/>
            <w:vAlign w:val="bottom"/>
            <w:tcBorders>
              <w:top w:val="single" w:sz="8" w:color="DCE2EF"/>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7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6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DCE2EF"/>
          </w:tcPr>
          <w:p>
            <w:pPr>
              <w:spacing w:after="0"/>
              <w:rPr>
                <w:sz w:val="12"/>
                <w:szCs w:val="12"/>
                <w:color w:val="auto"/>
              </w:rPr>
            </w:pPr>
          </w:p>
        </w:tc>
        <w:tc>
          <w:tcPr>
            <w:tcW w:w="1420" w:type="dxa"/>
            <w:vAlign w:val="bottom"/>
            <w:gridSpan w:val="2"/>
            <w:shd w:val="clear" w:color="auto" w:fill="DCE2EF"/>
          </w:tcPr>
          <w:p>
            <w:pPr>
              <w:ind w:left="100"/>
              <w:spacing w:after="0" w:line="141" w:lineRule="exact"/>
              <w:rPr>
                <w:sz w:val="20"/>
                <w:szCs w:val="20"/>
                <w:color w:val="auto"/>
              </w:rPr>
            </w:pPr>
            <w:r>
              <w:rPr>
                <w:rFonts w:ascii="Arial" w:cs="Arial" w:eastAsia="Arial" w:hAnsi="Arial"/>
                <w:sz w:val="13"/>
                <w:szCs w:val="13"/>
                <w:b w:val="1"/>
                <w:bCs w:val="1"/>
                <w:color w:val="auto"/>
              </w:rPr>
              <w:t>Infrastructure</w:t>
            </w: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208.5</w:t>
            </w:r>
          </w:p>
        </w:tc>
        <w:tc>
          <w:tcPr>
            <w:tcW w:w="8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37.8</w:t>
            </w:r>
          </w:p>
        </w:tc>
        <w:tc>
          <w:tcPr>
            <w:tcW w:w="260" w:type="dxa"/>
            <w:vAlign w:val="bottom"/>
            <w:gridSpan w:val="3"/>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11.2</w:t>
            </w:r>
          </w:p>
        </w:tc>
        <w:tc>
          <w:tcPr>
            <w:tcW w:w="80" w:type="dxa"/>
            <w:vAlign w:val="bottom"/>
            <w:shd w:val="clear" w:color="auto" w:fill="DCE2EF"/>
          </w:tcPr>
          <w:p>
            <w:pPr>
              <w:spacing w:after="0"/>
              <w:rPr>
                <w:sz w:val="12"/>
                <w:szCs w:val="12"/>
                <w:color w:val="auto"/>
              </w:rPr>
            </w:pPr>
          </w:p>
        </w:tc>
        <w:tc>
          <w:tcPr>
            <w:tcW w:w="1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27.6</w:t>
            </w:r>
          </w:p>
        </w:tc>
        <w:tc>
          <w:tcPr>
            <w:tcW w:w="8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209.7</w:t>
            </w:r>
          </w:p>
        </w:tc>
        <w:tc>
          <w:tcPr>
            <w:tcW w:w="80" w:type="dxa"/>
            <w:vAlign w:val="bottom"/>
            <w:shd w:val="clear" w:color="auto" w:fill="DCE2EF"/>
          </w:tcPr>
          <w:p>
            <w:pPr>
              <w:spacing w:after="0"/>
              <w:rPr>
                <w:sz w:val="12"/>
                <w:szCs w:val="12"/>
                <w:color w:val="auto"/>
              </w:rPr>
            </w:pPr>
          </w:p>
        </w:tc>
        <w:tc>
          <w:tcPr>
            <w:tcW w:w="1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494.8</w:t>
            </w:r>
          </w:p>
        </w:tc>
        <w:tc>
          <w:tcPr>
            <w:tcW w:w="20" w:type="dxa"/>
            <w:vAlign w:val="bottom"/>
            <w:shd w:val="clear" w:color="auto" w:fill="DCE2EF"/>
          </w:tcPr>
          <w:p>
            <w:pPr>
              <w:spacing w:after="0"/>
              <w:rPr>
                <w:sz w:val="12"/>
                <w:szCs w:val="12"/>
                <w:color w:val="auto"/>
              </w:rPr>
            </w:pPr>
          </w:p>
        </w:tc>
        <w:tc>
          <w:tcPr>
            <w:tcW w:w="80" w:type="dxa"/>
            <w:vAlign w:val="bottom"/>
            <w:shd w:val="clear" w:color="auto" w:fill="DCE2EF"/>
          </w:tcPr>
          <w:p>
            <w:pPr>
              <w:spacing w:after="0"/>
              <w:rPr>
                <w:sz w:val="12"/>
                <w:szCs w:val="12"/>
                <w:color w:val="auto"/>
              </w:rPr>
            </w:pPr>
          </w:p>
        </w:tc>
        <w:tc>
          <w:tcPr>
            <w:tcW w:w="16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650.8</w:t>
            </w:r>
          </w:p>
        </w:tc>
        <w:tc>
          <w:tcPr>
            <w:tcW w:w="40" w:type="dxa"/>
            <w:vAlign w:val="bottom"/>
            <w:shd w:val="clear" w:color="auto" w:fill="DCE2EF"/>
          </w:tcPr>
          <w:p>
            <w:pPr>
              <w:spacing w:after="0"/>
              <w:rPr>
                <w:sz w:val="12"/>
                <w:szCs w:val="12"/>
                <w:color w:val="auto"/>
              </w:rPr>
            </w:pPr>
          </w:p>
        </w:tc>
        <w:tc>
          <w:tcPr>
            <w:tcW w:w="60" w:type="dxa"/>
            <w:vAlign w:val="bottom"/>
            <w:shd w:val="clear" w:color="auto" w:fill="DCE2EF"/>
          </w:tcPr>
          <w:p>
            <w:pPr>
              <w:spacing w:after="0"/>
              <w:rPr>
                <w:sz w:val="12"/>
                <w:szCs w:val="12"/>
                <w:color w:val="auto"/>
              </w:rPr>
            </w:pPr>
          </w:p>
        </w:tc>
        <w:tc>
          <w:tcPr>
            <w:tcW w:w="12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115.1</w:t>
            </w:r>
          </w:p>
        </w:tc>
        <w:tc>
          <w:tcPr>
            <w:tcW w:w="20" w:type="dxa"/>
            <w:vAlign w:val="bottom"/>
            <w:shd w:val="clear" w:color="auto" w:fill="DCE2EF"/>
          </w:tcPr>
          <w:p>
            <w:pPr>
              <w:spacing w:after="0"/>
              <w:rPr>
                <w:sz w:val="12"/>
                <w:szCs w:val="12"/>
                <w:color w:val="auto"/>
              </w:rPr>
            </w:pPr>
          </w:p>
        </w:tc>
        <w:tc>
          <w:tcPr>
            <w:tcW w:w="240" w:type="dxa"/>
            <w:vAlign w:val="bottom"/>
            <w:gridSpan w:val="4"/>
            <w:vMerge w:val="restart"/>
            <w:shd w:val="clear" w:color="auto" w:fill="DCE2EF"/>
          </w:tcPr>
          <w:p>
            <w:pPr>
              <w:jc w:val="right"/>
              <w:ind w:right="17"/>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35.3</w:t>
            </w:r>
          </w:p>
        </w:tc>
        <w:tc>
          <w:tcPr>
            <w:tcW w:w="80" w:type="dxa"/>
            <w:vAlign w:val="bottom"/>
            <w:shd w:val="clear" w:color="auto" w:fill="DCE2EF"/>
          </w:tcPr>
          <w:p>
            <w:pPr>
              <w:spacing w:after="0"/>
              <w:rPr>
                <w:sz w:val="12"/>
                <w:szCs w:val="12"/>
                <w:color w:val="auto"/>
              </w:rPr>
            </w:pPr>
          </w:p>
        </w:tc>
        <w:tc>
          <w:tcPr>
            <w:tcW w:w="180" w:type="dxa"/>
            <w:vAlign w:val="bottom"/>
            <w:gridSpan w:val="3"/>
            <w:vMerge w:val="restart"/>
            <w:shd w:val="clear" w:color="auto" w:fill="DCE2EF"/>
          </w:tcPr>
          <w:p>
            <w:pPr>
              <w:jc w:val="right"/>
              <w:ind w:right="16"/>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75.4</w:t>
            </w:r>
          </w:p>
        </w:tc>
        <w:tc>
          <w:tcPr>
            <w:tcW w:w="80" w:type="dxa"/>
            <w:vAlign w:val="bottom"/>
            <w:shd w:val="clear" w:color="auto" w:fill="DCE2EF"/>
          </w:tcPr>
          <w:p>
            <w:pPr>
              <w:spacing w:after="0"/>
              <w:rPr>
                <w:sz w:val="12"/>
                <w:szCs w:val="12"/>
                <w:color w:val="auto"/>
              </w:rPr>
            </w:pPr>
          </w:p>
        </w:tc>
        <w:tc>
          <w:tcPr>
            <w:tcW w:w="2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551.9</w:t>
            </w:r>
          </w:p>
        </w:tc>
        <w:tc>
          <w:tcPr>
            <w:tcW w:w="80" w:type="dxa"/>
            <w:vAlign w:val="bottom"/>
            <w:shd w:val="clear" w:color="auto" w:fill="DCE2EF"/>
          </w:tcPr>
          <w:p>
            <w:pPr>
              <w:spacing w:after="0"/>
              <w:rPr>
                <w:sz w:val="12"/>
                <w:szCs w:val="12"/>
                <w:color w:val="auto"/>
              </w:rPr>
            </w:pPr>
          </w:p>
        </w:tc>
        <w:tc>
          <w:tcPr>
            <w:tcW w:w="20" w:type="dxa"/>
            <w:vAlign w:val="bottom"/>
            <w:shd w:val="clear" w:color="auto" w:fill="DCE2EF"/>
          </w:tcPr>
          <w:p>
            <w:pPr>
              <w:spacing w:after="0"/>
              <w:rPr>
                <w:sz w:val="12"/>
                <w:szCs w:val="12"/>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1,428.5</w:t>
            </w:r>
          </w:p>
        </w:tc>
        <w:tc>
          <w:tcPr>
            <w:tcW w:w="0" w:type="dxa"/>
            <w:vAlign w:val="bottom"/>
          </w:tcPr>
          <w:p>
            <w:pPr>
              <w:spacing w:after="0"/>
              <w:rPr>
                <w:sz w:val="1"/>
                <w:szCs w:val="1"/>
                <w:color w:val="auto"/>
              </w:rPr>
            </w:pPr>
          </w:p>
        </w:tc>
      </w:tr>
      <w:tr>
        <w:trPr>
          <w:trHeight w:val="169"/>
        </w:trPr>
        <w:tc>
          <w:tcPr>
            <w:tcW w:w="20" w:type="dxa"/>
            <w:vAlign w:val="bottom"/>
            <w:shd w:val="clear" w:color="auto" w:fill="DCE2EF"/>
          </w:tcPr>
          <w:p>
            <w:pPr>
              <w:spacing w:after="0"/>
              <w:rPr>
                <w:sz w:val="14"/>
                <w:szCs w:val="14"/>
                <w:color w:val="auto"/>
              </w:rPr>
            </w:pPr>
          </w:p>
        </w:tc>
        <w:tc>
          <w:tcPr>
            <w:tcW w:w="142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Solutions</w:t>
            </w:r>
          </w:p>
        </w:tc>
        <w:tc>
          <w:tcPr>
            <w:tcW w:w="140" w:type="dxa"/>
            <w:vAlign w:val="bottom"/>
            <w:vMerge w:val="continue"/>
            <w:shd w:val="clear" w:color="auto" w:fill="DCE2EF"/>
          </w:tcPr>
          <w:p>
            <w:pPr>
              <w:spacing w:after="0"/>
              <w:rPr>
                <w:sz w:val="14"/>
                <w:szCs w:val="14"/>
                <w:color w:val="auto"/>
              </w:rPr>
            </w:pPr>
          </w:p>
        </w:tc>
        <w:tc>
          <w:tcPr>
            <w:tcW w:w="56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20" w:type="dxa"/>
            <w:vAlign w:val="bottom"/>
            <w:vMerge w:val="continue"/>
            <w:shd w:val="clear" w:color="auto" w:fill="DCE2EF"/>
          </w:tcPr>
          <w:p>
            <w:pPr>
              <w:spacing w:after="0"/>
              <w:rPr>
                <w:sz w:val="14"/>
                <w:szCs w:val="14"/>
                <w:color w:val="auto"/>
              </w:rPr>
            </w:pPr>
          </w:p>
        </w:tc>
        <w:tc>
          <w:tcPr>
            <w:tcW w:w="380" w:type="dxa"/>
            <w:vAlign w:val="bottom"/>
            <w:vMerge w:val="continue"/>
            <w:shd w:val="clear" w:color="auto" w:fill="DCE2EF"/>
          </w:tcPr>
          <w:p>
            <w:pPr>
              <w:spacing w:after="0"/>
              <w:rPr>
                <w:sz w:val="14"/>
                <w:szCs w:val="14"/>
                <w:color w:val="auto"/>
              </w:rPr>
            </w:pPr>
          </w:p>
        </w:tc>
        <w:tc>
          <w:tcPr>
            <w:tcW w:w="260" w:type="dxa"/>
            <w:vAlign w:val="bottom"/>
            <w:gridSpan w:val="3"/>
            <w:vMerge w:val="continue"/>
            <w:shd w:val="clear" w:color="auto" w:fill="DCE2EF"/>
          </w:tcPr>
          <w:p>
            <w:pPr>
              <w:spacing w:after="0"/>
              <w:rPr>
                <w:sz w:val="14"/>
                <w:szCs w:val="14"/>
                <w:color w:val="auto"/>
              </w:rPr>
            </w:pPr>
          </w:p>
        </w:tc>
        <w:tc>
          <w:tcPr>
            <w:tcW w:w="60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00" w:type="dxa"/>
            <w:vAlign w:val="bottom"/>
            <w:vMerge w:val="continue"/>
            <w:shd w:val="clear" w:color="auto" w:fill="DCE2EF"/>
          </w:tcPr>
          <w:p>
            <w:pPr>
              <w:spacing w:after="0"/>
              <w:rPr>
                <w:sz w:val="14"/>
                <w:szCs w:val="14"/>
                <w:color w:val="auto"/>
              </w:rPr>
            </w:pPr>
          </w:p>
        </w:tc>
        <w:tc>
          <w:tcPr>
            <w:tcW w:w="72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20" w:type="dxa"/>
            <w:vAlign w:val="bottom"/>
            <w:vMerge w:val="continue"/>
            <w:shd w:val="clear" w:color="auto" w:fill="DCE2EF"/>
          </w:tcPr>
          <w:p>
            <w:pPr>
              <w:spacing w:after="0"/>
              <w:rPr>
                <w:sz w:val="14"/>
                <w:szCs w:val="14"/>
                <w:color w:val="auto"/>
              </w:rPr>
            </w:pPr>
          </w:p>
        </w:tc>
        <w:tc>
          <w:tcPr>
            <w:tcW w:w="70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60" w:type="dxa"/>
            <w:vAlign w:val="bottom"/>
            <w:vMerge w:val="continue"/>
            <w:shd w:val="clear" w:color="auto" w:fill="DCE2EF"/>
          </w:tcPr>
          <w:p>
            <w:pPr>
              <w:spacing w:after="0"/>
              <w:rPr>
                <w:sz w:val="14"/>
                <w:szCs w:val="14"/>
                <w:color w:val="auto"/>
              </w:rPr>
            </w:pPr>
          </w:p>
        </w:tc>
        <w:tc>
          <w:tcPr>
            <w:tcW w:w="540" w:type="dxa"/>
            <w:vAlign w:val="bottom"/>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60" w:type="dxa"/>
            <w:vAlign w:val="bottom"/>
            <w:gridSpan w:val="2"/>
            <w:vMerge w:val="continue"/>
            <w:shd w:val="clear" w:color="auto" w:fill="DCE2EF"/>
          </w:tcPr>
          <w:p>
            <w:pPr>
              <w:spacing w:after="0"/>
              <w:rPr>
                <w:sz w:val="14"/>
                <w:szCs w:val="14"/>
                <w:color w:val="auto"/>
              </w:rPr>
            </w:pPr>
          </w:p>
        </w:tc>
        <w:tc>
          <w:tcPr>
            <w:tcW w:w="540" w:type="dxa"/>
            <w:vAlign w:val="bottom"/>
            <w:vMerge w:val="continue"/>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120" w:type="dxa"/>
            <w:vAlign w:val="bottom"/>
            <w:gridSpan w:val="2"/>
            <w:vMerge w:val="continue"/>
            <w:shd w:val="clear" w:color="auto" w:fill="DCE2EF"/>
          </w:tcPr>
          <w:p>
            <w:pPr>
              <w:spacing w:after="0"/>
              <w:rPr>
                <w:sz w:val="14"/>
                <w:szCs w:val="14"/>
                <w:color w:val="auto"/>
              </w:rPr>
            </w:pPr>
          </w:p>
        </w:tc>
        <w:tc>
          <w:tcPr>
            <w:tcW w:w="500" w:type="dxa"/>
            <w:vAlign w:val="bottom"/>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240" w:type="dxa"/>
            <w:vAlign w:val="bottom"/>
            <w:gridSpan w:val="4"/>
            <w:vMerge w:val="continue"/>
            <w:shd w:val="clear" w:color="auto" w:fill="DCE2EF"/>
          </w:tcPr>
          <w:p>
            <w:pPr>
              <w:spacing w:after="0"/>
              <w:rPr>
                <w:sz w:val="14"/>
                <w:szCs w:val="14"/>
                <w:color w:val="auto"/>
              </w:rPr>
            </w:pPr>
          </w:p>
        </w:tc>
        <w:tc>
          <w:tcPr>
            <w:tcW w:w="54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80" w:type="dxa"/>
            <w:vAlign w:val="bottom"/>
            <w:gridSpan w:val="3"/>
            <w:vMerge w:val="continue"/>
            <w:shd w:val="clear" w:color="auto" w:fill="DCE2EF"/>
          </w:tcPr>
          <w:p>
            <w:pPr>
              <w:spacing w:after="0"/>
              <w:rPr>
                <w:sz w:val="14"/>
                <w:szCs w:val="14"/>
                <w:color w:val="auto"/>
              </w:rPr>
            </w:pPr>
          </w:p>
        </w:tc>
        <w:tc>
          <w:tcPr>
            <w:tcW w:w="72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20" w:type="dxa"/>
            <w:vAlign w:val="bottom"/>
            <w:vMerge w:val="continue"/>
            <w:shd w:val="clear" w:color="auto" w:fill="DCE2EF"/>
          </w:tcPr>
          <w:p>
            <w:pPr>
              <w:spacing w:after="0"/>
              <w:rPr>
                <w:sz w:val="14"/>
                <w:szCs w:val="14"/>
                <w:color w:val="auto"/>
              </w:rPr>
            </w:pPr>
          </w:p>
        </w:tc>
        <w:tc>
          <w:tcPr>
            <w:tcW w:w="76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40" w:type="dxa"/>
            <w:vAlign w:val="bottom"/>
            <w:vMerge w:val="continue"/>
            <w:shd w:val="clear" w:color="auto" w:fill="DCE2EF"/>
          </w:tcPr>
          <w:p>
            <w:pPr>
              <w:spacing w:after="0"/>
              <w:rPr>
                <w:sz w:val="14"/>
                <w:szCs w:val="14"/>
                <w:color w:val="auto"/>
              </w:rPr>
            </w:pPr>
          </w:p>
        </w:tc>
        <w:tc>
          <w:tcPr>
            <w:tcW w:w="560" w:type="dxa"/>
            <w:vAlign w:val="bottom"/>
            <w:vMerge w:val="continue"/>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44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16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44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1,010.6</w:t>
            </w: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377.1</w:t>
            </w:r>
          </w:p>
        </w:tc>
        <w:tc>
          <w:tcPr>
            <w:tcW w:w="260" w:type="dxa"/>
            <w:vAlign w:val="bottom"/>
            <w:gridSpan w:val="3"/>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268.4</w:t>
            </w:r>
          </w:p>
        </w:tc>
        <w:tc>
          <w:tcPr>
            <w:tcW w:w="80" w:type="dxa"/>
            <w:vAlign w:val="bottom"/>
            <w:shd w:val="clear" w:color="auto" w:fill="DCE2EF"/>
          </w:tcPr>
          <w:p>
            <w:pPr>
              <w:spacing w:after="0"/>
              <w:rPr>
                <w:sz w:val="17"/>
                <w:szCs w:val="17"/>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228.3</w:t>
            </w: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209.7</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2,094.2</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6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3,033.4</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12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96"/>
              </w:rPr>
              <w:t>1,166.6</w:t>
            </w:r>
          </w:p>
        </w:tc>
        <w:tc>
          <w:tcPr>
            <w:tcW w:w="20" w:type="dxa"/>
            <w:vAlign w:val="bottom"/>
            <w:shd w:val="clear" w:color="auto" w:fill="DCE2EF"/>
          </w:tcPr>
          <w:p>
            <w:pPr>
              <w:spacing w:after="0"/>
              <w:rPr>
                <w:sz w:val="17"/>
                <w:szCs w:val="17"/>
                <w:color w:val="auto"/>
              </w:rPr>
            </w:pPr>
          </w:p>
        </w:tc>
        <w:tc>
          <w:tcPr>
            <w:tcW w:w="240" w:type="dxa"/>
            <w:vAlign w:val="bottom"/>
            <w:gridSpan w:val="4"/>
            <w:shd w:val="clear" w:color="auto" w:fill="DCE2EF"/>
          </w:tcPr>
          <w:p>
            <w:pPr>
              <w:jc w:val="right"/>
              <w:ind w:right="17"/>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756.1</w:t>
            </w:r>
          </w:p>
        </w:tc>
        <w:tc>
          <w:tcPr>
            <w:tcW w:w="80" w:type="dxa"/>
            <w:vAlign w:val="bottom"/>
            <w:shd w:val="clear" w:color="auto" w:fill="DCE2EF"/>
          </w:tcPr>
          <w:p>
            <w:pPr>
              <w:spacing w:after="0"/>
              <w:rPr>
                <w:sz w:val="17"/>
                <w:szCs w:val="17"/>
                <w:color w:val="auto"/>
              </w:rPr>
            </w:pPr>
          </w:p>
        </w:tc>
        <w:tc>
          <w:tcPr>
            <w:tcW w:w="180" w:type="dxa"/>
            <w:vAlign w:val="bottom"/>
            <w:gridSpan w:val="3"/>
            <w:shd w:val="clear" w:color="auto" w:fill="DCE2EF"/>
          </w:tcPr>
          <w:p>
            <w:pPr>
              <w:jc w:val="right"/>
              <w:ind w:right="16"/>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674.0</w:t>
            </w: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551.9</w:t>
            </w: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6,182.0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 w:name="page14"/>
    <w:bookmarkEnd w:id="13"/>
    <w:p>
      <w:pPr>
        <w:jc w:val="both"/>
        <w:ind w:left="160" w:hanging="157"/>
        <w:spacing w:after="0" w:line="241" w:lineRule="auto"/>
        <w:tabs>
          <w:tab w:leader="none" w:pos="175"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0" w:lineRule="exact"/>
        <w:rPr>
          <w:rFonts w:ascii="Arial" w:cs="Arial" w:eastAsia="Arial" w:hAnsi="Arial"/>
          <w:sz w:val="20"/>
          <w:szCs w:val="20"/>
          <w:color w:val="auto"/>
          <w:vertAlign w:val="superscript"/>
        </w:rPr>
      </w:pPr>
    </w:p>
    <w:p>
      <w:pPr>
        <w:ind w:left="160" w:hanging="157"/>
        <w:spacing w:after="0" w:line="236" w:lineRule="auto"/>
        <w:tabs>
          <w:tab w:leader="none" w:pos="189"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Aviation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81" w:lineRule="exact"/>
        <w:rPr>
          <w:rFonts w:ascii="Arial" w:cs="Arial" w:eastAsia="Arial" w:hAnsi="Arial"/>
          <w:sz w:val="20"/>
          <w:szCs w:val="20"/>
          <w:color w:val="auto"/>
          <w:vertAlign w:val="superscript"/>
        </w:rPr>
      </w:pPr>
    </w:p>
    <w:p>
      <w:pPr>
        <w:jc w:val="both"/>
        <w:ind w:left="160" w:hanging="157"/>
        <w:spacing w:after="0" w:line="358" w:lineRule="auto"/>
        <w:tabs>
          <w:tab w:leader="none" w:pos="15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2" w:lineRule="exact"/>
        <w:rPr>
          <w:rFonts w:ascii="Arial" w:cs="Arial" w:eastAsia="Arial" w:hAnsi="Arial"/>
          <w:sz w:val="18"/>
          <w:szCs w:val="18"/>
          <w:color w:val="auto"/>
          <w:vertAlign w:val="superscript"/>
        </w:rPr>
      </w:pPr>
    </w:p>
    <w:p>
      <w:pPr>
        <w:jc w:val="both"/>
        <w:ind w:left="160" w:hanging="157"/>
        <w:spacing w:after="0" w:line="265" w:lineRule="auto"/>
        <w:tabs>
          <w:tab w:leader="none" w:pos="15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Operations and Maintenance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253" w:lineRule="exact"/>
        <w:rPr>
          <w:rFonts w:ascii="Arial" w:cs="Arial" w:eastAsia="Arial" w:hAnsi="Arial"/>
          <w:sz w:val="18"/>
          <w:szCs w:val="18"/>
          <w:color w:val="auto"/>
          <w:vertAlign w:val="superscript"/>
        </w:rPr>
      </w:pPr>
    </w:p>
    <w:p>
      <w:pPr>
        <w:jc w:val="both"/>
        <w:ind w:left="160" w:hanging="157"/>
        <w:spacing w:after="0" w:line="249" w:lineRule="auto"/>
        <w:tabs>
          <w:tab w:leader="none" w:pos="169"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have arrangements under various contract types, as described in Note 2, “Basis of Presentation and Significant Accounting Policies,” in our Annual Report on Form 10-K for the year ended October 31, 2024.</w:t>
      </w:r>
    </w:p>
    <w:p>
      <w:pPr>
        <w:spacing w:after="0" w:line="9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32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Remaining Performance Obligations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July 31, 2025, performance obligations that were unsatisfied for which we expect to recognize revenue totaled $273.0 million. We expect to recognize revenue on approximately 77% of the remaining performance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obligations over the next 12 months, with the remainder recognized thereafter, based on our estimates of project timing.</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164FA2"/>
        </w:rPr>
        <w:t>Contract Balances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timing of revenue recognition, billings, and cash collections results in contract assets and contract liabilities, as further explained below.</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timing of revenue recognition may differ from the timing of invoicing to customers.</w:t>
      </w:r>
    </w:p>
    <w:p>
      <w:pPr>
        <w:spacing w:after="0" w:line="150"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balances in our contract assets and contract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7"/>
                <w:szCs w:val="17"/>
                <w:b w:val="1"/>
                <w:bCs w:val="1"/>
                <w:color w:val="auto"/>
              </w:rPr>
              <w:t>July 31, 2025</w:t>
            </w:r>
          </w:p>
        </w:tc>
        <w:tc>
          <w:tcPr>
            <w:tcW w:w="260" w:type="dxa"/>
            <w:vAlign w:val="bottom"/>
          </w:tcPr>
          <w:p>
            <w:pPr>
              <w:spacing w:after="0"/>
              <w:rPr>
                <w:sz w:val="18"/>
                <w:szCs w:val="18"/>
                <w:color w:val="auto"/>
              </w:rPr>
            </w:pPr>
          </w:p>
        </w:tc>
        <w:tc>
          <w:tcPr>
            <w:tcW w:w="1960" w:type="dxa"/>
            <w:vAlign w:val="bottom"/>
          </w:tcPr>
          <w:p>
            <w:pPr>
              <w:jc w:val="right"/>
              <w:ind w:right="341"/>
              <w:spacing w:after="0"/>
              <w:rPr>
                <w:sz w:val="20"/>
                <w:szCs w:val="20"/>
                <w:color w:val="auto"/>
              </w:rPr>
            </w:pPr>
            <w:r>
              <w:rPr>
                <w:rFonts w:ascii="Arial" w:cs="Arial" w:eastAsia="Arial" w:hAnsi="Arial"/>
                <w:sz w:val="17"/>
                <w:szCs w:val="17"/>
                <w:b w:val="1"/>
                <w:bCs w:val="1"/>
                <w:color w:val="auto"/>
              </w:rPr>
              <w:t>October 31, 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0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6"/>
        </w:trPr>
        <w:tc>
          <w:tcPr>
            <w:tcW w:w="67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Contract assets</w:t>
            </w:r>
          </w:p>
        </w:tc>
        <w:tc>
          <w:tcPr>
            <w:tcW w:w="340" w:type="dxa"/>
            <w:vAlign w:val="bottom"/>
            <w:shd w:val="clear" w:color="auto" w:fill="DCE2EF"/>
          </w:tcPr>
          <w:p>
            <w:pPr>
              <w:spacing w:after="0"/>
              <w:rPr>
                <w:sz w:val="16"/>
                <w:szCs w:val="16"/>
                <w:color w:val="auto"/>
              </w:rPr>
            </w:pPr>
          </w:p>
        </w:tc>
        <w:tc>
          <w:tcPr>
            <w:tcW w:w="18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1960" w:type="dxa"/>
            <w:vAlign w:val="bottom"/>
            <w:shd w:val="clear" w:color="auto" w:fill="DCE2E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6680" w:type="dxa"/>
            <w:vAlign w:val="bottom"/>
            <w:gridSpan w:val="2"/>
          </w:tcPr>
          <w:p>
            <w:pPr>
              <w:ind w:left="200"/>
              <w:spacing w:after="0" w:line="207" w:lineRule="exact"/>
              <w:rPr>
                <w:sz w:val="20"/>
                <w:szCs w:val="20"/>
                <w:color w:val="auto"/>
              </w:rPr>
            </w:pPr>
            <w:r>
              <w:rPr>
                <w:rFonts w:ascii="Arial" w:cs="Arial" w:eastAsia="Arial" w:hAnsi="Arial"/>
                <w:sz w:val="15"/>
                <w:szCs w:val="15"/>
                <w:color w:val="auto"/>
              </w:rPr>
              <w:t>Billed trade receivables</w:t>
            </w:r>
            <w:r>
              <w:rPr>
                <w:rFonts w:ascii="Arial" w:cs="Arial" w:eastAsia="Arial" w:hAnsi="Arial"/>
                <w:sz w:val="20"/>
                <w:szCs w:val="20"/>
                <w:color w:val="auto"/>
                <w:vertAlign w:val="superscript"/>
              </w:rPr>
              <w:t>(1)</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1"/>
              <w:spacing w:after="0"/>
              <w:rPr>
                <w:sz w:val="20"/>
                <w:szCs w:val="20"/>
                <w:color w:val="auto"/>
              </w:rPr>
            </w:pPr>
            <w:r>
              <w:rPr>
                <w:rFonts w:ascii="Arial" w:cs="Arial" w:eastAsia="Arial" w:hAnsi="Arial"/>
                <w:sz w:val="15"/>
                <w:szCs w:val="15"/>
                <w:color w:val="auto"/>
              </w:rPr>
              <w:t>1,262.4</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1,282.9</w:t>
            </w:r>
          </w:p>
        </w:tc>
      </w:tr>
      <w:tr>
        <w:trPr>
          <w:trHeight w:val="206"/>
        </w:trPr>
        <w:tc>
          <w:tcPr>
            <w:tcW w:w="20" w:type="dxa"/>
            <w:vAlign w:val="bottom"/>
            <w:shd w:val="clear" w:color="auto" w:fill="DCE2EF"/>
          </w:tcPr>
          <w:p>
            <w:pPr>
              <w:spacing w:after="0"/>
              <w:rPr>
                <w:sz w:val="17"/>
                <w:szCs w:val="17"/>
                <w:color w:val="auto"/>
              </w:rPr>
            </w:pPr>
          </w:p>
        </w:tc>
        <w:tc>
          <w:tcPr>
            <w:tcW w:w="6680" w:type="dxa"/>
            <w:vAlign w:val="bottom"/>
            <w:gridSpan w:val="2"/>
            <w:shd w:val="clear" w:color="auto" w:fill="DCE2EF"/>
          </w:tcPr>
          <w:p>
            <w:pPr>
              <w:ind w:left="200"/>
              <w:spacing w:after="0" w:line="207" w:lineRule="exact"/>
              <w:rPr>
                <w:sz w:val="20"/>
                <w:szCs w:val="20"/>
                <w:color w:val="auto"/>
              </w:rPr>
            </w:pPr>
            <w:r>
              <w:rPr>
                <w:rFonts w:ascii="Arial" w:cs="Arial" w:eastAsia="Arial" w:hAnsi="Arial"/>
                <w:sz w:val="15"/>
                <w:szCs w:val="15"/>
                <w:color w:val="auto"/>
              </w:rPr>
              <w:t>Unbilled trade receivables</w:t>
            </w:r>
            <w:r>
              <w:rPr>
                <w:rFonts w:ascii="Arial" w:cs="Arial" w:eastAsia="Arial" w:hAnsi="Arial"/>
                <w:sz w:val="20"/>
                <w:szCs w:val="20"/>
                <w:color w:val="auto"/>
                <w:vertAlign w:val="superscript"/>
              </w:rPr>
              <w:t>(1)</w:t>
            </w:r>
          </w:p>
        </w:tc>
        <w:tc>
          <w:tcPr>
            <w:tcW w:w="340" w:type="dxa"/>
            <w:vAlign w:val="bottom"/>
            <w:shd w:val="clear" w:color="auto" w:fill="DCE2EF"/>
          </w:tcPr>
          <w:p>
            <w:pPr>
              <w:spacing w:after="0"/>
              <w:rPr>
                <w:sz w:val="17"/>
                <w:szCs w:val="17"/>
                <w:color w:val="auto"/>
              </w:rPr>
            </w:pPr>
          </w:p>
        </w:tc>
        <w:tc>
          <w:tcPr>
            <w:tcW w:w="1880" w:type="dxa"/>
            <w:vAlign w:val="bottom"/>
            <w:shd w:val="clear" w:color="auto" w:fill="DCE2EF"/>
          </w:tcPr>
          <w:p>
            <w:pPr>
              <w:jc w:val="right"/>
              <w:ind w:right="1"/>
              <w:spacing w:after="0"/>
              <w:rPr>
                <w:sz w:val="20"/>
                <w:szCs w:val="20"/>
                <w:color w:val="auto"/>
              </w:rPr>
            </w:pPr>
            <w:r>
              <w:rPr>
                <w:rFonts w:ascii="Arial" w:cs="Arial" w:eastAsia="Arial" w:hAnsi="Arial"/>
                <w:sz w:val="15"/>
                <w:szCs w:val="15"/>
                <w:color w:val="auto"/>
              </w:rPr>
              <w:t>257.7</w:t>
            </w:r>
          </w:p>
        </w:tc>
        <w:tc>
          <w:tcPr>
            <w:tcW w:w="10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124.0</w:t>
            </w:r>
          </w:p>
        </w:tc>
      </w:tr>
      <w:tr>
        <w:trPr>
          <w:trHeight w:val="205"/>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5"/>
                <w:szCs w:val="15"/>
                <w:color w:val="auto"/>
              </w:rPr>
              <w:t>Costs incurred in excess of amounts billed</w:t>
            </w:r>
          </w:p>
        </w:tc>
        <w:tc>
          <w:tcPr>
            <w:tcW w:w="340" w:type="dxa"/>
            <w:vAlign w:val="bottom"/>
          </w:tcPr>
          <w:p>
            <w:pPr>
              <w:spacing w:after="0"/>
              <w:rPr>
                <w:sz w:val="17"/>
                <w:szCs w:val="17"/>
                <w:color w:val="auto"/>
              </w:rPr>
            </w:pPr>
          </w:p>
        </w:tc>
        <w:tc>
          <w:tcPr>
            <w:tcW w:w="1880" w:type="dxa"/>
            <w:vAlign w:val="bottom"/>
          </w:tcPr>
          <w:p>
            <w:pPr>
              <w:jc w:val="right"/>
              <w:ind w:right="1"/>
              <w:spacing w:after="0"/>
              <w:rPr>
                <w:sz w:val="20"/>
                <w:szCs w:val="20"/>
                <w:color w:val="auto"/>
              </w:rPr>
            </w:pPr>
            <w:r>
              <w:rPr>
                <w:rFonts w:ascii="Arial" w:cs="Arial" w:eastAsia="Arial" w:hAnsi="Arial"/>
                <w:sz w:val="15"/>
                <w:szCs w:val="15"/>
                <w:color w:val="auto"/>
              </w:rPr>
              <w:t>159.1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162.1</w:t>
            </w:r>
          </w:p>
        </w:tc>
      </w:tr>
      <w:tr>
        <w:trPr>
          <w:trHeight w:val="207"/>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07" w:lineRule="exact"/>
              <w:rPr>
                <w:sz w:val="20"/>
                <w:szCs w:val="20"/>
                <w:color w:val="auto"/>
              </w:rPr>
            </w:pPr>
            <w:r>
              <w:rPr>
                <w:rFonts w:ascii="Arial" w:cs="Arial" w:eastAsia="Arial" w:hAnsi="Arial"/>
                <w:sz w:val="15"/>
                <w:szCs w:val="15"/>
                <w:color w:val="auto"/>
              </w:rPr>
              <w:t>Capitalized commissions</w:t>
            </w:r>
            <w:r>
              <w:rPr>
                <w:rFonts w:ascii="Arial" w:cs="Arial" w:eastAsia="Arial" w:hAnsi="Arial"/>
                <w:sz w:val="20"/>
                <w:szCs w:val="20"/>
                <w:color w:val="auto"/>
                <w:vertAlign w:val="superscript"/>
              </w:rPr>
              <w:t>(2)</w:t>
            </w:r>
          </w:p>
        </w:tc>
        <w:tc>
          <w:tcPr>
            <w:tcW w:w="340" w:type="dxa"/>
            <w:vAlign w:val="bottom"/>
            <w:shd w:val="clear" w:color="auto" w:fill="DCE2EF"/>
          </w:tcPr>
          <w:p>
            <w:pPr>
              <w:spacing w:after="0"/>
              <w:rPr>
                <w:sz w:val="18"/>
                <w:szCs w:val="18"/>
                <w:color w:val="auto"/>
              </w:rPr>
            </w:pPr>
          </w:p>
        </w:tc>
        <w:tc>
          <w:tcPr>
            <w:tcW w:w="1880" w:type="dxa"/>
            <w:vAlign w:val="bottom"/>
            <w:shd w:val="clear" w:color="auto" w:fill="DCE2EF"/>
          </w:tcPr>
          <w:p>
            <w:pPr>
              <w:jc w:val="right"/>
              <w:ind w:right="1"/>
              <w:spacing w:after="0"/>
              <w:rPr>
                <w:sz w:val="20"/>
                <w:szCs w:val="20"/>
                <w:color w:val="auto"/>
              </w:rPr>
            </w:pPr>
            <w:r>
              <w:rPr>
                <w:rFonts w:ascii="Arial" w:cs="Arial" w:eastAsia="Arial" w:hAnsi="Arial"/>
                <w:sz w:val="15"/>
                <w:szCs w:val="15"/>
                <w:color w:val="auto"/>
              </w:rPr>
              <w:t>32.4</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30.8</w:t>
            </w:r>
          </w:p>
        </w:tc>
      </w:tr>
    </w:tbl>
    <w:p>
      <w:pPr>
        <w:spacing w:after="0" w:line="270" w:lineRule="exact"/>
        <w:rPr>
          <w:sz w:val="20"/>
          <w:szCs w:val="20"/>
          <w:color w:val="auto"/>
        </w:rPr>
      </w:pPr>
    </w:p>
    <w:p>
      <w:pPr>
        <w:ind w:left="160" w:hanging="157"/>
        <w:spacing w:after="0"/>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Included in “Trade accounts receivable, net,” on the unaudited Consolidated Balance Sheets.</w:t>
      </w:r>
    </w:p>
    <w:p>
      <w:pPr>
        <w:spacing w:after="0" w:line="79" w:lineRule="exact"/>
        <w:rPr>
          <w:rFonts w:ascii="Arial" w:cs="Arial" w:eastAsia="Arial" w:hAnsi="Arial"/>
          <w:sz w:val="19"/>
          <w:szCs w:val="19"/>
          <w:color w:val="auto"/>
          <w:vertAlign w:val="superscript"/>
        </w:rPr>
      </w:pPr>
    </w:p>
    <w:p>
      <w:pPr>
        <w:jc w:val="both"/>
        <w:ind w:left="160" w:hanging="157"/>
        <w:spacing w:after="0" w:line="264" w:lineRule="auto"/>
        <w:tabs>
          <w:tab w:leader="none" w:pos="156"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and “Other noncurrent assets” on the unaudited Consolidated Balance Sheets. During the nine months ended July 31, 2025, we capitalized $15.1 million of new costs and amortized $13.5 million of previously capitalized costs. There was no impairment loss recorded on the costs capitalized.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Pr>
          <w:p>
            <w:pPr>
              <w:jc w:val="right"/>
              <w:ind w:right="403"/>
              <w:spacing w:after="0"/>
              <w:rPr>
                <w:sz w:val="20"/>
                <w:szCs w:val="20"/>
                <w:color w:val="auto"/>
              </w:rPr>
            </w:pPr>
            <w:r>
              <w:rPr>
                <w:rFonts w:ascii="Arial" w:cs="Arial" w:eastAsia="Arial" w:hAnsi="Arial"/>
                <w:sz w:val="15"/>
                <w:szCs w:val="15"/>
                <w:b w:val="1"/>
                <w:bCs w:val="1"/>
                <w:color w:val="auto"/>
              </w:rPr>
              <w:t>Nine Months Ended</w:t>
            </w:r>
          </w:p>
        </w:tc>
      </w:tr>
      <w:tr>
        <w:trPr>
          <w:trHeight w:val="155"/>
        </w:trPr>
        <w:tc>
          <w:tcPr>
            <w:tcW w:w="8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3"/>
                <w:szCs w:val="13"/>
                <w:color w:val="auto"/>
              </w:rPr>
            </w:pPr>
          </w:p>
        </w:tc>
        <w:tc>
          <w:tcPr>
            <w:tcW w:w="2120" w:type="dxa"/>
            <w:vAlign w:val="bottom"/>
          </w:tcPr>
          <w:p>
            <w:pPr>
              <w:jc w:val="right"/>
              <w:ind w:right="643"/>
              <w:spacing w:after="0" w:line="135" w:lineRule="exact"/>
              <w:rPr>
                <w:sz w:val="20"/>
                <w:szCs w:val="20"/>
                <w:color w:val="auto"/>
              </w:rPr>
            </w:pPr>
            <w:r>
              <w:rPr>
                <w:rFonts w:ascii="Arial" w:cs="Arial" w:eastAsia="Arial" w:hAnsi="Arial"/>
                <w:sz w:val="15"/>
                <w:szCs w:val="15"/>
                <w:b w:val="1"/>
                <w:bCs w:val="1"/>
                <w:color w:val="auto"/>
              </w:rPr>
              <w:t>July 31, 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81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86"/>
        </w:trPr>
        <w:tc>
          <w:tcPr>
            <w:tcW w:w="8820" w:type="dxa"/>
            <w:vAlign w:val="bottom"/>
            <w:gridSpan w:val="3"/>
            <w:shd w:val="clear" w:color="auto" w:fill="DCE2EF"/>
          </w:tcPr>
          <w:p>
            <w:pPr>
              <w:ind w:left="20"/>
              <w:spacing w:after="0" w:line="186" w:lineRule="exact"/>
              <w:rPr>
                <w:sz w:val="20"/>
                <w:szCs w:val="20"/>
                <w:color w:val="auto"/>
              </w:rPr>
            </w:pPr>
            <w:r>
              <w:rPr>
                <w:rFonts w:ascii="Arial" w:cs="Arial" w:eastAsia="Arial" w:hAnsi="Arial"/>
                <w:sz w:val="15"/>
                <w:szCs w:val="15"/>
                <w:b w:val="1"/>
                <w:bCs w:val="1"/>
                <w:color w:val="auto"/>
              </w:rPr>
              <w:t>Contract liabilities</w:t>
            </w:r>
            <w:r>
              <w:rPr>
                <w:rFonts w:ascii="Arial" w:cs="Arial" w:eastAsia="Arial" w:hAnsi="Arial"/>
                <w:sz w:val="20"/>
                <w:szCs w:val="20"/>
                <w:color w:val="auto"/>
                <w:vertAlign w:val="superscript"/>
              </w:rPr>
              <w:t>(1)</w:t>
            </w:r>
          </w:p>
        </w:tc>
        <w:tc>
          <w:tcPr>
            <w:tcW w:w="300" w:type="dxa"/>
            <w:vAlign w:val="bottom"/>
            <w:shd w:val="clear" w:color="auto" w:fill="DCE2EF"/>
          </w:tcPr>
          <w:p>
            <w:pPr>
              <w:spacing w:after="0"/>
              <w:rPr>
                <w:sz w:val="16"/>
                <w:szCs w:val="16"/>
                <w:color w:val="auto"/>
              </w:rPr>
            </w:pPr>
          </w:p>
        </w:tc>
        <w:tc>
          <w:tcPr>
            <w:tcW w:w="212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Balance at beginning of period</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118.2</w:t>
            </w:r>
          </w:p>
        </w:tc>
      </w:tr>
      <w:tr>
        <w:trPr>
          <w:trHeight w:val="207"/>
        </w:trPr>
        <w:tc>
          <w:tcPr>
            <w:tcW w:w="20" w:type="dxa"/>
            <w:vAlign w:val="bottom"/>
            <w:shd w:val="clear" w:color="auto" w:fill="DCE2EF"/>
          </w:tcPr>
          <w:p>
            <w:pPr>
              <w:spacing w:after="0"/>
              <w:rPr>
                <w:sz w:val="18"/>
                <w:szCs w:val="18"/>
                <w:color w:val="auto"/>
              </w:rPr>
            </w:pPr>
          </w:p>
        </w:tc>
        <w:tc>
          <w:tcPr>
            <w:tcW w:w="880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Additional contract liabilities</w:t>
            </w:r>
          </w:p>
        </w:tc>
        <w:tc>
          <w:tcPr>
            <w:tcW w:w="300" w:type="dxa"/>
            <w:vAlign w:val="bottom"/>
            <w:shd w:val="clear" w:color="auto" w:fill="DCE2EF"/>
          </w:tcPr>
          <w:p>
            <w:pPr>
              <w:spacing w:after="0"/>
              <w:rPr>
                <w:sz w:val="18"/>
                <w:szCs w:val="18"/>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295.3</w:t>
            </w:r>
          </w:p>
        </w:tc>
      </w:tr>
      <w:tr>
        <w:trPr>
          <w:trHeight w:val="257"/>
        </w:trPr>
        <w:tc>
          <w:tcPr>
            <w:tcW w:w="20" w:type="dxa"/>
            <w:vAlign w:val="bottom"/>
            <w:tcBorders>
              <w:bottom w:val="single" w:sz="8" w:color="DCE2EF"/>
            </w:tcBorders>
          </w:tcPr>
          <w:p>
            <w:pPr>
              <w:spacing w:after="0"/>
              <w:rPr>
                <w:sz w:val="22"/>
                <w:szCs w:val="22"/>
                <w:color w:val="auto"/>
              </w:rPr>
            </w:pPr>
          </w:p>
        </w:tc>
        <w:tc>
          <w:tcPr>
            <w:tcW w:w="8800" w:type="dxa"/>
            <w:vAlign w:val="bottom"/>
            <w:tcBorders>
              <w:bottom w:val="single" w:sz="8" w:color="DCE2EF"/>
            </w:tcBorders>
            <w:gridSpan w:val="2"/>
          </w:tcPr>
          <w:p>
            <w:pPr>
              <w:ind w:left="200"/>
              <w:spacing w:after="0"/>
              <w:rPr>
                <w:sz w:val="20"/>
                <w:szCs w:val="20"/>
                <w:color w:val="auto"/>
              </w:rPr>
            </w:pPr>
            <w:r>
              <w:rPr>
                <w:rFonts w:ascii="Arial" w:cs="Arial" w:eastAsia="Arial" w:hAnsi="Arial"/>
                <w:sz w:val="15"/>
                <w:szCs w:val="15"/>
                <w:color w:val="auto"/>
              </w:rPr>
              <w:t>Recognition of deferred revenue</w:t>
            </w:r>
          </w:p>
        </w:tc>
        <w:tc>
          <w:tcPr>
            <w:tcW w:w="3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(261.9)</w:t>
            </w:r>
          </w:p>
        </w:tc>
      </w:tr>
      <w:tr>
        <w:trPr>
          <w:trHeight w:val="238"/>
        </w:trPr>
        <w:tc>
          <w:tcPr>
            <w:tcW w:w="20" w:type="dxa"/>
            <w:vAlign w:val="bottom"/>
            <w:tcBorders>
              <w:bottom w:val="single" w:sz="8" w:color="DCE2EF"/>
            </w:tcBorders>
            <w:shd w:val="clear" w:color="auto" w:fill="DCE2EF"/>
          </w:tcPr>
          <w:p>
            <w:pPr>
              <w:spacing w:after="0"/>
              <w:rPr>
                <w:sz w:val="20"/>
                <w:szCs w:val="20"/>
                <w:color w:val="auto"/>
              </w:rPr>
            </w:pPr>
          </w:p>
        </w:tc>
        <w:tc>
          <w:tcPr>
            <w:tcW w:w="88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5"/>
                <w:szCs w:val="15"/>
                <w:color w:val="auto"/>
              </w:rPr>
              <w:t>Balance at end of period</w:t>
            </w: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151.6</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8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2120" w:type="dxa"/>
            <w:vAlign w:val="bottom"/>
            <w:tcBorders>
              <w:top w:val="single" w:sz="8" w:color="DCE2E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Included in “Deferred revenue” and “Other accrued liabilities” on the unaudited Consolidated Balance Sheets.</w:t>
      </w:r>
    </w:p>
    <w:p>
      <w:pPr>
        <w:spacing w:after="0" w:line="200" w:lineRule="exact"/>
        <w:rPr>
          <w:rFonts w:ascii="Arial" w:cs="Arial" w:eastAsia="Arial" w:hAnsi="Arial"/>
          <w:sz w:val="19"/>
          <w:szCs w:val="19"/>
          <w:color w:val="auto"/>
          <w:vertAlign w:val="superscript"/>
        </w:rPr>
      </w:pPr>
    </w:p>
    <w:p>
      <w:pPr>
        <w:spacing w:after="0" w:line="313" w:lineRule="exact"/>
        <w:rPr>
          <w:rFonts w:ascii="Arial" w:cs="Arial" w:eastAsia="Arial" w:hAnsi="Arial"/>
          <w:sz w:val="19"/>
          <w:szCs w:val="19"/>
          <w:color w:val="auto"/>
          <w:vertAlign w:val="superscript"/>
        </w:rPr>
      </w:pPr>
    </w:p>
    <w:p>
      <w:pPr>
        <w:ind w:left="5520"/>
        <w:spacing w:after="0"/>
        <w:rPr>
          <w:rFonts w:ascii="Arial" w:cs="Arial" w:eastAsia="Arial" w:hAnsi="Arial"/>
          <w:sz w:val="19"/>
          <w:szCs w:val="19"/>
          <w:color w:val="auto"/>
          <w:vertAlign w:val="superscript"/>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Basic and Diluted Net Income Per Common Share Calculations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5"/>
                <w:szCs w:val="15"/>
                <w:b w:val="1"/>
                <w:bCs w:val="1"/>
                <w:color w:val="auto"/>
              </w:rPr>
              <w:t>Three Months Ended July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5"/>
                <w:szCs w:val="15"/>
                <w:b w:val="1"/>
                <w:bCs w:val="1"/>
                <w:color w:val="auto"/>
              </w:rPr>
              <w:t>Nine Months Ended July 31,</w:t>
            </w:r>
          </w:p>
        </w:tc>
        <w:tc>
          <w:tcPr>
            <w:tcW w:w="0" w:type="dxa"/>
            <w:vAlign w:val="bottom"/>
          </w:tcPr>
          <w:p>
            <w:pPr>
              <w:spacing w:after="0"/>
              <w:rPr>
                <w:sz w:val="1"/>
                <w:szCs w:val="1"/>
                <w:color w:val="auto"/>
              </w:rPr>
            </w:pPr>
          </w:p>
        </w:tc>
      </w:tr>
      <w:tr>
        <w:trPr>
          <w:trHeight w:val="160"/>
        </w:trPr>
        <w:tc>
          <w:tcPr>
            <w:tcW w:w="436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1240" w:type="dxa"/>
            <w:vAlign w:val="bottom"/>
          </w:tcPr>
          <w:p>
            <w:pPr>
              <w:jc w:val="right"/>
              <w:ind w:right="103"/>
              <w:spacing w:after="0" w:line="161" w:lineRule="exact"/>
              <w:rPr>
                <w:sz w:val="20"/>
                <w:szCs w:val="20"/>
                <w:color w:val="auto"/>
              </w:rPr>
            </w:pPr>
            <w:r>
              <w:rPr>
                <w:rFonts w:ascii="Arial" w:cs="Arial" w:eastAsia="Arial" w:hAnsi="Arial"/>
                <w:sz w:val="15"/>
                <w:szCs w:val="15"/>
                <w:b w:val="1"/>
                <w:bCs w:val="1"/>
                <w:color w:val="auto"/>
              </w:rPr>
              <w:t>2025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103"/>
              <w:spacing w:after="0" w:line="161" w:lineRule="exact"/>
              <w:rPr>
                <w:sz w:val="20"/>
                <w:szCs w:val="20"/>
                <w:color w:val="auto"/>
              </w:rPr>
            </w:pPr>
            <w:r>
              <w:rPr>
                <w:rFonts w:ascii="Arial" w:cs="Arial" w:eastAsia="Arial" w:hAnsi="Arial"/>
                <w:sz w:val="15"/>
                <w:szCs w:val="15"/>
                <w:b w:val="1"/>
                <w:bCs w:val="1"/>
                <w:color w:val="auto"/>
              </w:rPr>
              <w:t>2024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503"/>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03"/>
              <w:spacing w:after="0" w:line="161" w:lineRule="exact"/>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192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1240" w:type="dxa"/>
            <w:vAlign w:val="bottom"/>
            <w:shd w:val="clear" w:color="auto" w:fill="DCE2EF"/>
          </w:tcPr>
          <w:p>
            <w:pPr>
              <w:jc w:val="right"/>
              <w:ind w:right="106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41.8</w:t>
            </w: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jc w:val="right"/>
              <w:ind w:right="106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127.6</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360" w:type="dxa"/>
            <w:vAlign w:val="bottom"/>
            <w:gridSpan w:val="3"/>
            <w:shd w:val="clear" w:color="auto" w:fill="DCE2EF"/>
          </w:tcPr>
          <w:p>
            <w:pPr>
              <w:ind w:left="20"/>
              <w:spacing w:after="0" w:line="155" w:lineRule="exact"/>
              <w:rPr>
                <w:sz w:val="20"/>
                <w:szCs w:val="20"/>
                <w:color w:val="auto"/>
              </w:rPr>
            </w:pPr>
            <w:r>
              <w:rPr>
                <w:rFonts w:ascii="Arial" w:cs="Arial" w:eastAsia="Arial" w:hAnsi="Arial"/>
                <w:sz w:val="15"/>
                <w:szCs w:val="15"/>
                <w:b w:val="1"/>
                <w:bCs w:val="1"/>
                <w:color w:val="auto"/>
              </w:rPr>
              <w:t>Weighted-average common and common</w:t>
            </w:r>
          </w:p>
        </w:tc>
        <w:tc>
          <w:tcPr>
            <w:tcW w:w="1240" w:type="dxa"/>
            <w:vAlign w:val="bottom"/>
            <w:shd w:val="clear" w:color="auto" w:fill="DCE2EF"/>
          </w:tcPr>
          <w:p>
            <w:pPr>
              <w:spacing w:after="0"/>
              <w:rPr>
                <w:sz w:val="13"/>
                <w:szCs w:val="13"/>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62.5</w:t>
            </w:r>
          </w:p>
        </w:tc>
        <w:tc>
          <w:tcPr>
            <w:tcW w:w="100" w:type="dxa"/>
            <w:vAlign w:val="bottom"/>
            <w:shd w:val="clear" w:color="auto" w:fill="DCE2EF"/>
          </w:tcPr>
          <w:p>
            <w:pPr>
              <w:spacing w:after="0"/>
              <w:rPr>
                <w:sz w:val="13"/>
                <w:szCs w:val="13"/>
                <w:color w:val="auto"/>
              </w:rPr>
            </w:pPr>
          </w:p>
        </w:tc>
        <w:tc>
          <w:tcPr>
            <w:tcW w:w="1240" w:type="dxa"/>
            <w:vAlign w:val="bottom"/>
            <w:shd w:val="clear" w:color="auto" w:fill="DCE2EF"/>
          </w:tcPr>
          <w:p>
            <w:pPr>
              <w:spacing w:after="0"/>
              <w:rPr>
                <w:sz w:val="13"/>
                <w:szCs w:val="13"/>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63.1</w:t>
            </w: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20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62.6</w:t>
            </w: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11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340" w:type="dxa"/>
            <w:vAlign w:val="bottom"/>
            <w:gridSpan w:val="2"/>
            <w:shd w:val="clear" w:color="auto" w:fill="DCE2EF"/>
          </w:tcPr>
          <w:p>
            <w:pPr>
              <w:ind w:left="240"/>
              <w:spacing w:after="0"/>
              <w:rPr>
                <w:sz w:val="20"/>
                <w:szCs w:val="20"/>
                <w:color w:val="auto"/>
              </w:rPr>
            </w:pPr>
            <w:r>
              <w:rPr>
                <w:rFonts w:ascii="Arial" w:cs="Arial" w:eastAsia="Arial" w:hAnsi="Arial"/>
                <w:sz w:val="15"/>
                <w:szCs w:val="15"/>
                <w:b w:val="1"/>
                <w:bCs w:val="1"/>
                <w:color w:val="auto"/>
              </w:rPr>
              <w:t>equivalent shares outstanding — Basic</w:t>
            </w:r>
          </w:p>
        </w:tc>
        <w:tc>
          <w:tcPr>
            <w:tcW w:w="1240" w:type="dxa"/>
            <w:vAlign w:val="bottom"/>
            <w:shd w:val="clear" w:color="auto" w:fill="DCE2EF"/>
          </w:tcPr>
          <w:p>
            <w:pPr>
              <w:spacing w:after="0"/>
              <w:rPr>
                <w:sz w:val="17"/>
                <w:szCs w:val="17"/>
                <w:color w:val="auto"/>
              </w:rPr>
            </w:pPr>
          </w:p>
        </w:tc>
        <w:tc>
          <w:tcPr>
            <w:tcW w:w="54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54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20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6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ind w:left="20"/>
              <w:spacing w:after="0"/>
              <w:rPr>
                <w:sz w:val="20"/>
                <w:szCs w:val="20"/>
                <w:color w:val="auto"/>
              </w:rPr>
            </w:pPr>
            <w:r>
              <w:rPr>
                <w:rFonts w:ascii="Arial" w:cs="Arial" w:eastAsia="Arial" w:hAnsi="Arial"/>
                <w:sz w:val="15"/>
                <w:szCs w:val="15"/>
                <w:color w:val="auto"/>
              </w:rPr>
              <w:t>Effect of dilutive securities</w:t>
            </w: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3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Restricted stock units</w:t>
            </w:r>
          </w:p>
        </w:tc>
        <w:tc>
          <w:tcPr>
            <w:tcW w:w="1240" w:type="dxa"/>
            <w:vAlign w:val="bottom"/>
            <w:shd w:val="clear" w:color="auto" w:fill="DCE2EF"/>
          </w:tcPr>
          <w:p>
            <w:pPr>
              <w:spacing w:after="0"/>
              <w:rPr>
                <w:sz w:val="17"/>
                <w:szCs w:val="17"/>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434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Performance shares</w:t>
            </w: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35"/>
        </w:trPr>
        <w:tc>
          <w:tcPr>
            <w:tcW w:w="4360" w:type="dxa"/>
            <w:vAlign w:val="bottom"/>
            <w:gridSpan w:val="3"/>
            <w:shd w:val="clear" w:color="auto" w:fill="DCE2EF"/>
          </w:tcPr>
          <w:p>
            <w:pPr>
              <w:ind w:left="20"/>
              <w:spacing w:after="0" w:line="136" w:lineRule="exact"/>
              <w:rPr>
                <w:sz w:val="20"/>
                <w:szCs w:val="20"/>
                <w:color w:val="auto"/>
              </w:rPr>
            </w:pPr>
            <w:r>
              <w:rPr>
                <w:rFonts w:ascii="Arial" w:cs="Arial" w:eastAsia="Arial" w:hAnsi="Arial"/>
                <w:sz w:val="15"/>
                <w:szCs w:val="15"/>
                <w:b w:val="1"/>
                <w:bCs w:val="1"/>
                <w:color w:val="auto"/>
              </w:rPr>
              <w:t>Weighted-average common and common</w:t>
            </w:r>
          </w:p>
        </w:tc>
        <w:tc>
          <w:tcPr>
            <w:tcW w:w="124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DCE2EF"/>
          </w:tcPr>
          <w:p>
            <w:pPr>
              <w:spacing w:after="0"/>
              <w:rPr>
                <w:sz w:val="11"/>
                <w:szCs w:val="11"/>
                <w:color w:val="auto"/>
              </w:rPr>
            </w:pPr>
          </w:p>
        </w:tc>
        <w:tc>
          <w:tcPr>
            <w:tcW w:w="124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63.5</w:t>
            </w:r>
          </w:p>
        </w:tc>
        <w:tc>
          <w:tcPr>
            <w:tcW w:w="100" w:type="dxa"/>
            <w:vAlign w:val="bottom"/>
            <w:shd w:val="clear" w:color="auto" w:fill="DCE2EF"/>
          </w:tcPr>
          <w:p>
            <w:pPr>
              <w:spacing w:after="0"/>
              <w:rPr>
                <w:sz w:val="11"/>
                <w:szCs w:val="11"/>
                <w:color w:val="auto"/>
              </w:rPr>
            </w:pPr>
          </w:p>
        </w:tc>
        <w:tc>
          <w:tcPr>
            <w:tcW w:w="320" w:type="dxa"/>
            <w:vAlign w:val="bottom"/>
            <w:shd w:val="clear" w:color="auto" w:fill="DCE2EF"/>
          </w:tcPr>
          <w:p>
            <w:pPr>
              <w:spacing w:after="0"/>
              <w:rPr>
                <w:sz w:val="11"/>
                <w:szCs w:val="11"/>
                <w:color w:val="auto"/>
              </w:rPr>
            </w:pPr>
          </w:p>
        </w:tc>
        <w:tc>
          <w:tcPr>
            <w:tcW w:w="120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63.0</w:t>
            </w:r>
          </w:p>
        </w:tc>
        <w:tc>
          <w:tcPr>
            <w:tcW w:w="100" w:type="dxa"/>
            <w:vAlign w:val="bottom"/>
            <w:shd w:val="clear" w:color="auto" w:fill="DCE2EF"/>
          </w:tcPr>
          <w:p>
            <w:pPr>
              <w:spacing w:after="0"/>
              <w:rPr>
                <w:sz w:val="11"/>
                <w:szCs w:val="11"/>
                <w:color w:val="auto"/>
              </w:rPr>
            </w:pPr>
          </w:p>
        </w:tc>
        <w:tc>
          <w:tcPr>
            <w:tcW w:w="340" w:type="dxa"/>
            <w:vAlign w:val="bottom"/>
            <w:shd w:val="clear" w:color="auto" w:fill="DCE2EF"/>
          </w:tcPr>
          <w:p>
            <w:pPr>
              <w:spacing w:after="0"/>
              <w:rPr>
                <w:sz w:val="11"/>
                <w:szCs w:val="11"/>
                <w:color w:val="auto"/>
              </w:rPr>
            </w:pPr>
          </w:p>
        </w:tc>
        <w:tc>
          <w:tcPr>
            <w:tcW w:w="11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200"/>
        </w:trPr>
        <w:tc>
          <w:tcPr>
            <w:tcW w:w="20" w:type="dxa"/>
            <w:vAlign w:val="bottom"/>
            <w:tcBorders>
              <w:bottom w:val="single" w:sz="8" w:color="DCE2EF"/>
            </w:tcBorders>
            <w:shd w:val="clear" w:color="auto" w:fill="DCE2EF"/>
          </w:tcPr>
          <w:p>
            <w:pPr>
              <w:spacing w:after="0"/>
              <w:rPr>
                <w:sz w:val="17"/>
                <w:szCs w:val="17"/>
                <w:color w:val="auto"/>
              </w:rPr>
            </w:pPr>
          </w:p>
        </w:tc>
        <w:tc>
          <w:tcPr>
            <w:tcW w:w="43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5"/>
                <w:szCs w:val="15"/>
                <w:b w:val="1"/>
                <w:bCs w:val="1"/>
                <w:color w:val="auto"/>
              </w:rPr>
              <w:t>equivalent shares outstanding — Diluted</w:t>
            </w:r>
          </w:p>
        </w:tc>
        <w:tc>
          <w:tcPr>
            <w:tcW w:w="1240" w:type="dxa"/>
            <w:vAlign w:val="bottom"/>
            <w:tcBorders>
              <w:bottom w:val="single" w:sz="8" w:color="auto"/>
            </w:tcBorders>
            <w:shd w:val="clear" w:color="auto" w:fill="DCE2EF"/>
          </w:tcPr>
          <w:p>
            <w:pPr>
              <w:spacing w:after="0"/>
              <w:rPr>
                <w:sz w:val="17"/>
                <w:szCs w:val="17"/>
                <w:color w:val="auto"/>
              </w:rPr>
            </w:pPr>
          </w:p>
        </w:tc>
        <w:tc>
          <w:tcPr>
            <w:tcW w:w="5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1240" w:type="dxa"/>
            <w:vAlign w:val="bottom"/>
            <w:tcBorders>
              <w:bottom w:val="single" w:sz="8" w:color="auto"/>
            </w:tcBorders>
            <w:shd w:val="clear" w:color="auto" w:fill="DCE2EF"/>
          </w:tcPr>
          <w:p>
            <w:pPr>
              <w:spacing w:after="0"/>
              <w:rPr>
                <w:sz w:val="17"/>
                <w:szCs w:val="17"/>
                <w:color w:val="auto"/>
              </w:rPr>
            </w:pPr>
          </w:p>
        </w:tc>
        <w:tc>
          <w:tcPr>
            <w:tcW w:w="5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20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340" w:type="dxa"/>
            <w:vAlign w:val="bottom"/>
            <w:tcBorders>
              <w:bottom w:val="single" w:sz="8" w:color="auto"/>
            </w:tcBorders>
            <w:shd w:val="clear" w:color="auto" w:fill="DCE2EF"/>
          </w:tcPr>
          <w:p>
            <w:pPr>
              <w:spacing w:after="0"/>
              <w:rPr>
                <w:sz w:val="17"/>
                <w:szCs w:val="17"/>
                <w:color w:val="auto"/>
              </w:rPr>
            </w:pPr>
          </w:p>
        </w:tc>
        <w:tc>
          <w:tcPr>
            <w:tcW w:w="116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 per common share</w:t>
            </w:r>
          </w:p>
        </w:tc>
        <w:tc>
          <w:tcPr>
            <w:tcW w:w="124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1240" w:type="dxa"/>
            <w:vAlign w:val="bottom"/>
          </w:tcPr>
          <w:p>
            <w:pPr>
              <w:jc w:val="right"/>
              <w:ind w:right="106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0.67</w:t>
            </w:r>
          </w:p>
        </w:tc>
        <w:tc>
          <w:tcPr>
            <w:tcW w:w="100" w:type="dxa"/>
            <w:vAlign w:val="bottom"/>
          </w:tcPr>
          <w:p>
            <w:pPr>
              <w:spacing w:after="0"/>
              <w:rPr>
                <w:sz w:val="17"/>
                <w:szCs w:val="17"/>
                <w:color w:val="auto"/>
              </w:rPr>
            </w:pPr>
          </w:p>
        </w:tc>
        <w:tc>
          <w:tcPr>
            <w:tcW w:w="1240" w:type="dxa"/>
            <w:vAlign w:val="bottom"/>
          </w:tcPr>
          <w:p>
            <w:pPr>
              <w:jc w:val="right"/>
              <w:ind w:right="106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Diluted</w:t>
            </w:r>
          </w:p>
        </w:tc>
        <w:tc>
          <w:tcPr>
            <w:tcW w:w="1240" w:type="dxa"/>
            <w:vAlign w:val="bottom"/>
            <w:shd w:val="clear" w:color="auto" w:fill="DCE2EF"/>
          </w:tcPr>
          <w:p>
            <w:pPr>
              <w:jc w:val="right"/>
              <w:ind w:right="106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0.67</w:t>
            </w: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106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0.07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Anti-Dilutive Outstanding Stock Awards Issued Under Share-Based Compensation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5"/>
                <w:szCs w:val="15"/>
                <w:b w:val="1"/>
                <w:bCs w:val="1"/>
                <w:color w:val="auto"/>
              </w:rPr>
              <w:t>Three Months Ended July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Nine Months Ended July 31,</w:t>
            </w:r>
          </w:p>
        </w:tc>
        <w:tc>
          <w:tcPr>
            <w:tcW w:w="400" w:type="dxa"/>
            <w:vAlign w:val="bottom"/>
            <w:tcBorders>
              <w:bottom w:val="single" w:sz="8" w:color="auto"/>
            </w:tcBorders>
          </w:tcPr>
          <w:p>
            <w:pPr>
              <w:spacing w:after="0"/>
              <w:rPr>
                <w:sz w:val="18"/>
                <w:szCs w:val="18"/>
                <w:color w:val="auto"/>
              </w:rPr>
            </w:pPr>
          </w:p>
        </w:tc>
      </w:tr>
      <w:tr>
        <w:trPr>
          <w:trHeight w:val="160"/>
        </w:trPr>
        <w:tc>
          <w:tcPr>
            <w:tcW w:w="43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w:t>
            </w:r>
          </w:p>
        </w:tc>
        <w:tc>
          <w:tcPr>
            <w:tcW w:w="1280" w:type="dxa"/>
            <w:vAlign w:val="bottom"/>
          </w:tcPr>
          <w:p>
            <w:pPr>
              <w:jc w:val="right"/>
              <w:ind w:right="143"/>
              <w:spacing w:after="0" w:line="161" w:lineRule="exact"/>
              <w:rPr>
                <w:sz w:val="20"/>
                <w:szCs w:val="20"/>
                <w:color w:val="auto"/>
              </w:rPr>
            </w:pPr>
            <w:r>
              <w:rPr>
                <w:rFonts w:ascii="Arial" w:cs="Arial" w:eastAsia="Arial" w:hAnsi="Arial"/>
                <w:sz w:val="15"/>
                <w:szCs w:val="15"/>
                <w:b w:val="1"/>
                <w:bCs w:val="1"/>
                <w:color w:val="auto"/>
              </w:rPr>
              <w:t>2025</w:t>
            </w:r>
          </w:p>
        </w:tc>
        <w:tc>
          <w:tcPr>
            <w:tcW w:w="1900" w:type="dxa"/>
            <w:vAlign w:val="bottom"/>
            <w:gridSpan w:val="3"/>
          </w:tcPr>
          <w:p>
            <w:pPr>
              <w:jc w:val="right"/>
              <w:ind w:right="240"/>
              <w:spacing w:after="0" w:line="161" w:lineRule="exact"/>
              <w:rPr>
                <w:sz w:val="20"/>
                <w:szCs w:val="20"/>
                <w:color w:val="auto"/>
              </w:rPr>
            </w:pPr>
            <w:r>
              <w:rPr>
                <w:rFonts w:ascii="Arial" w:cs="Arial" w:eastAsia="Arial" w:hAnsi="Arial"/>
                <w:sz w:val="15"/>
                <w:szCs w:val="15"/>
                <w:b w:val="1"/>
                <w:bCs w:val="1"/>
                <w:color w:val="auto"/>
              </w:rPr>
              <w:t>2024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83"/>
              <w:spacing w:after="0" w:line="161" w:lineRule="exact"/>
              <w:rPr>
                <w:sz w:val="20"/>
                <w:szCs w:val="20"/>
                <w:color w:val="auto"/>
              </w:rPr>
            </w:pPr>
            <w:r>
              <w:rPr>
                <w:rFonts w:ascii="Arial" w:cs="Arial" w:eastAsia="Arial" w:hAnsi="Arial"/>
                <w:sz w:val="15"/>
                <w:szCs w:val="15"/>
                <w:b w:val="1"/>
                <w:bCs w:val="1"/>
                <w:color w:val="auto"/>
              </w:rPr>
              <w:t>2025</w:t>
            </w:r>
          </w:p>
        </w:tc>
        <w:tc>
          <w:tcPr>
            <w:tcW w:w="1620" w:type="dxa"/>
            <w:vAlign w:val="bottom"/>
            <w:gridSpan w:val="3"/>
          </w:tcPr>
          <w:p>
            <w:pPr>
              <w:jc w:val="right"/>
              <w:ind w:right="180"/>
              <w:spacing w:after="0" w:line="161" w:lineRule="exact"/>
              <w:rPr>
                <w:sz w:val="20"/>
                <w:szCs w:val="20"/>
                <w:color w:val="auto"/>
              </w:rPr>
            </w:pPr>
            <w:r>
              <w:rPr>
                <w:rFonts w:ascii="Arial" w:cs="Arial" w:eastAsia="Arial" w:hAnsi="Arial"/>
                <w:sz w:val="15"/>
                <w:szCs w:val="15"/>
                <w:b w:val="1"/>
                <w:bCs w:val="1"/>
                <w:color w:val="auto"/>
              </w:rPr>
              <w:t>2024</w:t>
            </w:r>
          </w:p>
        </w:tc>
        <w:tc>
          <w:tcPr>
            <w:tcW w:w="400" w:type="dxa"/>
            <w:vAlign w:val="bottom"/>
          </w:tcPr>
          <w:p>
            <w:pPr>
              <w:spacing w:after="0"/>
              <w:rPr>
                <w:sz w:val="13"/>
                <w:szCs w:val="13"/>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360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8"/>
        </w:trPr>
        <w:tc>
          <w:tcPr>
            <w:tcW w:w="43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Anti-dilutive</w:t>
            </w:r>
          </w:p>
        </w:tc>
        <w:tc>
          <w:tcPr>
            <w:tcW w:w="1280" w:type="dxa"/>
            <w:vAlign w:val="bottom"/>
            <w:shd w:val="clear" w:color="auto" w:fill="DCE2EF"/>
          </w:tcPr>
          <w:p>
            <w:pPr>
              <w:spacing w:after="0"/>
              <w:rPr>
                <w:sz w:val="17"/>
                <w:szCs w:val="17"/>
                <w:color w:val="auto"/>
              </w:rPr>
            </w:pPr>
          </w:p>
        </w:tc>
        <w:tc>
          <w:tcPr>
            <w:tcW w:w="5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c>
          <w:tcPr>
            <w:tcW w:w="1660" w:type="dxa"/>
            <w:vAlign w:val="bottom"/>
            <w:gridSpan w:val="3"/>
            <w:shd w:val="clear" w:color="auto" w:fill="DCE2EF"/>
          </w:tcPr>
          <w:p>
            <w:pPr>
              <w:jc w:val="right"/>
              <w:ind w:right="1183"/>
              <w:spacing w:after="0"/>
              <w:rPr>
                <w:sz w:val="20"/>
                <w:szCs w:val="20"/>
                <w:color w:val="auto"/>
              </w:rPr>
            </w:pPr>
            <w:r>
              <w:rPr>
                <w:rFonts w:ascii="Arial" w:cs="Arial" w:eastAsia="Arial" w:hAnsi="Arial"/>
                <w:sz w:val="15"/>
                <w:szCs w:val="15"/>
                <w:color w:val="auto"/>
              </w:rPr>
              <w:t>—</w:t>
            </w:r>
          </w:p>
        </w:tc>
        <w:tc>
          <w:tcPr>
            <w:tcW w:w="4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4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Fair Value Hierarchy of Our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Assets and Liabilities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rPr>
              <w:t>(in millions)</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Fair Value</w:t>
            </w:r>
          </w:p>
        </w:tc>
        <w:tc>
          <w:tcPr>
            <w:tcW w:w="300" w:type="dxa"/>
            <w:vAlign w:val="bottom"/>
          </w:tcPr>
          <w:p>
            <w:pPr>
              <w:spacing w:after="0"/>
              <w:rPr>
                <w:sz w:val="14"/>
                <w:szCs w:val="14"/>
                <w:color w:val="auto"/>
              </w:rPr>
            </w:pPr>
          </w:p>
        </w:tc>
        <w:tc>
          <w:tcPr>
            <w:tcW w:w="172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July 31, 2025</w:t>
            </w:r>
          </w:p>
        </w:tc>
        <w:tc>
          <w:tcPr>
            <w:tcW w:w="220" w:type="dxa"/>
            <w:vAlign w:val="bottom"/>
          </w:tcPr>
          <w:p>
            <w:pPr>
              <w:spacing w:after="0"/>
              <w:rPr>
                <w:sz w:val="14"/>
                <w:szCs w:val="14"/>
                <w:color w:val="auto"/>
              </w:rPr>
            </w:pPr>
          </w:p>
        </w:tc>
        <w:tc>
          <w:tcPr>
            <w:tcW w:w="168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October 31, 2024</w:t>
            </w:r>
          </w:p>
        </w:tc>
        <w:tc>
          <w:tcPr>
            <w:tcW w:w="0" w:type="dxa"/>
            <w:vAlign w:val="bottom"/>
          </w:tcPr>
          <w:p>
            <w:pPr>
              <w:spacing w:after="0"/>
              <w:rPr>
                <w:sz w:val="1"/>
                <w:szCs w:val="1"/>
                <w:color w:val="auto"/>
              </w:rPr>
            </w:pPr>
          </w:p>
        </w:tc>
      </w:tr>
      <w:tr>
        <w:trPr>
          <w:trHeight w:val="168"/>
        </w:trPr>
        <w:tc>
          <w:tcPr>
            <w:tcW w:w="5700" w:type="dxa"/>
            <w:vAlign w:val="bottom"/>
            <w:gridSpan w:val="3"/>
            <w:vMerge w:val="continue"/>
          </w:tcPr>
          <w:p>
            <w:pPr>
              <w:spacing w:after="0"/>
              <w:rPr>
                <w:sz w:val="14"/>
                <w:szCs w:val="14"/>
                <w:color w:val="auto"/>
              </w:rPr>
            </w:pPr>
          </w:p>
        </w:tc>
        <w:tc>
          <w:tcPr>
            <w:tcW w:w="1620" w:type="dxa"/>
            <w:vAlign w:val="bottom"/>
            <w:gridSpan w:val="2"/>
          </w:tcPr>
          <w:p>
            <w:pPr>
              <w:jc w:val="center"/>
              <w:ind w:right="100"/>
              <w:spacing w:after="0" w:line="168" w:lineRule="exact"/>
              <w:rPr>
                <w:sz w:val="20"/>
                <w:szCs w:val="20"/>
                <w:color w:val="auto"/>
              </w:rPr>
            </w:pPr>
            <w:r>
              <w:rPr>
                <w:rFonts w:ascii="Arial" w:cs="Arial" w:eastAsia="Arial" w:hAnsi="Arial"/>
                <w:sz w:val="15"/>
                <w:szCs w:val="15"/>
                <w:b w:val="1"/>
                <w:bCs w:val="1"/>
                <w:color w:val="auto"/>
              </w:rPr>
              <w:t>Hierarchy</w:t>
            </w:r>
          </w:p>
        </w:tc>
        <w:tc>
          <w:tcPr>
            <w:tcW w:w="3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4900" w:type="dxa"/>
            <w:vAlign w:val="bottom"/>
            <w:tcBorders>
              <w:bottom w:val="single" w:sz="8" w:color="DCE2E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00" w:type="dxa"/>
            <w:vAlign w:val="bottom"/>
            <w:gridSpan w:val="3"/>
            <w:shd w:val="clear" w:color="auto" w:fill="DCE2EF"/>
          </w:tcPr>
          <w:p>
            <w:pPr>
              <w:ind w:left="20"/>
              <w:spacing w:after="0" w:line="198"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69.3</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Insurance deposits</w:t>
            </w:r>
            <w:r>
              <w:rPr>
                <w:rFonts w:ascii="Arial" w:cs="Arial" w:eastAsia="Arial" w:hAnsi="Arial"/>
                <w:sz w:val="20"/>
                <w:szCs w:val="20"/>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Assets held in funded deferred compensation plan</w:t>
            </w:r>
            <w:r>
              <w:rPr>
                <w:rFonts w:ascii="Arial" w:cs="Arial" w:eastAsia="Arial" w:hAnsi="Arial"/>
                <w:sz w:val="20"/>
                <w:szCs w:val="20"/>
                <w:color w:val="auto"/>
                <w:vertAlign w:val="superscript"/>
              </w:rPr>
              <w:t>(3)</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6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4.6</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Credit facility</w:t>
            </w:r>
            <w:r>
              <w:rPr>
                <w:rFonts w:ascii="Arial" w:cs="Arial" w:eastAsia="Arial" w:hAnsi="Arial"/>
                <w:sz w:val="20"/>
                <w:szCs w:val="20"/>
                <w:color w:val="auto"/>
                <w:vertAlign w:val="superscript"/>
              </w:rPr>
              <w:t>(4)</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1,532.5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1,335.3</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Interest rate swap assets</w:t>
            </w:r>
            <w:r>
              <w:rPr>
                <w:rFonts w:ascii="Arial" w:cs="Arial" w:eastAsia="Arial" w:hAnsi="Arial"/>
                <w:sz w:val="20"/>
                <w:szCs w:val="20"/>
                <w:color w:val="auto"/>
                <w:vertAlign w:val="superscript"/>
              </w:rPr>
              <w:t>(5)</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6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7.9</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Preferred equity investment</w:t>
            </w:r>
            <w:r>
              <w:rPr>
                <w:rFonts w:ascii="Arial" w:cs="Arial" w:eastAsia="Arial" w:hAnsi="Arial"/>
                <w:sz w:val="20"/>
                <w:szCs w:val="20"/>
                <w:color w:val="auto"/>
                <w:vertAlign w:val="superscript"/>
              </w:rPr>
              <w:t>(6)</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Contingent consideration</w:t>
            </w:r>
            <w:r>
              <w:rPr>
                <w:rFonts w:ascii="Arial" w:cs="Arial" w:eastAsia="Arial" w:hAnsi="Arial"/>
                <w:sz w:val="20"/>
                <w:szCs w:val="20"/>
                <w:color w:val="auto"/>
                <w:vertAlign w:val="superscript"/>
              </w:rPr>
              <w:t>(7)(8)</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6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39.8</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109.1</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92" w:lineRule="exact"/>
        <w:rPr>
          <w:rFonts w:ascii="Arial" w:cs="Arial" w:eastAsia="Arial" w:hAnsi="Arial"/>
          <w:sz w:val="19"/>
          <w:szCs w:val="19"/>
          <w:color w:val="auto"/>
          <w:vertAlign w:val="superscript"/>
        </w:rPr>
      </w:pPr>
    </w:p>
    <w:p>
      <w:pPr>
        <w:jc w:val="both"/>
        <w:ind w:left="160" w:hanging="157"/>
        <w:spacing w:after="0" w:line="229" w:lineRule="auto"/>
        <w:tabs>
          <w:tab w:leader="none" w:pos="178"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80" w:lineRule="exact"/>
        <w:rPr>
          <w:rFonts w:ascii="Arial" w:cs="Arial" w:eastAsia="Arial" w:hAnsi="Arial"/>
          <w:sz w:val="20"/>
          <w:szCs w:val="20"/>
          <w:color w:val="auto"/>
          <w:vertAlign w:val="superscript"/>
        </w:rPr>
      </w:pPr>
    </w:p>
    <w:p>
      <w:pPr>
        <w:jc w:val="both"/>
        <w:ind w:left="160" w:hanging="157"/>
        <w:spacing w:after="0"/>
        <w:tabs>
          <w:tab w:leader="none" w:pos="188"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267" w:lineRule="exact"/>
        <w:rPr>
          <w:rFonts w:ascii="Arial" w:cs="Arial" w:eastAsia="Arial" w:hAnsi="Arial"/>
          <w:sz w:val="20"/>
          <w:szCs w:val="20"/>
          <w:color w:val="auto"/>
          <w:vertAlign w:val="superscript"/>
        </w:rPr>
      </w:pPr>
    </w:p>
    <w:p>
      <w:pPr>
        <w:ind w:left="160" w:hanging="157"/>
        <w:spacing w:after="0" w:line="229" w:lineRule="auto"/>
        <w:tabs>
          <w:tab w:leader="none" w:pos="181"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Represents gross outstanding borrowings under our Amended Credit Facility. Due to variable interest rates, the carrying value of outstanding borrowings under this facility approximates the fair value. See Note 8, “Credit Facility,” for further information.</w:t>
      </w:r>
    </w:p>
    <w:p>
      <w:pPr>
        <w:spacing w:after="0" w:line="80" w:lineRule="exact"/>
        <w:rPr>
          <w:rFonts w:ascii="Arial" w:cs="Arial" w:eastAsia="Arial" w:hAnsi="Arial"/>
          <w:sz w:val="20"/>
          <w:szCs w:val="20"/>
          <w:color w:val="auto"/>
          <w:vertAlign w:val="superscript"/>
        </w:rPr>
      </w:pPr>
    </w:p>
    <w:p>
      <w:pPr>
        <w:jc w:val="both"/>
        <w:ind w:left="160" w:hanging="157"/>
        <w:spacing w:after="0" w:line="249" w:lineRule="auto"/>
        <w:tabs>
          <w:tab w:leader="none" w:pos="173"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are included in “Other noncurrent assets” on the accompanying unaudited Consolidated Balance Sheets. See Note 8, “Credit Facility,” for further information.</w:t>
      </w:r>
    </w:p>
    <w:p>
      <w:pPr>
        <w:spacing w:after="0" w:line="75" w:lineRule="exact"/>
        <w:rPr>
          <w:rFonts w:ascii="Arial" w:cs="Arial" w:eastAsia="Arial" w:hAnsi="Arial"/>
          <w:sz w:val="20"/>
          <w:szCs w:val="20"/>
          <w:color w:val="auto"/>
          <w:vertAlign w:val="superscript"/>
        </w:rPr>
      </w:pPr>
    </w:p>
    <w:p>
      <w:pPr>
        <w:ind w:left="160" w:hanging="157"/>
        <w:spacing w:after="0" w:line="264" w:lineRule="auto"/>
        <w:tabs>
          <w:tab w:leader="none" w:pos="156"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72" w:lineRule="exact"/>
        <w:rPr>
          <w:rFonts w:ascii="Arial" w:cs="Arial" w:eastAsia="Arial" w:hAnsi="Arial"/>
          <w:sz w:val="18"/>
          <w:szCs w:val="18"/>
          <w:color w:val="auto"/>
          <w:vertAlign w:val="superscript"/>
        </w:rPr>
      </w:pPr>
    </w:p>
    <w:p>
      <w:pPr>
        <w:jc w:val="both"/>
        <w:ind w:left="160" w:hanging="157"/>
        <w:spacing w:after="0" w:line="271" w:lineRule="auto"/>
        <w:tabs>
          <w:tab w:leader="none" w:pos="156"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Our contingent consideration payable related to the RavenVolt Acquisition is remeasured at each reporting date, based on significant inputs not observable in the market. The contingent consideration payment related to calendar year 2024, which was made in May 2025, represented a Level 3 measurement at October 31, 2024, and the amount related to calendar year 2025, payable in calendar year 2026, represents a Level 3 measurement at July 31, 2025 and October 31, 2024,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See Note 3, “Acquisitions,” for further information.</w:t>
      </w:r>
    </w:p>
    <w:p>
      <w:pPr>
        <w:spacing w:after="0" w:line="248"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The balance at July 31, 2025, represents the contingent consideration payable in calendar year 2027 related to the LMC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Non-Financial Assets Measured at Fair Value on a Non-Recurring Basis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Actuarial Review and Interim Update Performed During 2025</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third quarter of 2025, we performed a comprehensive actuarial review of the majority of our casualty insurance programs that considered changes in claims development and claims payment activity for the period of November 1, 2024, through April 30, 2025 (the “Actuarial Review”). The Actuarial Review was comprehensive in nature and was based on loss development patterns, trend assumptions, and underlying expected loss costs during the period analyzed.</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nine months ended July 31, 2025, based on the results of the Actuarial Review, we made an insignificant adjustment to our total reserves for known claims as well as our estimate of the loss amounts associated with incurred but not reported claims (“IBNR claims”). During the nine months ended July 31, 2024, based on the results of the Actuarial Review, we increased our total reserves related to prior years by $17.9 million. We will continue to assess ongoing developments, which may result in further adjustments to reserves.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Insurance-Related Balances and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780" w:type="dxa"/>
            <w:vAlign w:val="bottom"/>
            <w:gridSpan w:val="2"/>
          </w:tcPr>
          <w:p>
            <w:pPr>
              <w:ind w:left="200"/>
              <w:spacing w:after="0"/>
              <w:rPr>
                <w:sz w:val="20"/>
                <w:szCs w:val="20"/>
                <w:color w:val="auto"/>
              </w:rPr>
            </w:pPr>
            <w:r>
              <w:rPr>
                <w:rFonts w:ascii="Arial" w:cs="Arial" w:eastAsia="Arial" w:hAnsi="Arial"/>
                <w:sz w:val="15"/>
                <w:szCs w:val="15"/>
                <w:b w:val="1"/>
                <w:bCs w:val="1"/>
                <w:color w:val="auto"/>
              </w:rPr>
              <w:t>July 31, 2025</w:t>
            </w:r>
          </w:p>
        </w:tc>
        <w:tc>
          <w:tcPr>
            <w:tcW w:w="240" w:type="dxa"/>
            <w:vAlign w:val="bottom"/>
          </w:tcPr>
          <w:p>
            <w:pPr>
              <w:spacing w:after="0"/>
              <w:rPr>
                <w:sz w:val="15"/>
                <w:szCs w:val="15"/>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31, 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Insurance claim reserves, excluding medical and dental</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613.1</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608.4</w:t>
            </w:r>
          </w:p>
        </w:tc>
      </w:tr>
      <w:tr>
        <w:trPr>
          <w:trHeight w:val="205"/>
        </w:trPr>
        <w:tc>
          <w:tcPr>
            <w:tcW w:w="7180" w:type="dxa"/>
            <w:vAlign w:val="bottom"/>
            <w:gridSpan w:val="3"/>
          </w:tcPr>
          <w:p>
            <w:pPr>
              <w:ind w:left="20"/>
              <w:spacing w:after="0"/>
              <w:rPr>
                <w:sz w:val="20"/>
                <w:szCs w:val="20"/>
                <w:color w:val="auto"/>
              </w:rPr>
            </w:pPr>
            <w:r>
              <w:rPr>
                <w:rFonts w:ascii="Arial" w:cs="Arial" w:eastAsia="Arial" w:hAnsi="Arial"/>
                <w:sz w:val="15"/>
                <w:szCs w:val="15"/>
                <w:color w:val="auto"/>
              </w:rPr>
              <w:t>Medical and dental claim reserves</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07"/>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Insurance recoverables</w:t>
            </w:r>
          </w:p>
        </w:tc>
        <w:tc>
          <w:tcPr>
            <w:tcW w:w="300" w:type="dxa"/>
            <w:vAlign w:val="bottom"/>
            <w:shd w:val="clear" w:color="auto" w:fill="DCE2EF"/>
          </w:tcPr>
          <w:p>
            <w:pPr>
              <w:spacing w:after="0"/>
              <w:rPr>
                <w:sz w:val="18"/>
                <w:szCs w:val="18"/>
                <w:color w:val="auto"/>
              </w:rPr>
            </w:pP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85.6</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91.0</w:t>
            </w: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July 31, 2025, and October 31, 2024, insurance recoverables are included in both “Other current assets” and “Other noncurrent assets” on the accompanying unaudited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Instruments Used to Collateralize Our Insurance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780" w:type="dxa"/>
            <w:vAlign w:val="bottom"/>
            <w:gridSpan w:val="2"/>
          </w:tcPr>
          <w:p>
            <w:pPr>
              <w:ind w:left="200"/>
              <w:spacing w:after="0"/>
              <w:rPr>
                <w:sz w:val="20"/>
                <w:szCs w:val="20"/>
                <w:color w:val="auto"/>
              </w:rPr>
            </w:pPr>
            <w:r>
              <w:rPr>
                <w:rFonts w:ascii="Arial" w:cs="Arial" w:eastAsia="Arial" w:hAnsi="Arial"/>
                <w:sz w:val="15"/>
                <w:szCs w:val="15"/>
                <w:b w:val="1"/>
                <w:bCs w:val="1"/>
                <w:color w:val="auto"/>
              </w:rPr>
              <w:t>July 31, 2025</w:t>
            </w:r>
          </w:p>
        </w:tc>
        <w:tc>
          <w:tcPr>
            <w:tcW w:w="240" w:type="dxa"/>
            <w:vAlign w:val="bottom"/>
          </w:tcPr>
          <w:p>
            <w:pPr>
              <w:spacing w:after="0"/>
              <w:rPr>
                <w:sz w:val="15"/>
                <w:szCs w:val="15"/>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31, 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Standby letters of credit</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53.1</w:t>
            </w:r>
          </w:p>
        </w:tc>
      </w:tr>
      <w:tr>
        <w:trPr>
          <w:trHeight w:val="205"/>
        </w:trPr>
        <w:tc>
          <w:tcPr>
            <w:tcW w:w="7180" w:type="dxa"/>
            <w:vAlign w:val="bottom"/>
            <w:gridSpan w:val="3"/>
          </w:tcPr>
          <w:p>
            <w:pPr>
              <w:ind w:left="20"/>
              <w:spacing w:after="0"/>
              <w:rPr>
                <w:sz w:val="20"/>
                <w:szCs w:val="20"/>
                <w:color w:val="auto"/>
              </w:rPr>
            </w:pPr>
            <w:r>
              <w:rPr>
                <w:rFonts w:ascii="Arial" w:cs="Arial" w:eastAsia="Arial" w:hAnsi="Arial"/>
                <w:sz w:val="15"/>
                <w:szCs w:val="15"/>
                <w:color w:val="auto"/>
              </w:rPr>
              <w:t>Surety bonds and surety-backed letters of credit</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212.3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175.3</w:t>
            </w:r>
          </w:p>
        </w:tc>
      </w:tr>
      <w:tr>
        <w:trPr>
          <w:trHeight w:val="20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Restricted insurance deposits</w:t>
            </w:r>
          </w:p>
        </w:tc>
        <w:tc>
          <w:tcPr>
            <w:tcW w:w="300" w:type="dxa"/>
            <w:vAlign w:val="bottom"/>
            <w:tcBorders>
              <w:bottom w:val="single" w:sz="8" w:color="auto"/>
            </w:tcBorders>
            <w:shd w:val="clear" w:color="auto" w:fill="DCE2EF"/>
          </w:tcPr>
          <w:p>
            <w:pPr>
              <w:spacing w:after="0"/>
              <w:rPr>
                <w:sz w:val="17"/>
                <w:szCs w:val="17"/>
                <w:color w:val="auto"/>
              </w:rPr>
            </w:pPr>
          </w:p>
        </w:tc>
        <w:tc>
          <w:tcPr>
            <w:tcW w:w="16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2.3</w:t>
            </w:r>
          </w:p>
        </w:tc>
      </w:tr>
      <w:tr>
        <w:trPr>
          <w:trHeight w:val="200"/>
        </w:trPr>
        <w:tc>
          <w:tcPr>
            <w:tcW w:w="718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Credit Facility Information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5"/>
                <w:szCs w:val="15"/>
                <w:b w:val="1"/>
                <w:bCs w:val="1"/>
                <w:color w:val="auto"/>
              </w:rPr>
              <w:t>July 31, 2025</w:t>
            </w:r>
          </w:p>
        </w:tc>
        <w:tc>
          <w:tcPr>
            <w:tcW w:w="240" w:type="dxa"/>
            <w:vAlign w:val="bottom"/>
          </w:tcPr>
          <w:p>
            <w:pPr>
              <w:spacing w:after="0"/>
              <w:rPr>
                <w:sz w:val="16"/>
                <w:szCs w:val="16"/>
                <w:color w:val="auto"/>
              </w:rPr>
            </w:pPr>
          </w:p>
        </w:tc>
        <w:tc>
          <w:tcPr>
            <w:tcW w:w="1740" w:type="dxa"/>
            <w:vAlign w:val="bottom"/>
          </w:tcPr>
          <w:p>
            <w:pPr>
              <w:jc w:val="right"/>
              <w:ind w:right="303"/>
              <w:spacing w:after="0"/>
              <w:rPr>
                <w:sz w:val="20"/>
                <w:szCs w:val="20"/>
                <w:color w:val="auto"/>
              </w:rPr>
            </w:pPr>
            <w:r>
              <w:rPr>
                <w:rFonts w:ascii="Arial" w:cs="Arial" w:eastAsia="Arial" w:hAnsi="Arial"/>
                <w:sz w:val="15"/>
                <w:szCs w:val="15"/>
                <w:b w:val="1"/>
                <w:bCs w:val="1"/>
                <w:color w:val="auto"/>
              </w:rPr>
              <w:t>October 31, 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6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15"/>
        </w:trPr>
        <w:tc>
          <w:tcPr>
            <w:tcW w:w="71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portion of long-term debt</w:t>
            </w:r>
            <w:r>
              <w:rPr>
                <w:rFonts w:ascii="Arial" w:cs="Arial" w:eastAsia="Arial" w:hAnsi="Arial"/>
                <w:sz w:val="20"/>
                <w:szCs w:val="20"/>
                <w:color w:val="auto"/>
                <w:vertAlign w:val="superscript"/>
              </w:rPr>
              <w:t>(1)(2)</w:t>
            </w:r>
          </w:p>
        </w:tc>
        <w:tc>
          <w:tcPr>
            <w:tcW w:w="300" w:type="dxa"/>
            <w:vAlign w:val="bottom"/>
            <w:shd w:val="clear" w:color="auto" w:fill="DCE2EF"/>
          </w:tcPr>
          <w:p>
            <w:pPr>
              <w:spacing w:after="0"/>
              <w:rPr>
                <w:sz w:val="24"/>
                <w:szCs w:val="24"/>
                <w:color w:val="auto"/>
              </w:rPr>
            </w:pPr>
          </w:p>
        </w:tc>
        <w:tc>
          <w:tcPr>
            <w:tcW w:w="16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140" w:type="dxa"/>
            <w:vAlign w:val="bottom"/>
            <w:gridSpan w:val="2"/>
          </w:tcPr>
          <w:p>
            <w:pPr>
              <w:ind w:left="200"/>
              <w:spacing w:after="0"/>
              <w:rPr>
                <w:sz w:val="20"/>
                <w:szCs w:val="20"/>
                <w:color w:val="auto"/>
              </w:rPr>
            </w:pPr>
            <w:r>
              <w:rPr>
                <w:rFonts w:ascii="Arial" w:cs="Arial" w:eastAsia="Arial" w:hAnsi="Arial"/>
                <w:sz w:val="15"/>
                <w:szCs w:val="15"/>
                <w:color w:val="auto"/>
              </w:rPr>
              <w:t>Gross term loan</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32.5</w:t>
            </w:r>
          </w:p>
        </w:tc>
      </w:tr>
      <w:tr>
        <w:trPr>
          <w:trHeight w:val="207"/>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Unamortized deferred financing costs</w:t>
            </w:r>
          </w:p>
        </w:tc>
        <w:tc>
          <w:tcPr>
            <w:tcW w:w="300" w:type="dxa"/>
            <w:vAlign w:val="bottom"/>
            <w:tcBorders>
              <w:bottom w:val="single" w:sz="8" w:color="auto"/>
            </w:tcBorders>
            <w:shd w:val="clear" w:color="auto" w:fill="DCE2EF"/>
          </w:tcPr>
          <w:p>
            <w:pPr>
              <w:spacing w:after="0"/>
              <w:rPr>
                <w:sz w:val="18"/>
                <w:szCs w:val="18"/>
                <w:color w:val="auto"/>
              </w:rPr>
            </w:pPr>
          </w:p>
        </w:tc>
        <w:tc>
          <w:tcPr>
            <w:tcW w:w="1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(0.9)</w:t>
            </w:r>
          </w:p>
        </w:tc>
      </w:tr>
      <w:tr>
        <w:trPr>
          <w:trHeight w:val="314"/>
        </w:trPr>
        <w:tc>
          <w:tcPr>
            <w:tcW w:w="7160" w:type="dxa"/>
            <w:vAlign w:val="bottom"/>
            <w:gridSpan w:val="3"/>
          </w:tcPr>
          <w:p>
            <w:pPr>
              <w:ind w:left="20"/>
              <w:spacing w:after="0"/>
              <w:rPr>
                <w:sz w:val="20"/>
                <w:szCs w:val="20"/>
                <w:color w:val="auto"/>
              </w:rPr>
            </w:pPr>
            <w:r>
              <w:rPr>
                <w:rFonts w:ascii="Arial" w:cs="Arial" w:eastAsia="Arial" w:hAnsi="Arial"/>
                <w:sz w:val="15"/>
                <w:szCs w:val="15"/>
                <w:color w:val="auto"/>
              </w:rPr>
              <w:t>Current portion of term loan</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31.6</w:t>
            </w:r>
          </w:p>
        </w:tc>
      </w:tr>
      <w:tr>
        <w:trPr>
          <w:trHeight w:val="246"/>
        </w:trPr>
        <w:tc>
          <w:tcPr>
            <w:tcW w:w="20" w:type="dxa"/>
            <w:vAlign w:val="bottom"/>
            <w:shd w:val="clear" w:color="auto" w:fill="DCE2EF"/>
          </w:tcPr>
          <w:p>
            <w:pPr>
              <w:spacing w:after="0"/>
              <w:rPr>
                <w:sz w:val="21"/>
                <w:szCs w:val="21"/>
                <w:color w:val="auto"/>
              </w:rPr>
            </w:pPr>
          </w:p>
        </w:tc>
        <w:tc>
          <w:tcPr>
            <w:tcW w:w="680" w:type="dxa"/>
            <w:vAlign w:val="bottom"/>
            <w:shd w:val="clear" w:color="auto" w:fill="DCE2EF"/>
          </w:tcPr>
          <w:p>
            <w:pPr>
              <w:spacing w:after="0"/>
              <w:rPr>
                <w:sz w:val="21"/>
                <w:szCs w:val="21"/>
                <w:color w:val="auto"/>
              </w:rPr>
            </w:pPr>
          </w:p>
        </w:tc>
        <w:tc>
          <w:tcPr>
            <w:tcW w:w="646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6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40" w:type="dxa"/>
            <w:vAlign w:val="bottom"/>
            <w:shd w:val="clear" w:color="auto" w:fill="DCE2EF"/>
          </w:tcPr>
          <w:p>
            <w:pPr>
              <w:spacing w:after="0"/>
              <w:rPr>
                <w:sz w:val="21"/>
                <w:szCs w:val="21"/>
                <w:color w:val="auto"/>
              </w:rPr>
            </w:pPr>
          </w:p>
        </w:tc>
      </w:tr>
      <w:tr>
        <w:trPr>
          <w:trHeight w:val="335"/>
        </w:trPr>
        <w:tc>
          <w:tcPr>
            <w:tcW w:w="7160" w:type="dxa"/>
            <w:vAlign w:val="bottom"/>
            <w:gridSpan w:val="3"/>
          </w:tcPr>
          <w:p>
            <w:pPr>
              <w:ind w:left="20"/>
              <w:spacing w:after="0"/>
              <w:rPr>
                <w:sz w:val="20"/>
                <w:szCs w:val="20"/>
                <w:color w:val="auto"/>
              </w:rPr>
            </w:pPr>
            <w:r>
              <w:rPr>
                <w:rFonts w:ascii="Arial" w:cs="Arial" w:eastAsia="Arial" w:hAnsi="Arial"/>
                <w:sz w:val="15"/>
                <w:szCs w:val="15"/>
                <w:color w:val="auto"/>
              </w:rPr>
              <w:t>Long-term debt</w:t>
            </w:r>
            <w:r>
              <w:rPr>
                <w:rFonts w:ascii="Arial" w:cs="Arial" w:eastAsia="Arial" w:hAnsi="Arial"/>
                <w:sz w:val="20"/>
                <w:szCs w:val="20"/>
                <w:color w:val="auto"/>
                <w:vertAlign w:val="superscript"/>
              </w:rPr>
              <w:t>(1)(2)</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6"/>
        </w:trPr>
        <w:tc>
          <w:tcPr>
            <w:tcW w:w="20" w:type="dxa"/>
            <w:vAlign w:val="bottom"/>
            <w:shd w:val="clear" w:color="auto" w:fill="DCE2EF"/>
          </w:tcPr>
          <w:p>
            <w:pPr>
              <w:spacing w:after="0"/>
              <w:rPr>
                <w:sz w:val="17"/>
                <w:szCs w:val="17"/>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Gross term loan</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562.5</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503.8</w:t>
            </w:r>
          </w:p>
        </w:tc>
      </w:tr>
      <w:tr>
        <w:trPr>
          <w:trHeight w:val="205"/>
        </w:trPr>
        <w:tc>
          <w:tcPr>
            <w:tcW w:w="20" w:type="dxa"/>
            <w:vAlign w:val="bottom"/>
            <w:tcBorders>
              <w:bottom w:val="single" w:sz="8" w:color="DCE2EF"/>
            </w:tcBorders>
          </w:tcPr>
          <w:p>
            <w:pPr>
              <w:spacing w:after="0"/>
              <w:rPr>
                <w:sz w:val="17"/>
                <w:szCs w:val="17"/>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5"/>
                <w:szCs w:val="15"/>
                <w:color w:val="auto"/>
              </w:rPr>
              <w:t>Unamortized deferred financing costs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r>
      <w:tr>
        <w:trPr>
          <w:trHeight w:val="316"/>
        </w:trPr>
        <w:tc>
          <w:tcPr>
            <w:tcW w:w="71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Total noncurrent portion of term loan</w:t>
            </w:r>
          </w:p>
        </w:tc>
        <w:tc>
          <w:tcPr>
            <w:tcW w:w="300" w:type="dxa"/>
            <w:vAlign w:val="bottom"/>
            <w:shd w:val="clear" w:color="auto" w:fill="DCE2EF"/>
          </w:tcPr>
          <w:p>
            <w:pPr>
              <w:spacing w:after="0"/>
              <w:rPr>
                <w:sz w:val="24"/>
                <w:szCs w:val="24"/>
                <w:color w:val="auto"/>
              </w:rPr>
            </w:pP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560.4</w:t>
            </w: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503.2</w:t>
            </w:r>
          </w:p>
        </w:tc>
      </w:tr>
      <w:tr>
        <w:trPr>
          <w:trHeight w:val="206"/>
        </w:trPr>
        <w:tc>
          <w:tcPr>
            <w:tcW w:w="20" w:type="dxa"/>
            <w:vAlign w:val="bottom"/>
            <w:tcBorders>
              <w:bottom w:val="single" w:sz="8" w:color="DCE2EF"/>
            </w:tcBorders>
          </w:tcPr>
          <w:p>
            <w:pPr>
              <w:spacing w:after="0"/>
              <w:rPr>
                <w:sz w:val="17"/>
                <w:szCs w:val="17"/>
                <w:color w:val="auto"/>
              </w:rPr>
            </w:pPr>
          </w:p>
        </w:tc>
        <w:tc>
          <w:tcPr>
            <w:tcW w:w="7140" w:type="dxa"/>
            <w:vAlign w:val="bottom"/>
            <w:tcBorders>
              <w:bottom w:val="single" w:sz="8" w:color="DCE2EF"/>
            </w:tcBorders>
            <w:gridSpan w:val="2"/>
          </w:tcPr>
          <w:p>
            <w:pPr>
              <w:ind w:left="200"/>
              <w:spacing w:after="0" w:line="207" w:lineRule="exact"/>
              <w:rPr>
                <w:sz w:val="20"/>
                <w:szCs w:val="20"/>
                <w:color w:val="auto"/>
              </w:rPr>
            </w:pPr>
            <w:r>
              <w:rPr>
                <w:rFonts w:ascii="Arial" w:cs="Arial" w:eastAsia="Arial" w:hAnsi="Arial"/>
                <w:sz w:val="15"/>
                <w:szCs w:val="15"/>
                <w:color w:val="auto"/>
              </w:rPr>
              <w:t>Revolving line of credit</w:t>
            </w:r>
            <w:r>
              <w:rPr>
                <w:rFonts w:ascii="Arial" w:cs="Arial" w:eastAsia="Arial" w:hAnsi="Arial"/>
                <w:sz w:val="20"/>
                <w:szCs w:val="20"/>
                <w:color w:val="auto"/>
                <w:vertAlign w:val="superscript"/>
              </w:rPr>
              <w:t>(3)</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940.0</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799.0</w:t>
            </w:r>
          </w:p>
        </w:tc>
      </w:tr>
      <w:tr>
        <w:trPr>
          <w:trHeight w:val="314"/>
        </w:trPr>
        <w:tc>
          <w:tcPr>
            <w:tcW w:w="71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Long-term debt</w:t>
            </w: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1,500.4</w:t>
            </w:r>
          </w:p>
        </w:tc>
        <w:tc>
          <w:tcPr>
            <w:tcW w:w="100" w:type="dxa"/>
            <w:vAlign w:val="bottom"/>
            <w:tcBorders>
              <w:bottom w:val="single" w:sz="8" w:color="DCE2EF"/>
            </w:tcBorders>
            <w:shd w:val="clear" w:color="auto" w:fill="DCE2EF"/>
          </w:tcPr>
          <w:p>
            <w:pPr>
              <w:spacing w:after="0"/>
              <w:rPr>
                <w:sz w:val="24"/>
                <w:szCs w:val="24"/>
                <w:color w:val="auto"/>
              </w:rPr>
            </w:pPr>
          </w:p>
        </w:tc>
        <w:tc>
          <w:tcPr>
            <w:tcW w:w="24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1,302.2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4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6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740" w:type="dxa"/>
            <w:vAlign w:val="bottom"/>
            <w:tcBorders>
              <w:top w:val="single" w:sz="8" w:color="DCE2E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57"/>
        <w:spacing w:after="0" w:line="283" w:lineRule="auto"/>
        <w:tabs>
          <w:tab w:leader="none" w:pos="15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At July 31, 2025, and October 31, 2024, the weighted average interest rate on all outstanding borrowings, not including letters of credit and swaps, was 6.09% and 6.68%, respectively.</w:t>
      </w:r>
    </w:p>
    <w:p>
      <w:pPr>
        <w:spacing w:after="0" w:line="28"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At July 31, 2025, we had borrowing capacity of $621.7 million.</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At July 31, 2025, standby letters of credit amounted to $29.7 million.</w:t>
      </w:r>
    </w:p>
    <w:p>
      <w:pPr>
        <w:spacing w:after="0" w:line="13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 The Credit Facility was amended on June 28, 2021, to increase the capacity of the Revolver and term loan to $1.3 billion and $650 million, respectively, and to extend the maturity to June 28, 2026. It was further amended on November 1, 2022, to transition the benchmark interest rate from London Interbank Offered Rate (“LIBOR”) to Secured Overnight Financing Rate (“SOFR”).</w:t>
      </w:r>
    </w:p>
    <w:p>
      <w:pPr>
        <w:spacing w:after="0" w:line="12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February 26, 2025, we amended and restated the Credit Facility (the “Amended Credit Facility”), extending the maturity date to February 26, 2030, and increasing the capacity of the revolving credit facility from $ 1.3 billion to $1.6 billion and the then-remaining term loan outstanding from $528.1 million to $600.0 million. The Amended Credit Facility provides for the issuance of up to $250.0 million for standby letters of credit and the issuance of up to $100.0 million in swingline advances.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July 31, 2025, we were in compliance with these covenants.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7"/>
          <w:szCs w:val="17"/>
          <w:color w:val="auto"/>
        </w:rPr>
        <w:t>Amended Credit Facility, declare all amounts outstanding (including all accrued interest and unpaid fees) to be immediately due and payable, and require that we cash collateralize the outstanding standby letters of credit.</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incurred deferred financing costs of $8.0 million in conjunction with the execution of the Amended Credit Facility and carried over $2.9 million of unamortized deferred financing from initial execution and previous amendments of the Credit Facility. Total deferred financing costs of $10.9 million, consisting of $3.0 million related to the term loan and $7.9 million related to the Revolver, are being amortized to interest expense over the term of the Amended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Long-Term Debt Maturities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During the three and nine months ended July 31, 2025, we made principal payments under the term loan of $7.5 million and $15.6 million, respectively. As of July 31, 2025, the following principal payments are required under the Amended Credit Facility: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2026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2028</w:t>
            </w:r>
          </w:p>
        </w:tc>
        <w:tc>
          <w:tcPr>
            <w:tcW w:w="80" w:type="dxa"/>
            <w:vAlign w:val="bottom"/>
          </w:tcPr>
          <w:p>
            <w:pPr>
              <w:spacing w:after="0"/>
              <w:rPr>
                <w:sz w:val="16"/>
                <w:szCs w:val="16"/>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b w:val="1"/>
                <w:bCs w:val="1"/>
                <w:color w:val="auto"/>
              </w:rPr>
              <w:t>2029</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2030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580" w:type="dxa"/>
            <w:vAlign w:val="bottom"/>
            <w:tcBorders>
              <w:bottom w:val="single" w:sz="8" w:color="DCE2E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9"/>
        </w:trPr>
        <w:tc>
          <w:tcPr>
            <w:tcW w:w="22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Debt maturities</w:t>
            </w:r>
          </w:p>
        </w:tc>
        <w:tc>
          <w:tcPr>
            <w:tcW w:w="1000" w:type="dxa"/>
            <w:vAlign w:val="bottom"/>
            <w:shd w:val="clear" w:color="auto" w:fill="DCE2EF"/>
          </w:tcPr>
          <w:p>
            <w:pPr>
              <w:jc w:val="right"/>
              <w:ind w:right="823"/>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7.5</w:t>
            </w:r>
          </w:p>
        </w:tc>
        <w:tc>
          <w:tcPr>
            <w:tcW w:w="80" w:type="dxa"/>
            <w:vAlign w:val="bottom"/>
            <w:shd w:val="clear" w:color="auto" w:fill="DCE2EF"/>
          </w:tcPr>
          <w:p>
            <w:pPr>
              <w:spacing w:after="0"/>
              <w:rPr>
                <w:sz w:val="17"/>
                <w:szCs w:val="17"/>
                <w:color w:val="auto"/>
              </w:rPr>
            </w:pPr>
          </w:p>
        </w:tc>
        <w:tc>
          <w:tcPr>
            <w:tcW w:w="960" w:type="dxa"/>
            <w:vAlign w:val="bottom"/>
            <w:shd w:val="clear" w:color="auto" w:fill="DCE2EF"/>
          </w:tcPr>
          <w:p>
            <w:pPr>
              <w:jc w:val="right"/>
              <w:ind w:right="78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30.0</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30.0</w:t>
            </w:r>
          </w:p>
        </w:tc>
        <w:tc>
          <w:tcPr>
            <w:tcW w:w="80" w:type="dxa"/>
            <w:vAlign w:val="bottom"/>
            <w:shd w:val="clear" w:color="auto" w:fill="DCE2EF"/>
          </w:tcPr>
          <w:p>
            <w:pPr>
              <w:spacing w:after="0"/>
              <w:rPr>
                <w:sz w:val="17"/>
                <w:szCs w:val="17"/>
                <w:color w:val="auto"/>
              </w:rPr>
            </w:pPr>
          </w:p>
        </w:tc>
        <w:tc>
          <w:tcPr>
            <w:tcW w:w="980" w:type="dxa"/>
            <w:vAlign w:val="bottom"/>
            <w:shd w:val="clear" w:color="auto" w:fill="DCE2EF"/>
          </w:tcPr>
          <w:p>
            <w:pPr>
              <w:jc w:val="right"/>
              <w:ind w:right="803"/>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1,405.0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Swaps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6, “Fair Value of Financial Instruments.”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Notional Amount</w:t>
            </w:r>
          </w:p>
        </w:tc>
        <w:tc>
          <w:tcPr>
            <w:tcW w:w="100" w:type="dxa"/>
            <w:vAlign w:val="bottom"/>
            <w:tcBorders>
              <w:bottom w:val="single" w:sz="8" w:color="DCE2E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Fixed Interest Rate</w:t>
            </w:r>
          </w:p>
        </w:tc>
        <w:tc>
          <w:tcPr>
            <w:tcW w:w="100" w:type="dxa"/>
            <w:vAlign w:val="bottom"/>
            <w:tcBorders>
              <w:bottom w:val="single" w:sz="8" w:color="DCE2EF"/>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Effective Date</w:t>
            </w:r>
          </w:p>
        </w:tc>
        <w:tc>
          <w:tcPr>
            <w:tcW w:w="100" w:type="dxa"/>
            <w:vAlign w:val="bottom"/>
            <w:tcBorders>
              <w:bottom w:val="single" w:sz="8" w:color="DCE2EF"/>
            </w:tcBorders>
          </w:tcPr>
          <w:p>
            <w:pPr>
              <w:spacing w:after="0"/>
              <w:rPr>
                <w:sz w:val="18"/>
                <w:szCs w:val="18"/>
                <w:color w:val="auto"/>
              </w:rPr>
            </w:pP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Maturity Date</w:t>
            </w:r>
          </w:p>
        </w:tc>
      </w:tr>
      <w:tr>
        <w:trPr>
          <w:trHeight w:val="199"/>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DCE2EF"/>
          </w:tcPr>
          <w:p>
            <w:pPr>
              <w:spacing w:after="0"/>
              <w:rPr>
                <w:sz w:val="17"/>
                <w:szCs w:val="17"/>
                <w:color w:val="auto"/>
              </w:rPr>
            </w:pPr>
          </w:p>
        </w:tc>
        <w:tc>
          <w:tcPr>
            <w:tcW w:w="284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February 9, 2022</w:t>
            </w:r>
          </w:p>
        </w:tc>
        <w:tc>
          <w:tcPr>
            <w:tcW w:w="2740" w:type="dxa"/>
            <w:vAlign w:val="bottom"/>
            <w:shd w:val="clear" w:color="auto" w:fill="DCE2EF"/>
          </w:tcPr>
          <w:p>
            <w:pPr>
              <w:ind w:left="880"/>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$150.0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7"/>
                <w:szCs w:val="17"/>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5"/>
                <w:szCs w:val="15"/>
                <w:color w:val="auto"/>
              </w:rPr>
              <w:t>February 25, 2022</w:t>
            </w:r>
          </w:p>
        </w:tc>
        <w:tc>
          <w:tcPr>
            <w:tcW w:w="2740" w:type="dxa"/>
            <w:vAlign w:val="bottom"/>
          </w:tcPr>
          <w:p>
            <w:pPr>
              <w:ind w:left="880"/>
              <w:spacing w:after="0"/>
              <w:rPr>
                <w:sz w:val="20"/>
                <w:szCs w:val="20"/>
                <w:color w:val="auto"/>
              </w:rPr>
            </w:pPr>
            <w:r>
              <w:rPr>
                <w:rFonts w:ascii="Arial" w:cs="Arial" w:eastAsia="Arial" w:hAnsi="Arial"/>
                <w:sz w:val="15"/>
                <w:szCs w:val="15"/>
                <w:color w:val="auto"/>
              </w:rPr>
              <w:t>June 28, 2026</w:t>
            </w:r>
          </w:p>
        </w:tc>
      </w:tr>
      <w:tr>
        <w:trPr>
          <w:trHeight w:val="207"/>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May 4, 2022</w:t>
            </w:r>
          </w:p>
        </w:tc>
        <w:tc>
          <w:tcPr>
            <w:tcW w:w="2740" w:type="dxa"/>
            <w:vAlign w:val="bottom"/>
            <w:shd w:val="clear" w:color="auto" w:fill="DCE2EF"/>
          </w:tcPr>
          <w:p>
            <w:pPr>
              <w:ind w:left="880"/>
              <w:spacing w:after="0"/>
              <w:rPr>
                <w:sz w:val="20"/>
                <w:szCs w:val="20"/>
                <w:color w:val="auto"/>
              </w:rPr>
            </w:pPr>
            <w:r>
              <w:rPr>
                <w:rFonts w:ascii="Arial" w:cs="Arial" w:eastAsia="Arial" w:hAnsi="Arial"/>
                <w:sz w:val="15"/>
                <w:szCs w:val="15"/>
                <w:color w:val="auto"/>
              </w:rPr>
              <w:t>June 28, 2026</w:t>
            </w:r>
          </w:p>
        </w:tc>
      </w:tr>
      <w:tr>
        <w:trPr>
          <w:trHeight w:val="206"/>
        </w:trPr>
        <w:tc>
          <w:tcPr>
            <w:tcW w:w="2820" w:type="dxa"/>
            <w:vAlign w:val="bottom"/>
            <w:gridSpan w:val="2"/>
          </w:tcPr>
          <w:p>
            <w:pPr>
              <w:jc w:val="center"/>
              <w:ind w:left="23"/>
              <w:spacing w:after="0" w:line="207" w:lineRule="exact"/>
              <w:rPr>
                <w:sz w:val="20"/>
                <w:szCs w:val="20"/>
                <w:color w:val="auto"/>
              </w:rPr>
            </w:pPr>
            <w:r>
              <w:rPr>
                <w:rFonts w:ascii="Arial" w:cs="Arial" w:eastAsia="Arial" w:hAnsi="Arial"/>
                <w:sz w:val="15"/>
                <w:szCs w:val="15"/>
                <w:color w:val="auto"/>
                <w:w w:val="99"/>
              </w:rPr>
              <w:t xml:space="preserve">$161.9 million </w:t>
            </w:r>
            <w:r>
              <w:rPr>
                <w:rFonts w:ascii="Arial" w:cs="Arial" w:eastAsia="Arial" w:hAnsi="Arial"/>
                <w:sz w:val="20"/>
                <w:szCs w:val="20"/>
                <w:color w:val="auto"/>
                <w:w w:val="99"/>
                <w:vertAlign w:val="superscript"/>
              </w:rPr>
              <w:t>(1)</w:t>
            </w:r>
          </w:p>
        </w:tc>
        <w:tc>
          <w:tcPr>
            <w:tcW w:w="2720" w:type="dxa"/>
            <w:vAlign w:val="bottom"/>
          </w:tcPr>
          <w:p>
            <w:pPr>
              <w:jc w:val="center"/>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July 7, 2022</w:t>
            </w:r>
          </w:p>
        </w:tc>
        <w:tc>
          <w:tcPr>
            <w:tcW w:w="2740" w:type="dxa"/>
            <w:vAlign w:val="bottom"/>
          </w:tcPr>
          <w:p>
            <w:pPr>
              <w:ind w:left="880"/>
              <w:spacing w:after="0"/>
              <w:rPr>
                <w:sz w:val="20"/>
                <w:szCs w:val="20"/>
                <w:color w:val="auto"/>
              </w:rPr>
            </w:pPr>
            <w:r>
              <w:rPr>
                <w:rFonts w:ascii="Arial" w:cs="Arial" w:eastAsia="Arial" w:hAnsi="Arial"/>
                <w:sz w:val="15"/>
                <w:szCs w:val="15"/>
                <w:color w:val="auto"/>
              </w:rPr>
              <w:t>June 28, 2026</w:t>
            </w:r>
          </w:p>
        </w:tc>
      </w:tr>
      <w:tr>
        <w:trPr>
          <w:trHeight w:val="206"/>
        </w:trPr>
        <w:tc>
          <w:tcPr>
            <w:tcW w:w="2820" w:type="dxa"/>
            <w:vAlign w:val="bottom"/>
            <w:gridSpan w:val="2"/>
            <w:shd w:val="clear" w:color="auto" w:fill="DCE2EF"/>
          </w:tcPr>
          <w:p>
            <w:pPr>
              <w:jc w:val="center"/>
              <w:ind w:left="23"/>
              <w:spacing w:after="0" w:line="207" w:lineRule="exact"/>
              <w:rPr>
                <w:sz w:val="20"/>
                <w:szCs w:val="20"/>
                <w:color w:val="auto"/>
              </w:rPr>
            </w:pPr>
            <w:r>
              <w:rPr>
                <w:rFonts w:ascii="Arial" w:cs="Arial" w:eastAsia="Arial" w:hAnsi="Arial"/>
                <w:sz w:val="15"/>
                <w:szCs w:val="15"/>
                <w:color w:val="auto"/>
                <w:w w:val="99"/>
              </w:rPr>
              <w:t xml:space="preserve">$13.1 million </w:t>
            </w:r>
            <w:r>
              <w:rPr>
                <w:rFonts w:ascii="Arial" w:cs="Arial" w:eastAsia="Arial" w:hAnsi="Arial"/>
                <w:sz w:val="20"/>
                <w:szCs w:val="20"/>
                <w:color w:val="auto"/>
                <w:w w:val="99"/>
                <w:vertAlign w:val="superscript"/>
              </w:rPr>
              <w:t>(1)</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DCE2EF"/>
          </w:tcPr>
          <w:p>
            <w:pPr>
              <w:spacing w:after="0"/>
              <w:rPr>
                <w:sz w:val="17"/>
                <w:szCs w:val="17"/>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July 18, 2022</w:t>
            </w:r>
          </w:p>
        </w:tc>
        <w:tc>
          <w:tcPr>
            <w:tcW w:w="2740" w:type="dxa"/>
            <w:vAlign w:val="bottom"/>
            <w:shd w:val="clear" w:color="auto" w:fill="DCE2EF"/>
          </w:tcPr>
          <w:p>
            <w:pPr>
              <w:ind w:left="880"/>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$170.0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November 1, 2022</w:t>
            </w:r>
          </w:p>
        </w:tc>
        <w:tc>
          <w:tcPr>
            <w:tcW w:w="2740" w:type="dxa"/>
            <w:vAlign w:val="bottom"/>
          </w:tcPr>
          <w:p>
            <w:pPr>
              <w:ind w:left="880"/>
              <w:spacing w:after="0"/>
              <w:rPr>
                <w:sz w:val="20"/>
                <w:szCs w:val="20"/>
                <w:color w:val="auto"/>
              </w:rPr>
            </w:pPr>
            <w:r>
              <w:rPr>
                <w:rFonts w:ascii="Arial" w:cs="Arial" w:eastAsia="Arial" w:hAnsi="Arial"/>
                <w:sz w:val="15"/>
                <w:szCs w:val="15"/>
                <w:color w:val="auto"/>
              </w:rPr>
              <w:t>June 28, 2026</w:t>
            </w:r>
          </w:p>
        </w:tc>
      </w:tr>
    </w:tbl>
    <w:p>
      <w:pPr>
        <w:spacing w:after="0" w:line="291" w:lineRule="exact"/>
        <w:rPr>
          <w:sz w:val="20"/>
          <w:szCs w:val="20"/>
          <w:color w:val="auto"/>
        </w:rPr>
      </w:pPr>
    </w:p>
    <w:p>
      <w:pPr>
        <w:ind w:left="160" w:hanging="157"/>
        <w:spacing w:after="0" w:line="221" w:lineRule="auto"/>
        <w:tabs>
          <w:tab w:leader="none" w:pos="171"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In July 2022, we entered into interest rate swap agreements with notional values totaling $300.0 million at inception. The notional amount reduces to $100.0 million in October 2025 before maturing on June 28, 2026.</w:t>
      </w:r>
    </w:p>
    <w:p>
      <w:pPr>
        <w:spacing w:after="0" w:line="13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July 31, 2025, and October 31, 2024, amounts recorded in accumulated other comprehensive loss (“AOCL”) for interest rate swaps were a gain of $5.1 million, net of taxes of $2.8 million, and a gain of $9.2 million, net of taxes of $4.3 million, respectively. At July 31, 2025, the total amount expected to be reclassified from AOCL to earnings during the next 12 months is a gain of $5.8 million, net of taxes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0046AD"/>
        </w:rPr>
        <w:t>9.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December 13, 2023, our Board of Directors expanded our existing share repurchase program by an additional $ 150.0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0046AD"/>
        </w:rPr>
        <w:t>Repurchase Activity</w:t>
      </w:r>
    </w:p>
    <w:p>
      <w:pPr>
        <w:spacing w:after="0" w:line="165" w:lineRule="exact"/>
        <w:rPr>
          <w:sz w:val="20"/>
          <w:szCs w:val="20"/>
          <w:color w:val="auto"/>
        </w:rPr>
      </w:pPr>
    </w:p>
    <w:p>
      <w:pPr>
        <w:jc w:val="both"/>
        <w:ind w:right="100" w:firstLine="155"/>
        <w:spacing w:after="0" w:line="290" w:lineRule="auto"/>
        <w:rPr>
          <w:sz w:val="20"/>
          <w:szCs w:val="20"/>
          <w:color w:val="auto"/>
        </w:rPr>
      </w:pPr>
      <w:r>
        <w:rPr>
          <w:rFonts w:ascii="Arial" w:cs="Arial" w:eastAsia="Arial" w:hAnsi="Arial"/>
          <w:sz w:val="17"/>
          <w:szCs w:val="17"/>
          <w:color w:val="auto"/>
        </w:rPr>
        <w:t>We repurchased shares under the share repurchase program during the three and nine months ended July 31, 2025, as summarized below. At July 31, 2025, authorization for $106.1 million of repurchases remained under our share repurchase program.</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Three Months Ended</w:t>
            </w:r>
          </w:p>
        </w:tc>
        <w:tc>
          <w:tcPr>
            <w:tcW w:w="2140" w:type="dxa"/>
            <w:vAlign w:val="bottom"/>
            <w:gridSpan w:val="2"/>
          </w:tcPr>
          <w:p>
            <w:pPr>
              <w:jc w:val="right"/>
              <w:spacing w:after="0"/>
              <w:rPr>
                <w:sz w:val="20"/>
                <w:szCs w:val="20"/>
                <w:color w:val="auto"/>
              </w:rPr>
            </w:pPr>
            <w:r>
              <w:rPr>
                <w:rFonts w:ascii="Arial" w:cs="Arial" w:eastAsia="Arial" w:hAnsi="Arial"/>
                <w:sz w:val="15"/>
                <w:szCs w:val="15"/>
                <w:b w:val="1"/>
                <w:bCs w:val="1"/>
                <w:color w:val="auto"/>
              </w:rPr>
              <w:t>Nine Months Ended July 31,</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July 31, 2025</w:t>
            </w:r>
          </w:p>
        </w:tc>
        <w:tc>
          <w:tcPr>
            <w:tcW w:w="520" w:type="dxa"/>
            <w:vAlign w:val="bottom"/>
          </w:tcPr>
          <w:p>
            <w:pPr>
              <w:spacing w:after="0"/>
              <w:rPr>
                <w:sz w:val="17"/>
                <w:szCs w:val="17"/>
                <w:color w:val="auto"/>
              </w:rPr>
            </w:pPr>
          </w:p>
        </w:tc>
        <w:tc>
          <w:tcPr>
            <w:tcW w:w="1620" w:type="dxa"/>
            <w:vAlign w:val="bottom"/>
          </w:tcPr>
          <w:p>
            <w:pPr>
              <w:jc w:val="right"/>
              <w:ind w:right="783"/>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9"/>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220" w:type="dxa"/>
            <w:vAlign w:val="bottom"/>
            <w:tcBorders>
              <w:top w:val="single" w:sz="8" w:color="auto"/>
            </w:tcBorders>
            <w:shd w:val="clear" w:color="auto" w:fill="DCE2EF"/>
          </w:tcPr>
          <w:p>
            <w:pPr>
              <w:spacing w:after="0"/>
              <w:rPr>
                <w:sz w:val="17"/>
                <w:szCs w:val="17"/>
                <w:color w:val="auto"/>
              </w:rPr>
            </w:pPr>
          </w:p>
        </w:tc>
        <w:tc>
          <w:tcPr>
            <w:tcW w:w="19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0.56</w:t>
            </w:r>
          </w:p>
        </w:tc>
        <w:tc>
          <w:tcPr>
            <w:tcW w:w="100" w:type="dxa"/>
            <w:vAlign w:val="bottom"/>
            <w:tcBorders>
              <w:top w:val="single" w:sz="8" w:color="DCE2EF"/>
            </w:tcBorders>
            <w:shd w:val="clear" w:color="auto" w:fill="DCE2EF"/>
          </w:tcPr>
          <w:p>
            <w:pPr>
              <w:spacing w:after="0"/>
              <w:rPr>
                <w:sz w:val="17"/>
                <w:szCs w:val="17"/>
                <w:color w:val="auto"/>
              </w:rPr>
            </w:pPr>
          </w:p>
        </w:tc>
        <w:tc>
          <w:tcPr>
            <w:tcW w:w="520" w:type="dxa"/>
            <w:vAlign w:val="bottom"/>
            <w:tcBorders>
              <w:top w:val="single" w:sz="8" w:color="auto"/>
            </w:tcBorders>
            <w:shd w:val="clear" w:color="auto" w:fill="DCE2EF"/>
          </w:tcPr>
          <w:p>
            <w:pPr>
              <w:spacing w:after="0"/>
              <w:rPr>
                <w:sz w:val="17"/>
                <w:szCs w:val="17"/>
                <w:color w:val="auto"/>
              </w:rPr>
            </w:pPr>
          </w:p>
        </w:tc>
        <w:tc>
          <w:tcPr>
            <w:tcW w:w="16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0.97</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Average price paid per share </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48.77</w:t>
            </w:r>
          </w:p>
        </w:tc>
        <w:tc>
          <w:tcPr>
            <w:tcW w:w="10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49.82</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27.1</w:t>
            </w:r>
          </w:p>
        </w:tc>
        <w:tc>
          <w:tcPr>
            <w:tcW w:w="100" w:type="dxa"/>
            <w:vAlign w:val="bottom"/>
            <w:shd w:val="clear" w:color="auto" w:fill="DCE2EF"/>
          </w:tcPr>
          <w:p>
            <w:pPr>
              <w:spacing w:after="0"/>
              <w:rPr>
                <w:sz w:val="17"/>
                <w:szCs w:val="17"/>
                <w:color w:val="auto"/>
              </w:rPr>
            </w:pPr>
          </w:p>
        </w:tc>
        <w:tc>
          <w:tcPr>
            <w:tcW w:w="52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80" w:type="dxa"/>
            <w:vAlign w:val="bottom"/>
            <w:gridSpan w:val="3"/>
          </w:tcPr>
          <w:p>
            <w:pPr>
              <w:ind w:left="20"/>
              <w:spacing w:after="0"/>
              <w:rPr>
                <w:sz w:val="20"/>
                <w:szCs w:val="20"/>
                <w:color w:val="auto"/>
              </w:rPr>
            </w:pPr>
            <w:r>
              <w:rPr>
                <w:rFonts w:ascii="Arial" w:cs="Arial" w:eastAsia="Arial" w:hAnsi="Arial"/>
                <w:sz w:val="15"/>
                <w:szCs w:val="15"/>
                <w:b w:val="1"/>
                <w:bCs w:val="1"/>
                <w:color w:val="auto"/>
              </w:rPr>
              <w:t>Three Months Ended July 31,</w:t>
            </w:r>
          </w:p>
        </w:tc>
        <w:tc>
          <w:tcPr>
            <w:tcW w:w="2140" w:type="dxa"/>
            <w:vAlign w:val="bottom"/>
            <w:gridSpan w:val="2"/>
          </w:tcPr>
          <w:p>
            <w:pPr>
              <w:jc w:val="right"/>
              <w:spacing w:after="0"/>
              <w:rPr>
                <w:sz w:val="20"/>
                <w:szCs w:val="20"/>
                <w:color w:val="auto"/>
              </w:rPr>
            </w:pPr>
            <w:r>
              <w:rPr>
                <w:rFonts w:ascii="Arial" w:cs="Arial" w:eastAsia="Arial" w:hAnsi="Arial"/>
                <w:sz w:val="15"/>
                <w:szCs w:val="15"/>
                <w:b w:val="1"/>
                <w:bCs w:val="1"/>
                <w:color w:val="auto"/>
              </w:rPr>
              <w:t>Nine Months Ended July 31,</w:t>
            </w:r>
          </w:p>
        </w:tc>
        <w:tc>
          <w:tcPr>
            <w:tcW w:w="0" w:type="dxa"/>
            <w:vAlign w:val="bottom"/>
          </w:tcPr>
          <w:p>
            <w:pPr>
              <w:spacing w:after="0"/>
              <w:rPr>
                <w:sz w:val="1"/>
                <w:szCs w:val="1"/>
                <w:color w:val="auto"/>
              </w:rPr>
            </w:pPr>
          </w:p>
        </w:tc>
      </w:tr>
      <w:tr>
        <w:trPr>
          <w:trHeight w:val="206"/>
        </w:trPr>
        <w:tc>
          <w:tcPr>
            <w:tcW w:w="6760" w:type="dxa"/>
            <w:vAlign w:val="bottom"/>
            <w:tcBorders>
              <w:bottom w:val="single" w:sz="8" w:color="DCE2EF"/>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DCE2E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6760" w:type="dxa"/>
            <w:vAlign w:val="bottom"/>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500" w:type="dxa"/>
            <w:vAlign w:val="bottom"/>
            <w:shd w:val="clear" w:color="auto" w:fill="DCE2EF"/>
          </w:tcPr>
          <w:p>
            <w:pPr>
              <w:spacing w:after="0"/>
              <w:rPr>
                <w:sz w:val="17"/>
                <w:szCs w:val="17"/>
                <w:color w:val="auto"/>
              </w:rPr>
            </w:pPr>
          </w:p>
        </w:tc>
        <w:tc>
          <w:tcPr>
            <w:tcW w:w="1780" w:type="dxa"/>
            <w:vAlign w:val="bottom"/>
            <w:gridSpan w:val="2"/>
            <w:shd w:val="clear" w:color="auto" w:fill="DCE2EF"/>
          </w:tcPr>
          <w:p>
            <w:pPr>
              <w:ind w:left="1520"/>
              <w:spacing w:after="0"/>
              <w:rPr>
                <w:sz w:val="20"/>
                <w:szCs w:val="20"/>
                <w:color w:val="auto"/>
              </w:rPr>
            </w:pPr>
            <w:r>
              <w:rPr>
                <w:rFonts w:ascii="Arial" w:cs="Arial" w:eastAsia="Arial" w:hAnsi="Arial"/>
                <w:sz w:val="15"/>
                <w:szCs w:val="15"/>
                <w:color w:val="auto"/>
              </w:rPr>
              <w:t>—</w:t>
            </w:r>
          </w:p>
        </w:tc>
        <w:tc>
          <w:tcPr>
            <w:tcW w:w="520" w:type="dxa"/>
            <w:vAlign w:val="bottom"/>
            <w:shd w:val="clear" w:color="auto" w:fill="DCE2EF"/>
          </w:tcPr>
          <w:p>
            <w:pPr>
              <w:spacing w:after="0"/>
              <w:rPr>
                <w:sz w:val="17"/>
                <w:szCs w:val="17"/>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05"/>
        </w:trPr>
        <w:tc>
          <w:tcPr>
            <w:tcW w:w="6760" w:type="dxa"/>
            <w:vAlign w:val="bottom"/>
          </w:tcPr>
          <w:p>
            <w:pPr>
              <w:ind w:left="20"/>
              <w:spacing w:after="0"/>
              <w:rPr>
                <w:sz w:val="20"/>
                <w:szCs w:val="20"/>
                <w:color w:val="auto"/>
              </w:rPr>
            </w:pPr>
            <w:r>
              <w:rPr>
                <w:rFonts w:ascii="Arial" w:cs="Arial" w:eastAsia="Arial" w:hAnsi="Arial"/>
                <w:sz w:val="15"/>
                <w:szCs w:val="15"/>
                <w:color w:val="auto"/>
              </w:rPr>
              <w:t>Average price paid per share</w:t>
            </w:r>
          </w:p>
        </w:tc>
        <w:tc>
          <w:tcPr>
            <w:tcW w:w="500" w:type="dxa"/>
            <w:vAlign w:val="bottom"/>
          </w:tcPr>
          <w:p>
            <w:pPr>
              <w:ind w:left="20"/>
              <w:spacing w:after="0"/>
              <w:rPr>
                <w:sz w:val="20"/>
                <w:szCs w:val="20"/>
                <w:color w:val="auto"/>
              </w:rPr>
            </w:pPr>
            <w:r>
              <w:rPr>
                <w:rFonts w:ascii="Arial" w:cs="Arial" w:eastAsia="Arial" w:hAnsi="Arial"/>
                <w:sz w:val="15"/>
                <w:szCs w:val="15"/>
                <w:color w:val="auto"/>
              </w:rPr>
              <w:t>$</w:t>
            </w:r>
          </w:p>
        </w:tc>
        <w:tc>
          <w:tcPr>
            <w:tcW w:w="1780" w:type="dxa"/>
            <w:vAlign w:val="bottom"/>
            <w:gridSpan w:val="2"/>
          </w:tcPr>
          <w:p>
            <w:pPr>
              <w:ind w:left="146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42.84</w:t>
            </w:r>
          </w:p>
        </w:tc>
        <w:tc>
          <w:tcPr>
            <w:tcW w:w="0" w:type="dxa"/>
            <w:vAlign w:val="bottom"/>
          </w:tcPr>
          <w:p>
            <w:pPr>
              <w:spacing w:after="0"/>
              <w:rPr>
                <w:sz w:val="1"/>
                <w:szCs w:val="1"/>
                <w:color w:val="auto"/>
              </w:rPr>
            </w:pPr>
          </w:p>
        </w:tc>
      </w:tr>
      <w:tr>
        <w:trPr>
          <w:trHeight w:val="207"/>
        </w:trPr>
        <w:tc>
          <w:tcPr>
            <w:tcW w:w="6760" w:type="dxa"/>
            <w:vAlign w:val="bottom"/>
            <w:shd w:val="clear" w:color="auto" w:fill="DCE2EF"/>
          </w:tcPr>
          <w:p>
            <w:pPr>
              <w:ind w:left="20"/>
              <w:spacing w:after="0"/>
              <w:rPr>
                <w:sz w:val="20"/>
                <w:szCs w:val="20"/>
                <w:color w:val="auto"/>
              </w:rPr>
            </w:pPr>
            <w:r>
              <w:rPr>
                <w:rFonts w:ascii="Arial" w:cs="Arial" w:eastAsia="Arial" w:hAnsi="Arial"/>
                <w:sz w:val="15"/>
                <w:szCs w:val="15"/>
                <w:color w:val="auto"/>
              </w:rPr>
              <w:t>Total cash paid for share repurchases</w:t>
            </w:r>
          </w:p>
        </w:tc>
        <w:tc>
          <w:tcPr>
            <w:tcW w:w="50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1780" w:type="dxa"/>
            <w:vAlign w:val="bottom"/>
            <w:gridSpan w:val="2"/>
            <w:shd w:val="clear" w:color="auto" w:fill="DCE2EF"/>
          </w:tcPr>
          <w:p>
            <w:pPr>
              <w:ind w:left="1460"/>
              <w:spacing w:after="0"/>
              <w:rPr>
                <w:sz w:val="20"/>
                <w:szCs w:val="20"/>
                <w:color w:val="auto"/>
              </w:rPr>
            </w:pPr>
            <w:r>
              <w:rPr>
                <w:rFonts w:ascii="Arial" w:cs="Arial" w:eastAsia="Arial" w:hAnsi="Arial"/>
                <w:sz w:val="15"/>
                <w:szCs w:val="15"/>
                <w:color w:val="auto"/>
              </w:rPr>
              <w:t>—</w:t>
            </w:r>
          </w:p>
        </w:tc>
        <w:tc>
          <w:tcPr>
            <w:tcW w:w="52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3"/>
        <w:spacing w:after="0" w:line="216" w:lineRule="auto"/>
        <w:tabs>
          <w:tab w:leader="none" w:pos="185" w:val="left"/>
        </w:tabs>
        <w:numPr>
          <w:ilvl w:val="0"/>
          <w:numId w:val="12"/>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Letters of Credit and Surety Bonds</w:t>
      </w:r>
    </w:p>
    <w:p>
      <w:pPr>
        <w:spacing w:after="0" w:line="167"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use letters of credit and surety bonds to secure certain commitments related to insurance programs and for other purposes. As of July 31, 2025, these letters of credit totaled $29.7 million and surety bonds and surety-backed letters of credit totaled $1,018.0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Guarantees</w:t>
      </w:r>
    </w:p>
    <w:p>
      <w:pPr>
        <w:spacing w:after="0" w:line="167"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In some instances, we offer clients guaranteed energy savings under certain energy savings contracts. At July 31, 2025, total guarantees were $200.6 million and extend through 2045.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4"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0046AD"/>
        </w:rPr>
        <w:t>Sales Taxes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1"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7"/>
          <w:szCs w:val="17"/>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 w:cs="Arial" w:eastAsia="Arial" w:hAnsi="Arial"/>
          <w:sz w:val="17"/>
          <w:szCs w:val="17"/>
          <w:b w:val="1"/>
          <w:bCs w:val="1"/>
          <w:color w:val="0046AD"/>
        </w:rPr>
        <w: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Legal Matters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At July 31, 2025, the total amount accrued for probable litigation losses where a reasonable estimate of the loss could be made was $9.3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$10.9 million. Factors underlying this estimated range of loss may change from time to time, and actual results may vary significantly from this estimate.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quarterly tax provision is calculated using an estimated annual effective tax rate that is adjusted for discrete items occurring during the period to arrive at our effective tax rate. During the three and nine months ended July 31, 2025, we had effective tax rates of 29.6% and 26.9%, respectively. During the three and nine months ended July 31, 2024, we had effective tax rates of 74.0% and 30.7%, respectively. The difference between the estimated annual effective tax rate before discrete items and statutory rate is primarily related to state income taxes, non-deductible compensation, and tax credits.</w:t>
      </w:r>
    </w:p>
    <w:p>
      <w:pPr>
        <w:spacing w:after="0" w:line="11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effective tax rate for the three months ended July 31, 2025, was not impacted by any significant discrete items. Our effective tax rate for the three months ended July 31, 2024, was impacted by discrete items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7"/>
          <w:szCs w:val="17"/>
          <w:color w:val="auto"/>
        </w:rPr>
        <w:t>related to energy efficiency incentives and the non-taxable change in the fair value of the contingent consideration related to the RavenVolt Acquisition</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effective tax rate for the nine months ended July 31, 2025, benefited from discrete items, primarily from return to provision adjustments related to our non-U.S operations. Our effective tax rate for the nine months ended July 31, 2024, was impacted by discrete items, primarily from a change in uncertain tax positions, energy efficiency incentives, a return to provision adjustment related to our non-U.S. operations, a benefit for share-based compensation, and the non-taxable change in the fair value of the contingent consideration related to the RavenVolt Acquisition.</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On July 4, 2025, the United States enacted the One Big Beautiful Bill Act (“OBBBA”), which contains a broad range of tax reform provisions affecting businesses. We do not anticipate a material impact on our consolidated financial statements.</w:t>
      </w:r>
    </w:p>
    <w:p>
      <w:pPr>
        <w:spacing w:after="0" w:line="95"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The Organisation for Economic Co-operation and Development (“OECD”) Pillar Two Model Rules established a minimum global effective tax rate of 15% on country-by-country profits of large multinational 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should not have a material impact to the Company’s income tax provision.</w:t>
      </w:r>
    </w:p>
    <w:p>
      <w:pPr>
        <w:spacing w:after="0" w:line="3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240" w:type="dxa"/>
            <w:vAlign w:val="bottom"/>
            <w:tcBorders>
              <w:top w:val="single" w:sz="8" w:color="auto"/>
              <w:left w:val="single" w:sz="8" w:color="auto"/>
              <w:bottom w:val="single" w:sz="8" w:color="auto"/>
              <w:right w:val="single" w:sz="8" w:color="DCE2EF"/>
            </w:tcBorders>
            <w:shd w:val="clear" w:color="auto" w:fill="DCE2EF"/>
          </w:tcPr>
          <w:p>
            <w:pPr>
              <w:spacing w:after="0"/>
              <w:rPr>
                <w:sz w:val="19"/>
                <w:szCs w:val="19"/>
                <w:color w:val="auto"/>
              </w:rPr>
            </w:pPr>
          </w:p>
        </w:tc>
        <w:tc>
          <w:tcPr>
            <w:tcW w:w="8020" w:type="dxa"/>
            <w:vAlign w:val="bottom"/>
            <w:tcBorders>
              <w:top w:val="single" w:sz="8" w:color="auto"/>
              <w:bottom w:val="single" w:sz="8" w:color="auto"/>
              <w:right w:val="single" w:sz="8" w:color="auto"/>
            </w:tcBorders>
            <w:shd w:val="clear" w:color="auto" w:fill="DCE2EF"/>
          </w:tcPr>
          <w:p>
            <w:pPr>
              <w:ind w:left="620"/>
              <w:spacing w:after="0"/>
              <w:rPr>
                <w:sz w:val="20"/>
                <w:szCs w:val="20"/>
                <w:color w:val="auto"/>
              </w:rPr>
            </w:pPr>
            <w:r>
              <w:rPr>
                <w:rFonts w:ascii="Arial" w:cs="Arial" w:eastAsia="Arial" w:hAnsi="Arial"/>
                <w:sz w:val="15"/>
                <w:szCs w:val="15"/>
                <w:b w:val="1"/>
                <w:bCs w:val="1"/>
                <w:color w:val="0046AD"/>
              </w:rPr>
              <w:t>REPORTABLE SEGMENTS AND DESCRIPTIONS</w:t>
            </w:r>
          </w:p>
        </w:tc>
        <w:tc>
          <w:tcPr>
            <w:tcW w:w="0" w:type="dxa"/>
            <w:vAlign w:val="bottom"/>
          </w:tcPr>
          <w:p>
            <w:pPr>
              <w:spacing w:after="0"/>
              <w:rPr>
                <w:sz w:val="1"/>
                <w:szCs w:val="1"/>
                <w:color w:val="auto"/>
              </w:rPr>
            </w:pPr>
          </w:p>
        </w:tc>
      </w:tr>
      <w:tr>
        <w:trPr>
          <w:trHeight w:val="251"/>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B&amp;I, our largest reportable segment, encompasses comprehensive facility solutions, including janitorial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maintenance, facilities engineering, and parking and transportation management to a diverse range of clients. Our</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B&amp;I</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expertise extends to commercial real estate properties, including corporate offices for high-tech clients, sports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entertainment venues, and both traditional hospitals and non-acute healthcare facilities. We typically provide these</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services pursuant to monthly fixed-price, square-foot, cost-plus, and parking arrangements (i.e., management</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reimbursement, leased location, or allowance) that are obtained through a competitive bid process as well as</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pursuant to work orders.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40" w:type="dxa"/>
            <w:vAlign w:val="bottom"/>
            <w:tcBorders>
              <w:left w:val="single" w:sz="8" w:color="auto"/>
              <w:right w:val="single" w:sz="8" w:color="auto"/>
            </w:tcBorders>
          </w:tcPr>
          <w:p>
            <w:pPr>
              <w:spacing w:after="0"/>
              <w:rPr>
                <w:sz w:val="12"/>
                <w:szCs w:val="12"/>
                <w:color w:val="auto"/>
              </w:rPr>
            </w:pPr>
          </w:p>
        </w:tc>
        <w:tc>
          <w:tcPr>
            <w:tcW w:w="8020" w:type="dxa"/>
            <w:vAlign w:val="bottom"/>
            <w:tcBorders>
              <w:right w:val="single" w:sz="8" w:color="auto"/>
            </w:tcBorders>
          </w:tcPr>
          <w:p>
            <w:pPr>
              <w:spacing w:after="0" w:line="149" w:lineRule="exact"/>
              <w:rPr>
                <w:sz w:val="20"/>
                <w:szCs w:val="20"/>
                <w:color w:val="auto"/>
              </w:rPr>
            </w:pPr>
            <w:r>
              <w:rPr>
                <w:rFonts w:ascii="Arial" w:cs="Arial" w:eastAsia="Arial" w:hAnsi="Arial"/>
                <w:sz w:val="15"/>
                <w:szCs w:val="15"/>
                <w:color w:val="auto"/>
              </w:rPr>
              <w:t>M&amp;D provides integrated facility services, engineering, janitorial and maintenance, and other specialized solutions to</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M&amp;D</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a variety of manufacturing, distribution, and data center facilities. We typically provide these services pursuant to</w:t>
            </w:r>
          </w:p>
        </w:tc>
        <w:tc>
          <w:tcPr>
            <w:tcW w:w="0" w:type="dxa"/>
            <w:vAlign w:val="bottom"/>
          </w:tcPr>
          <w:p>
            <w:pPr>
              <w:spacing w:after="0"/>
              <w:rPr>
                <w:sz w:val="1"/>
                <w:szCs w:val="1"/>
                <w:color w:val="auto"/>
              </w:rPr>
            </w:pPr>
          </w:p>
        </w:tc>
      </w:tr>
      <w:tr>
        <w:trPr>
          <w:trHeight w:val="127"/>
        </w:trPr>
        <w:tc>
          <w:tcPr>
            <w:tcW w:w="3240" w:type="dxa"/>
            <w:vAlign w:val="bottom"/>
            <w:tcBorders>
              <w:left w:val="single" w:sz="8" w:color="auto"/>
              <w:right w:val="single" w:sz="8" w:color="auto"/>
            </w:tcBorders>
            <w:vMerge w:val="continue"/>
          </w:tcPr>
          <w:p>
            <w:pPr>
              <w:spacing w:after="0"/>
              <w:rPr>
                <w:sz w:val="11"/>
                <w:szCs w:val="11"/>
                <w:color w:val="auto"/>
              </w:rPr>
            </w:pPr>
          </w:p>
        </w:tc>
        <w:tc>
          <w:tcPr>
            <w:tcW w:w="802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5"/>
                <w:szCs w:val="15"/>
                <w:color w:val="auto"/>
              </w:rPr>
              <w:t>monthly fixed-price, square-foot, and cost-plus, that are obtained through a competitive bid process as well as</w:t>
            </w:r>
          </w:p>
        </w:tc>
        <w:tc>
          <w:tcPr>
            <w:tcW w:w="0" w:type="dxa"/>
            <w:vAlign w:val="bottom"/>
          </w:tcPr>
          <w:p>
            <w:pPr>
              <w:spacing w:after="0"/>
              <w:rPr>
                <w:sz w:val="1"/>
                <w:szCs w:val="1"/>
                <w:color w:val="auto"/>
              </w:rPr>
            </w:pPr>
          </w:p>
        </w:tc>
      </w:tr>
      <w:tr>
        <w:trPr>
          <w:trHeight w:val="28"/>
        </w:trPr>
        <w:tc>
          <w:tcPr>
            <w:tcW w:w="3240" w:type="dxa"/>
            <w:vAlign w:val="bottom"/>
            <w:tcBorders>
              <w:left w:val="single" w:sz="8" w:color="auto"/>
              <w:right w:val="single" w:sz="8" w:color="auto"/>
            </w:tcBorders>
          </w:tcPr>
          <w:p>
            <w:pPr>
              <w:spacing w:after="0"/>
              <w:rPr>
                <w:sz w:val="2"/>
                <w:szCs w:val="2"/>
                <w:color w:val="auto"/>
              </w:rPr>
            </w:pPr>
          </w:p>
        </w:tc>
        <w:tc>
          <w:tcPr>
            <w:tcW w:w="8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8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pursuant to work orders.</w:t>
            </w:r>
          </w:p>
        </w:tc>
        <w:tc>
          <w:tcPr>
            <w:tcW w:w="0" w:type="dxa"/>
            <w:vAlign w:val="bottom"/>
          </w:tcPr>
          <w:p>
            <w:pPr>
              <w:spacing w:after="0"/>
              <w:rPr>
                <w:sz w:val="1"/>
                <w:szCs w:val="1"/>
                <w:color w:val="auto"/>
              </w:rPr>
            </w:pPr>
          </w:p>
        </w:tc>
      </w:tr>
      <w:tr>
        <w:trPr>
          <w:trHeight w:val="149"/>
        </w:trPr>
        <w:tc>
          <w:tcPr>
            <w:tcW w:w="3240" w:type="dxa"/>
            <w:vAlign w:val="bottom"/>
            <w:tcBorders>
              <w:left w:val="single" w:sz="8" w:color="auto"/>
              <w:right w:val="single" w:sz="8" w:color="auto"/>
            </w:tcBorders>
          </w:tcPr>
          <w:p>
            <w:pPr>
              <w:spacing w:after="0"/>
              <w:rPr>
                <w:sz w:val="12"/>
                <w:szCs w:val="12"/>
                <w:color w:val="auto"/>
              </w:rPr>
            </w:pPr>
          </w:p>
        </w:tc>
        <w:tc>
          <w:tcPr>
            <w:tcW w:w="8020" w:type="dxa"/>
            <w:vAlign w:val="bottom"/>
            <w:tcBorders>
              <w:right w:val="single" w:sz="8" w:color="auto"/>
            </w:tcBorders>
          </w:tcPr>
          <w:p>
            <w:pPr>
              <w:spacing w:after="0" w:line="149" w:lineRule="exact"/>
              <w:rPr>
                <w:sz w:val="20"/>
                <w:szCs w:val="20"/>
                <w:color w:val="auto"/>
              </w:rPr>
            </w:pPr>
            <w:r>
              <w:rPr>
                <w:rFonts w:ascii="Arial" w:cs="Arial" w:eastAsia="Arial" w:hAnsi="Arial"/>
                <w:sz w:val="15"/>
                <w:szCs w:val="15"/>
                <w:color w:val="auto"/>
              </w:rPr>
              <w:t>Aviation provides comprehensive support services to airlines and airports, including parking and transportation</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Aviation</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management,  janitorial  and  maintenance  services,  passenger  assistance,  catering  logistics,  aircraft  cabin</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maintenance, and transportation solutions. We typically provide services to clients in this segment under master</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services agreements. These agreements are typically re-bid upon renewal and are generally structured as monthly</w:t>
            </w:r>
          </w:p>
        </w:tc>
        <w:tc>
          <w:tcPr>
            <w:tcW w:w="0" w:type="dxa"/>
            <w:vAlign w:val="bottom"/>
          </w:tcPr>
          <w:p>
            <w:pPr>
              <w:spacing w:after="0"/>
              <w:rPr>
                <w:sz w:val="1"/>
                <w:szCs w:val="1"/>
                <w:color w:val="auto"/>
              </w:rPr>
            </w:pPr>
          </w:p>
        </w:tc>
      </w:tr>
      <w:tr>
        <w:trPr>
          <w:trHeight w:val="205"/>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8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fixed-price, square-foot, cost-plus, parking, transaction-price, and hourly arrangements.</w:t>
            </w:r>
          </w:p>
        </w:tc>
        <w:tc>
          <w:tcPr>
            <w:tcW w:w="0" w:type="dxa"/>
            <w:vAlign w:val="bottom"/>
          </w:tcPr>
          <w:p>
            <w:pPr>
              <w:spacing w:after="0"/>
              <w:rPr>
                <w:sz w:val="1"/>
                <w:szCs w:val="1"/>
                <w:color w:val="auto"/>
              </w:rPr>
            </w:pPr>
          </w:p>
        </w:tc>
      </w:tr>
      <w:tr>
        <w:trPr>
          <w:trHeight w:val="252"/>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Education  delivers  comprehensive  facility  services  to  public  school  districts,  private  schools,  colleges,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Education</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universities. Our services include janitorial and custodial services, landscaping and grounds maintenance, facilities</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engineering, and parking management. These services are typically provided pursuant to monthly fixed-price,</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square-foot, and cost-plus arrangements that are obtained through either a competitive bid process or re-bid upon</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renewal as well as pursuant to work orders.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Technical Solutions specializes in comprehensive facility infrastructure services, including mechanical and electrical</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systems, EV charging station design, installation, and maintenance, as well as microgrid systems encompassing</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Technical Solutions</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uninterrupted power supply (“UPS”) systems and power distribution units. These offerings are strategically leveraged</w:t>
            </w:r>
          </w:p>
        </w:tc>
        <w:tc>
          <w:tcPr>
            <w:tcW w:w="0" w:type="dxa"/>
            <w:vAlign w:val="bottom"/>
          </w:tcPr>
          <w:p>
            <w:pPr>
              <w:spacing w:after="0"/>
              <w:rPr>
                <w:sz w:val="1"/>
                <w:szCs w:val="1"/>
                <w:color w:val="auto"/>
              </w:rPr>
            </w:pPr>
          </w:p>
        </w:tc>
      </w:tr>
      <w:tr>
        <w:trPr>
          <w:trHeight w:val="127"/>
        </w:trPr>
        <w:tc>
          <w:tcPr>
            <w:tcW w:w="3240" w:type="dxa"/>
            <w:vAlign w:val="bottom"/>
            <w:tcBorders>
              <w:left w:val="single" w:sz="8" w:color="auto"/>
              <w:right w:val="single" w:sz="8" w:color="auto"/>
            </w:tcBorders>
            <w:vMerge w:val="continue"/>
          </w:tcPr>
          <w:p>
            <w:pPr>
              <w:spacing w:after="0"/>
              <w:rPr>
                <w:sz w:val="11"/>
                <w:szCs w:val="11"/>
                <w:color w:val="auto"/>
              </w:rPr>
            </w:pPr>
          </w:p>
        </w:tc>
        <w:tc>
          <w:tcPr>
            <w:tcW w:w="802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5"/>
                <w:szCs w:val="15"/>
                <w:color w:val="auto"/>
              </w:rPr>
              <w:t>for cross-selling across all our industry groups, both domestically and internationally. Contracts for this segment are</w:t>
            </w:r>
          </w:p>
        </w:tc>
        <w:tc>
          <w:tcPr>
            <w:tcW w:w="0" w:type="dxa"/>
            <w:vAlign w:val="bottom"/>
          </w:tcPr>
          <w:p>
            <w:pPr>
              <w:spacing w:after="0"/>
              <w:rPr>
                <w:sz w:val="1"/>
                <w:szCs w:val="1"/>
                <w:color w:val="auto"/>
              </w:rPr>
            </w:pPr>
          </w:p>
        </w:tc>
      </w:tr>
      <w:tr>
        <w:trPr>
          <w:trHeight w:val="28"/>
        </w:trPr>
        <w:tc>
          <w:tcPr>
            <w:tcW w:w="3240" w:type="dxa"/>
            <w:vAlign w:val="bottom"/>
            <w:tcBorders>
              <w:left w:val="single" w:sz="8" w:color="auto"/>
              <w:right w:val="single" w:sz="8" w:color="auto"/>
            </w:tcBorders>
          </w:tcPr>
          <w:p>
            <w:pPr>
              <w:spacing w:after="0"/>
              <w:rPr>
                <w:sz w:val="2"/>
                <w:szCs w:val="2"/>
                <w:color w:val="auto"/>
              </w:rPr>
            </w:pPr>
          </w:p>
        </w:tc>
        <w:tc>
          <w:tcPr>
            <w:tcW w:w="8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generally structured as electrical contracting services for energy related products such as the installation of solar</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solutions, battery storage, distributed generation, and other specialized electric trade.</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0046AD"/>
        </w:rPr>
        <w:t>Financial Information by Reportable Segment</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July 31,</w:t>
            </w:r>
          </w:p>
        </w:tc>
        <w:tc>
          <w:tcPr>
            <w:tcW w:w="280" w:type="dxa"/>
            <w:vAlign w:val="bottom"/>
          </w:tcPr>
          <w:p>
            <w:pPr>
              <w:spacing w:after="0"/>
              <w:rPr>
                <w:sz w:val="18"/>
                <w:szCs w:val="18"/>
                <w:color w:val="auto"/>
              </w:rPr>
            </w:pPr>
          </w:p>
        </w:tc>
        <w:tc>
          <w:tcPr>
            <w:tcW w:w="2700" w:type="dxa"/>
            <w:vAlign w:val="bottom"/>
            <w:gridSpan w:val="4"/>
          </w:tcPr>
          <w:p>
            <w:pPr>
              <w:jc w:val="right"/>
              <w:ind w:right="383"/>
              <w:spacing w:after="0"/>
              <w:rPr>
                <w:sz w:val="20"/>
                <w:szCs w:val="20"/>
                <w:color w:val="auto"/>
              </w:rPr>
            </w:pPr>
            <w:r>
              <w:rPr>
                <w:rFonts w:ascii="Arial" w:cs="Arial" w:eastAsia="Arial" w:hAnsi="Arial"/>
                <w:sz w:val="15"/>
                <w:szCs w:val="15"/>
                <w:b w:val="1"/>
                <w:bCs w:val="1"/>
                <w:color w:val="auto"/>
              </w:rPr>
              <w:t>Nine Months Ended July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483"/>
              <w:spacing w:after="0" w:line="135" w:lineRule="exact"/>
              <w:rPr>
                <w:sz w:val="20"/>
                <w:szCs w:val="20"/>
                <w:color w:val="auto"/>
              </w:rPr>
            </w:pPr>
            <w:r>
              <w:rPr>
                <w:rFonts w:ascii="Arial" w:cs="Arial" w:eastAsia="Arial" w:hAnsi="Arial"/>
                <w:sz w:val="15"/>
                <w:szCs w:val="15"/>
                <w:b w:val="1"/>
                <w:bCs w:val="1"/>
                <w:color w:val="auto"/>
              </w:rPr>
              <w:t>2025</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63"/>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83"/>
              <w:spacing w:after="0" w:line="135" w:lineRule="exact"/>
              <w:rPr>
                <w:sz w:val="20"/>
                <w:szCs w:val="20"/>
                <w:color w:val="auto"/>
              </w:rPr>
            </w:pPr>
            <w:r>
              <w:rPr>
                <w:rFonts w:ascii="Arial" w:cs="Arial" w:eastAsia="Arial" w:hAnsi="Arial"/>
                <w:sz w:val="15"/>
                <w:szCs w:val="15"/>
                <w:b w:val="1"/>
                <w:bCs w:val="1"/>
                <w:color w:val="auto"/>
              </w:rPr>
              <w:t>2025</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83"/>
              <w:spacing w:after="0" w:line="135" w:lineRule="exact"/>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44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DCE2EF"/>
          </w:tcPr>
          <w:p>
            <w:pPr>
              <w:spacing w:after="0"/>
              <w:rPr>
                <w:sz w:val="16"/>
                <w:szCs w:val="16"/>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Revenues</w:t>
            </w:r>
          </w:p>
        </w:tc>
        <w:tc>
          <w:tcPr>
            <w:tcW w:w="260" w:type="dxa"/>
            <w:vAlign w:val="bottom"/>
            <w:shd w:val="clear" w:color="auto" w:fill="DCE2EF"/>
          </w:tcPr>
          <w:p>
            <w:pPr>
              <w:spacing w:after="0"/>
              <w:rPr>
                <w:sz w:val="16"/>
                <w:szCs w:val="16"/>
                <w:color w:val="auto"/>
              </w:rPr>
            </w:pPr>
          </w:p>
        </w:tc>
        <w:tc>
          <w:tcPr>
            <w:tcW w:w="12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Business &amp; Industry</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1,038.7</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1,010.6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3,077.2</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3,033.4</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Manufacturing &amp; Distribution</w:t>
            </w:r>
          </w:p>
        </w:tc>
        <w:tc>
          <w:tcPr>
            <w:tcW w:w="26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408.9</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377.1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1,201.2</w:t>
            </w:r>
          </w:p>
        </w:tc>
        <w:tc>
          <w:tcPr>
            <w:tcW w:w="8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1,166.6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Aviation</w:t>
            </w:r>
          </w:p>
        </w:tc>
        <w:tc>
          <w:tcPr>
            <w:tcW w:w="2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291.8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822.0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756.1</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Education</w:t>
            </w:r>
          </w:p>
        </w:tc>
        <w:tc>
          <w:tcPr>
            <w:tcW w:w="26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235.1</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228.3</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688.2</w:t>
            </w:r>
          </w:p>
        </w:tc>
        <w:tc>
          <w:tcPr>
            <w:tcW w:w="8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674.0</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50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Technical Solutions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249.5</w:t>
            </w:r>
          </w:p>
        </w:tc>
        <w:tc>
          <w:tcPr>
            <w:tcW w:w="8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209.7</w:t>
            </w:r>
          </w:p>
        </w:tc>
        <w:tc>
          <w:tcPr>
            <w:tcW w:w="10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662.0</w:t>
            </w:r>
          </w:p>
        </w:tc>
        <w:tc>
          <w:tcPr>
            <w:tcW w:w="8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25"/>
        </w:trPr>
        <w:tc>
          <w:tcPr>
            <w:tcW w:w="20" w:type="dxa"/>
            <w:vAlign w:val="bottom"/>
            <w:tcBorders>
              <w:bottom w:val="single" w:sz="8" w:color="DCE2EF"/>
            </w:tcBorders>
            <w:shd w:val="clear" w:color="auto" w:fill="DCE2EF"/>
          </w:tcPr>
          <w:p>
            <w:pPr>
              <w:spacing w:after="0"/>
              <w:rPr>
                <w:sz w:val="19"/>
                <w:szCs w:val="19"/>
                <w:color w:val="auto"/>
              </w:rPr>
            </w:pPr>
          </w:p>
        </w:tc>
        <w:tc>
          <w:tcPr>
            <w:tcW w:w="50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5"/>
                <w:szCs w:val="15"/>
                <w:b w:val="1"/>
                <w:bCs w:val="1"/>
                <w:color w:val="auto"/>
              </w:rPr>
              <w:t>Total Revenues</w:t>
            </w:r>
          </w:p>
        </w:tc>
        <w:tc>
          <w:tcPr>
            <w:tcW w:w="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2,224.0</w:t>
            </w:r>
          </w:p>
        </w:tc>
        <w:tc>
          <w:tcPr>
            <w:tcW w:w="8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2,094.2</w:t>
            </w:r>
          </w:p>
        </w:tc>
        <w:tc>
          <w:tcPr>
            <w:tcW w:w="10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6,450.5</w:t>
            </w:r>
          </w:p>
        </w:tc>
        <w:tc>
          <w:tcPr>
            <w:tcW w:w="8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6,182.0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508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5"/>
                <w:szCs w:val="15"/>
                <w:b w:val="1"/>
                <w:bCs w:val="1"/>
                <w:color w:val="auto"/>
              </w:rPr>
              <w:t>Operating profit</w:t>
            </w: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Business &amp; Industry</w:t>
            </w:r>
          </w:p>
        </w:tc>
        <w:tc>
          <w:tcPr>
            <w:tcW w:w="2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73.8</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77.8</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236.2</w:t>
            </w:r>
          </w:p>
        </w:tc>
        <w:tc>
          <w:tcPr>
            <w:tcW w:w="80" w:type="dxa"/>
            <w:vAlign w:val="bottom"/>
            <w:shd w:val="clear" w:color="auto" w:fill="DCE2EF"/>
          </w:tcPr>
          <w:p>
            <w:pPr>
              <w:spacing w:after="0"/>
              <w:rPr>
                <w:sz w:val="17"/>
                <w:szCs w:val="17"/>
                <w:color w:val="auto"/>
              </w:rPr>
            </w:pP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Manufacturing &amp; Distribution</w:t>
            </w:r>
          </w:p>
        </w:tc>
        <w:tc>
          <w:tcPr>
            <w:tcW w:w="2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125.9</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Aviation</w:t>
            </w:r>
          </w:p>
        </w:tc>
        <w:tc>
          <w:tcPr>
            <w:tcW w:w="26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19.7</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48.4</w:t>
            </w:r>
          </w:p>
        </w:tc>
        <w:tc>
          <w:tcPr>
            <w:tcW w:w="8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Education</w:t>
            </w:r>
          </w:p>
        </w:tc>
        <w:tc>
          <w:tcPr>
            <w:tcW w:w="2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Technical Solutions</w:t>
            </w:r>
          </w:p>
        </w:tc>
        <w:tc>
          <w:tcPr>
            <w:tcW w:w="26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19.4</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49.4</w:t>
            </w:r>
          </w:p>
        </w:tc>
        <w:tc>
          <w:tcPr>
            <w:tcW w:w="8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Corporate</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(285.0)</w:t>
            </w: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Adjustment for income from unconsolidated affiliates, included in Aviation</w:t>
            </w:r>
          </w:p>
        </w:tc>
        <w:tc>
          <w:tcPr>
            <w:tcW w:w="260" w:type="dxa"/>
            <w:vAlign w:val="bottom"/>
            <w:shd w:val="clear" w:color="auto" w:fill="DCE2EF"/>
          </w:tcPr>
          <w:p>
            <w:pPr>
              <w:spacing w:after="0"/>
              <w:rPr>
                <w:sz w:val="16"/>
                <w:szCs w:val="16"/>
                <w:color w:val="auto"/>
              </w:rPr>
            </w:pPr>
          </w:p>
        </w:tc>
        <w:tc>
          <w:tcPr>
            <w:tcW w:w="12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DCE2EF"/>
          </w:tcPr>
          <w:p>
            <w:pPr>
              <w:spacing w:after="0"/>
              <w:rPr>
                <w:sz w:val="20"/>
                <w:szCs w:val="20"/>
                <w:color w:val="auto"/>
              </w:rPr>
            </w:pPr>
          </w:p>
        </w:tc>
        <w:tc>
          <w:tcPr>
            <w:tcW w:w="5080" w:type="dxa"/>
            <w:vAlign w:val="bottom"/>
            <w:gridSpan w:val="2"/>
            <w:shd w:val="clear" w:color="auto" w:fill="DCE2EF"/>
          </w:tcPr>
          <w:p>
            <w:pPr>
              <w:ind w:left="160"/>
              <w:spacing w:after="0"/>
              <w:rPr>
                <w:sz w:val="20"/>
                <w:szCs w:val="20"/>
                <w:color w:val="auto"/>
              </w:rPr>
            </w:pPr>
            <w:r>
              <w:rPr>
                <w:rFonts w:ascii="Arial" w:cs="Arial" w:eastAsia="Arial" w:hAnsi="Arial"/>
                <w:sz w:val="15"/>
                <w:szCs w:val="15"/>
                <w:color w:val="auto"/>
              </w:rPr>
              <w:t>and Technical Solutions</w:t>
            </w:r>
          </w:p>
        </w:tc>
        <w:tc>
          <w:tcPr>
            <w:tcW w:w="260" w:type="dxa"/>
            <w:vAlign w:val="bottom"/>
            <w:shd w:val="clear" w:color="auto" w:fill="DCE2EF"/>
          </w:tcPr>
          <w:p>
            <w:pPr>
              <w:spacing w:after="0"/>
              <w:rPr>
                <w:sz w:val="20"/>
                <w:szCs w:val="20"/>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DCE2EF"/>
          </w:tcPr>
          <w:p>
            <w:pPr>
              <w:spacing w:after="0"/>
              <w:rPr>
                <w:sz w:val="20"/>
                <w:szCs w:val="20"/>
                <w:color w:val="auto"/>
              </w:rPr>
            </w:pPr>
          </w:p>
        </w:tc>
        <w:tc>
          <w:tcPr>
            <w:tcW w:w="320" w:type="dxa"/>
            <w:vAlign w:val="bottom"/>
            <w:shd w:val="clear" w:color="auto" w:fill="DCE2EF"/>
          </w:tcPr>
          <w:p>
            <w:pPr>
              <w:spacing w:after="0"/>
              <w:rPr>
                <w:sz w:val="20"/>
                <w:szCs w:val="20"/>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DCE2EF"/>
          </w:tcPr>
          <w:p>
            <w:pPr>
              <w:spacing w:after="0"/>
              <w:rPr>
                <w:sz w:val="20"/>
                <w:szCs w:val="20"/>
                <w:color w:val="auto"/>
              </w:rPr>
            </w:pPr>
          </w:p>
        </w:tc>
        <w:tc>
          <w:tcPr>
            <w:tcW w:w="280" w:type="dxa"/>
            <w:vAlign w:val="bottom"/>
            <w:shd w:val="clear" w:color="auto" w:fill="DCE2EF"/>
          </w:tcPr>
          <w:p>
            <w:pPr>
              <w:spacing w:after="0"/>
              <w:rPr>
                <w:sz w:val="20"/>
                <w:szCs w:val="20"/>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DCE2EF"/>
          </w:tcPr>
          <w:p>
            <w:pPr>
              <w:spacing w:after="0"/>
              <w:rPr>
                <w:sz w:val="20"/>
                <w:szCs w:val="20"/>
                <w:color w:val="auto"/>
              </w:rPr>
            </w:pPr>
          </w:p>
        </w:tc>
        <w:tc>
          <w:tcPr>
            <w:tcW w:w="340" w:type="dxa"/>
            <w:vAlign w:val="bottom"/>
            <w:shd w:val="clear" w:color="auto" w:fill="DCE2EF"/>
          </w:tcPr>
          <w:p>
            <w:pPr>
              <w:spacing w:after="0"/>
              <w:rPr>
                <w:sz w:val="20"/>
                <w:szCs w:val="20"/>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Adjustment for tax deductions for energy efficient government buildings,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5"/>
                <w:szCs w:val="15"/>
                <w:color w:val="auto"/>
              </w:rPr>
              <w:t>included in Technical Solutions</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0"/>
        </w:trPr>
        <w:tc>
          <w:tcPr>
            <w:tcW w:w="20" w:type="dxa"/>
            <w:vAlign w:val="bottom"/>
            <w:tcBorders>
              <w:top w:val="single" w:sz="8" w:color="DCE2EF"/>
            </w:tcBorders>
            <w:shd w:val="clear" w:color="auto" w:fill="DCE2EF"/>
          </w:tcPr>
          <w:p>
            <w:pPr>
              <w:spacing w:after="0"/>
              <w:rPr>
                <w:sz w:val="17"/>
                <w:szCs w:val="17"/>
                <w:color w:val="auto"/>
              </w:rPr>
            </w:pPr>
          </w:p>
        </w:tc>
        <w:tc>
          <w:tcPr>
            <w:tcW w:w="508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5"/>
                <w:szCs w:val="15"/>
                <w:b w:val="1"/>
                <w:bCs w:val="1"/>
                <w:color w:val="auto"/>
              </w:rPr>
              <w:t>Total operating profit</w:t>
            </w:r>
          </w:p>
        </w:tc>
        <w:tc>
          <w:tcPr>
            <w:tcW w:w="260" w:type="dxa"/>
            <w:vAlign w:val="bottom"/>
            <w:tcBorders>
              <w:top w:val="single" w:sz="8" w:color="auto"/>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83.4</w:t>
            </w:r>
          </w:p>
        </w:tc>
        <w:tc>
          <w:tcPr>
            <w:tcW w:w="80" w:type="dxa"/>
            <w:vAlign w:val="bottom"/>
            <w:tcBorders>
              <w:top w:val="single" w:sz="8" w:color="DCE2EF"/>
            </w:tcBorders>
            <w:shd w:val="clear" w:color="auto" w:fill="DCE2EF"/>
          </w:tcPr>
          <w:p>
            <w:pPr>
              <w:spacing w:after="0"/>
              <w:rPr>
                <w:sz w:val="17"/>
                <w:szCs w:val="17"/>
                <w:color w:val="auto"/>
              </w:rPr>
            </w:pPr>
          </w:p>
        </w:tc>
        <w:tc>
          <w:tcPr>
            <w:tcW w:w="320" w:type="dxa"/>
            <w:vAlign w:val="bottom"/>
            <w:tcBorders>
              <w:top w:val="single" w:sz="8" w:color="auto"/>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37.4</w:t>
            </w:r>
          </w:p>
        </w:tc>
        <w:tc>
          <w:tcPr>
            <w:tcW w:w="100" w:type="dxa"/>
            <w:vAlign w:val="bottom"/>
            <w:tcBorders>
              <w:top w:val="single" w:sz="8" w:color="DCE2EF"/>
            </w:tcBorders>
            <w:shd w:val="clear" w:color="auto" w:fill="DCE2EF"/>
          </w:tcPr>
          <w:p>
            <w:pPr>
              <w:spacing w:after="0"/>
              <w:rPr>
                <w:sz w:val="17"/>
                <w:szCs w:val="17"/>
                <w:color w:val="auto"/>
              </w:rPr>
            </w:pPr>
          </w:p>
        </w:tc>
        <w:tc>
          <w:tcPr>
            <w:tcW w:w="280" w:type="dxa"/>
            <w:vAlign w:val="bottom"/>
            <w:tcBorders>
              <w:top w:val="single" w:sz="8" w:color="auto"/>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243.3</w:t>
            </w:r>
          </w:p>
        </w:tc>
        <w:tc>
          <w:tcPr>
            <w:tcW w:w="80" w:type="dxa"/>
            <w:vAlign w:val="bottom"/>
            <w:tcBorders>
              <w:top w:val="single" w:sz="8" w:color="DCE2EF"/>
            </w:tcBorders>
            <w:shd w:val="clear" w:color="auto" w:fill="DCE2EF"/>
          </w:tcPr>
          <w:p>
            <w:pPr>
              <w:spacing w:after="0"/>
              <w:rPr>
                <w:sz w:val="17"/>
                <w:szCs w:val="17"/>
                <w:color w:val="auto"/>
              </w:rPr>
            </w:pPr>
          </w:p>
        </w:tc>
        <w:tc>
          <w:tcPr>
            <w:tcW w:w="340" w:type="dxa"/>
            <w:vAlign w:val="bottom"/>
            <w:tcBorders>
              <w:top w:val="single" w:sz="8" w:color="auto"/>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Income from unconsolidated affiliates</w:t>
            </w:r>
          </w:p>
        </w:tc>
        <w:tc>
          <w:tcPr>
            <w:tcW w:w="2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0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Interest expense</w:t>
            </w:r>
          </w:p>
        </w:tc>
        <w:tc>
          <w:tcPr>
            <w:tcW w:w="26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(25.3)</w:t>
            </w:r>
          </w:p>
        </w:tc>
        <w:tc>
          <w:tcPr>
            <w:tcW w:w="8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(21.2)</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(72.1)</w:t>
            </w:r>
          </w:p>
        </w:tc>
        <w:tc>
          <w:tcPr>
            <w:tcW w:w="8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Income before income taxes</w:t>
            </w: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corporate costs. Certain corporate costs not allocated to segments include information technology, human resources, executive and finance expenses, and legal costs and settlements. Additionally, share-based compensation, actuarial adjustments to self-insurance reserves related to prior years, acquisition and integration costs, and changes in fair values of contingent consideration are not allocated to segments. Management does not review asset information by segment, therefore we do not present assets in this note.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5" w:name="page26"/>
    <w:bookmarkEnd w:id="25"/>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13.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Restructuring</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the fourth quarter of 2025, we implemented a restructuring program to further streamline our operations and improve the efficiency of our support functions. This initiative is intended to enhance overall organizational effectiveness and ensure alignment between the Company’s cost structure and our strategic growth objectives. We anticipate incurring approximately $10.0 million of restructuring charges during the fourth quarter of 2025 related to these organizational actions. We continue to review our overhead and cost structure for additional efficiency opportunities under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Share Repurchase Program</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2019, our Board of Directors authorized a program to repurchase up to $150.0 million of our common stock. Effective September 2, 2025, authorization for $83.1 million of repurchases remained under our Share Repurchase Program, and on September 3, 2025, our Board of Directors expanded the Share Repurchase Program by an additional $150.0 million. At September 3, 2025, authorization for $233.1 million of repurchases remained under the Share Repurchase Program.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0046AD"/>
        </w:rPr>
        <w:t>ITEM 2. MANAGEMENT’S DISCUSSION AND ANALYSIS OF FINANCIAL CONDITION AND RESULTS OF OPERATIONS.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2024,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Throughout the MD&amp;A, amounts and percentages may not recalculate due to rounding. Unless otherwise indicated, all information in the MD&amp;A and references to years are based on our fiscal years, which end on October 31.</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ABM is a leading provider of integrated facility solutions, customized by industry, with a mission to </w:t>
      </w:r>
      <w:r>
        <w:rPr>
          <w:rFonts w:ascii="Arial" w:cs="Arial" w:eastAsia="Arial" w:hAnsi="Arial"/>
          <w:sz w:val="17"/>
          <w:szCs w:val="17"/>
          <w:b w:val="1"/>
          <w:bCs w:val="1"/>
          <w:color w:val="326ABD"/>
        </w:rPr>
        <w:t>make a difference, every person, every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326ABD"/>
        </w:rPr>
        <w:t>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E98300"/>
        </w:rPr>
        <w:t xml:space="preserve">ELEVATE </w:t>
      </w:r>
      <w:r>
        <w:rPr>
          <w:rFonts w:ascii="Arial" w:cs="Arial" w:eastAsia="Arial" w:hAnsi="Arial"/>
          <w:sz w:val="17"/>
          <w:szCs w:val="17"/>
          <w:b w:val="1"/>
          <w:bCs w:val="1"/>
          <w:color w:val="0046AD"/>
        </w:rPr>
        <w:t>Strategy</w:t>
      </w:r>
    </w:p>
    <w:p>
      <w:pPr>
        <w:spacing w:after="0" w:line="16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In December 2021, we announced our multiyear strategic plan called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The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is designed to strengthen our industry leadership position through end-market repositioning and build on our core services, which we expect will drive significant long-term value for our stakeholders.</w:t>
      </w:r>
    </w:p>
    <w:p>
      <w:pPr>
        <w:spacing w:after="0" w:line="11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7"/>
          <w:szCs w:val="17"/>
          <w:color w:val="auto"/>
        </w:rPr>
        <w:t xml:space="preserve">We will continue to make significant investments over the life of the program, which are expected to total $200 - $215 million, and we will continue to implement various measures with the aim to </w:t>
      </w:r>
      <w:r>
        <w:rPr>
          <w:rFonts w:ascii="Arial" w:cs="Arial" w:eastAsia="Arial" w:hAnsi="Arial"/>
          <w:sz w:val="17"/>
          <w:szCs w:val="17"/>
          <w:b w:val="1"/>
          <w:bCs w:val="1"/>
          <w:color w:val="E98300"/>
        </w:rPr>
        <w:t>ELEVATE</w:t>
      </w:r>
      <w:r>
        <w:rPr>
          <w:rFonts w:ascii="Arial" w:cs="Arial" w:eastAsia="Arial" w:hAnsi="Arial"/>
          <w:sz w:val="17"/>
          <w:szCs w:val="17"/>
          <w:color w:val="auto"/>
        </w:rPr>
        <w:t>:</w:t>
      </w:r>
    </w:p>
    <w:p>
      <w:pPr>
        <w:spacing w:after="0" w:line="75"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client experience, by serving as a trusted advisor who can provide innovative multiservice solutions and consistent service delivery;</w:t>
      </w:r>
    </w:p>
    <w:p>
      <w:pPr>
        <w:spacing w:after="0" w:line="165"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team member experience, by investing in workforce management, training, developing the next generation of ABM leaders, and building on our inclusive culture; and</w:t>
      </w:r>
    </w:p>
    <w:p>
      <w:pPr>
        <w:spacing w:after="0" w:line="94"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use of technology and data to power client and employee experiences with cutting-edge data and analytics, processes, and tools that will fundamentally change how we operate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Restructuring Program</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the fourth quarter of 2025, we launched a restructuring program to further streamline our operations and improve the efficiency of our support functions. This initiative is intended to enhance overall organizational effectiveness and ensure alignment between our cost structure and strategic growth objectives. Once fully implemented in early 2026, this program is expected to deliver approximately $35.0 million of annualized cost savings. We expect to record $10.0 million in restructuring charges related to these actions in the fourth quarter.</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will continue to review our overhead and cost structure for efficiency opportunities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0046AD"/>
        </w:rPr>
        <w:t>Segment Reporting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7146925" cy="3929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3929380"/>
                    </a:xfrm>
                    <a:prstGeom prst="rect">
                      <a:avLst/>
                    </a:prstGeom>
                    <a:noFill/>
                  </pic:spPr>
                </pic:pic>
              </a:graphicData>
            </a:graphic>
          </wp:anchor>
        </w:drawing>
      </w:r>
    </w:p>
    <w:p>
      <w:pPr>
        <w:spacing w:after="0" w:line="148" w:lineRule="exact"/>
        <w:rPr>
          <w:sz w:val="20"/>
          <w:szCs w:val="20"/>
          <w:color w:val="auto"/>
        </w:rPr>
      </w:pPr>
    </w:p>
    <w:p>
      <w:pPr>
        <w:jc w:val="center"/>
        <w:ind w:left="2600"/>
        <w:spacing w:after="0"/>
        <w:rPr>
          <w:sz w:val="20"/>
          <w:szCs w:val="20"/>
          <w:color w:val="auto"/>
        </w:rPr>
      </w:pPr>
      <w:r>
        <w:rPr>
          <w:rFonts w:ascii="Arial" w:cs="Arial" w:eastAsia="Arial" w:hAnsi="Arial"/>
          <w:sz w:val="15"/>
          <w:szCs w:val="15"/>
          <w:b w:val="1"/>
          <w:bCs w:val="1"/>
          <w:color w:val="0046AD"/>
        </w:rPr>
        <w:t>REPORTABLE SEGMENTS AND DESCRIPTIONS</w:t>
      </w:r>
    </w:p>
    <w:p>
      <w:pPr>
        <w:spacing w:after="0" w:line="152" w:lineRule="exact"/>
        <w:rPr>
          <w:sz w:val="20"/>
          <w:szCs w:val="20"/>
          <w:color w:val="auto"/>
        </w:rPr>
      </w:pPr>
    </w:p>
    <w:p>
      <w:pPr>
        <w:jc w:val="both"/>
        <w:ind w:left="2660"/>
        <w:spacing w:after="0" w:line="226" w:lineRule="auto"/>
        <w:rPr>
          <w:sz w:val="20"/>
          <w:szCs w:val="20"/>
          <w:color w:val="auto"/>
        </w:rPr>
      </w:pPr>
      <w:r>
        <w:rPr>
          <w:rFonts w:ascii="Arial" w:cs="Arial" w:eastAsia="Arial" w:hAnsi="Arial"/>
          <w:sz w:val="15"/>
          <w:szCs w:val="15"/>
          <w:color w:val="auto"/>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200" w:lineRule="exact"/>
        <w:rPr>
          <w:sz w:val="20"/>
          <w:szCs w:val="20"/>
          <w:color w:val="auto"/>
        </w:rPr>
      </w:pPr>
    </w:p>
    <w:p>
      <w:pPr>
        <w:spacing w:after="0" w:line="269" w:lineRule="exact"/>
        <w:rPr>
          <w:sz w:val="20"/>
          <w:szCs w:val="20"/>
          <w:color w:val="auto"/>
        </w:rPr>
      </w:pPr>
    </w:p>
    <w:p>
      <w:pPr>
        <w:jc w:val="both"/>
        <w:ind w:left="2660"/>
        <w:spacing w:after="0" w:line="238" w:lineRule="auto"/>
        <w:rPr>
          <w:sz w:val="20"/>
          <w:szCs w:val="20"/>
          <w:color w:val="auto"/>
        </w:rPr>
      </w:pPr>
      <w:r>
        <w:rPr>
          <w:rFonts w:ascii="Arial" w:cs="Arial" w:eastAsia="Arial" w:hAnsi="Arial"/>
          <w:sz w:val="15"/>
          <w:szCs w:val="15"/>
          <w:color w:val="auto"/>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that are obtained through a competitive bid process as well as pursuant to work orders.</w:t>
      </w:r>
    </w:p>
    <w:p>
      <w:pPr>
        <w:spacing w:after="0" w:line="200" w:lineRule="exact"/>
        <w:rPr>
          <w:sz w:val="20"/>
          <w:szCs w:val="20"/>
          <w:color w:val="auto"/>
        </w:rPr>
      </w:pPr>
    </w:p>
    <w:p>
      <w:pPr>
        <w:spacing w:after="0" w:line="318" w:lineRule="exact"/>
        <w:rPr>
          <w:sz w:val="20"/>
          <w:szCs w:val="20"/>
          <w:color w:val="auto"/>
        </w:rPr>
      </w:pPr>
    </w:p>
    <w:p>
      <w:pPr>
        <w:jc w:val="both"/>
        <w:ind w:left="2660"/>
        <w:spacing w:after="0" w:line="228" w:lineRule="auto"/>
        <w:rPr>
          <w:sz w:val="20"/>
          <w:szCs w:val="20"/>
          <w:color w:val="auto"/>
        </w:rPr>
      </w:pPr>
      <w:r>
        <w:rPr>
          <w:rFonts w:ascii="Arial" w:cs="Arial" w:eastAsia="Arial" w:hAnsi="Arial"/>
          <w:sz w:val="15"/>
          <w:szCs w:val="15"/>
          <w:color w:val="auto"/>
        </w:rPr>
        <w:t>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393" w:lineRule="exact"/>
        <w:rPr>
          <w:sz w:val="20"/>
          <w:szCs w:val="20"/>
          <w:color w:val="auto"/>
        </w:rPr>
      </w:pPr>
    </w:p>
    <w:p>
      <w:pPr>
        <w:jc w:val="both"/>
        <w:ind w:left="2660"/>
        <w:spacing w:after="0" w:line="232" w:lineRule="auto"/>
        <w:rPr>
          <w:sz w:val="20"/>
          <w:szCs w:val="20"/>
          <w:color w:val="auto"/>
        </w:rPr>
      </w:pPr>
      <w:r>
        <w:rPr>
          <w:rFonts w:ascii="Arial" w:cs="Arial" w:eastAsia="Arial" w:hAnsi="Arial"/>
          <w:sz w:val="15"/>
          <w:szCs w:val="15"/>
          <w:color w:val="auto"/>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p>
      <w:pPr>
        <w:spacing w:after="0" w:line="364" w:lineRule="exact"/>
        <w:rPr>
          <w:sz w:val="20"/>
          <w:szCs w:val="20"/>
          <w:color w:val="auto"/>
        </w:rPr>
      </w:pPr>
    </w:p>
    <w:p>
      <w:pPr>
        <w:jc w:val="both"/>
        <w:ind w:left="2660"/>
        <w:spacing w:after="0" w:line="226" w:lineRule="auto"/>
        <w:rPr>
          <w:sz w:val="20"/>
          <w:szCs w:val="20"/>
          <w:color w:val="auto"/>
        </w:rPr>
      </w:pPr>
      <w:r>
        <w:rPr>
          <w:rFonts w:ascii="Arial" w:cs="Arial" w:eastAsia="Arial" w:hAnsi="Arial"/>
          <w:sz w:val="15"/>
          <w:szCs w:val="15"/>
          <w:color w:val="auto"/>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04"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0046AD"/>
        </w:rPr>
        <w:t>Key Financial Highlights</w:t>
      </w:r>
    </w:p>
    <w:p>
      <w:pPr>
        <w:spacing w:after="0" w:line="180" w:lineRule="exact"/>
        <w:rPr>
          <w:sz w:val="20"/>
          <w:szCs w:val="20"/>
          <w:color w:val="auto"/>
        </w:rPr>
      </w:pPr>
    </w:p>
    <w:p>
      <w:pPr>
        <w:jc w:val="both"/>
        <w:ind w:left="620" w:hanging="307"/>
        <w:spacing w:after="0" w:line="257" w:lineRule="auto"/>
        <w:tabs>
          <w:tab w:leader="none" w:pos="609" w:val="left"/>
        </w:tabs>
        <w:numPr>
          <w:ilvl w:val="0"/>
          <w:numId w:val="14"/>
        </w:numPr>
        <w:rPr>
          <w:rFonts w:ascii="Arial" w:cs="Arial" w:eastAsia="Arial" w:hAnsi="Arial"/>
          <w:sz w:val="19"/>
          <w:szCs w:val="19"/>
          <w:color w:val="auto"/>
        </w:rPr>
      </w:pPr>
      <w:r>
        <w:rPr>
          <w:rFonts w:ascii="Arial" w:cs="Arial" w:eastAsia="Arial" w:hAnsi="Arial"/>
          <w:sz w:val="17"/>
          <w:szCs w:val="17"/>
          <w:color w:val="auto"/>
        </w:rPr>
        <w:t>Revenues increased by $129.8 million, or 6.2%, to $2,224.0 million during the three months ended July 31, 2025, as compared to the prior year period. Revenue growth was comprised of organic growth of 5.0% and acquisition growth of 1.2%. The organic revenue growth was due to net new business and expansion of business with existing customers among all our industry groups. The increase in revenues includes strategic pricing decisions for contract rebids within B&amp;I and for select new wins within M&amp;D, as well as higher project revenues due to the higher microgrid projects within Technical Solutions. Acquisition growth was driven by a $25.5 million revenue increase from the Quality Uptime and LMC acquisitions.</w:t>
      </w:r>
    </w:p>
    <w:p>
      <w:pPr>
        <w:spacing w:after="0" w:line="137"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14"/>
        </w:numPr>
        <w:rPr>
          <w:rFonts w:ascii="Arial" w:cs="Arial" w:eastAsia="Arial" w:hAnsi="Arial"/>
          <w:sz w:val="19"/>
          <w:szCs w:val="19"/>
          <w:color w:val="auto"/>
        </w:rPr>
      </w:pPr>
      <w:r>
        <w:rPr>
          <w:rFonts w:ascii="Arial" w:cs="Arial" w:eastAsia="Arial" w:hAnsi="Arial"/>
          <w:sz w:val="17"/>
          <w:szCs w:val="17"/>
          <w:color w:val="auto"/>
        </w:rPr>
        <w:t>We had an increase in operating profit of $46.0 million, to $83.4 million, during the three months ended July 31, 2025, as compared to the prior year period. The increase was primarily attributed to:</w:t>
      </w:r>
    </w:p>
    <w:p>
      <w:pPr>
        <w:spacing w:after="0" w:line="117" w:lineRule="exact"/>
        <w:rPr>
          <w:rFonts w:ascii="Arial" w:cs="Arial" w:eastAsia="Arial" w:hAnsi="Arial"/>
          <w:sz w:val="19"/>
          <w:szCs w:val="19"/>
          <w:color w:val="auto"/>
        </w:rPr>
      </w:pPr>
    </w:p>
    <w:p>
      <w:pPr>
        <w:ind w:left="1240" w:hanging="309"/>
        <w:spacing w:after="0"/>
        <w:tabs>
          <w:tab w:leader="none" w:pos="12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respective revenue increases for all industry groups and operational efficiencies within Aviation and Education.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was partially offset by:</w:t>
      </w:r>
    </w:p>
    <w:p>
      <w:pPr>
        <w:spacing w:after="0" w:line="165" w:lineRule="exact"/>
        <w:rPr>
          <w:sz w:val="20"/>
          <w:szCs w:val="20"/>
          <w:color w:val="auto"/>
        </w:rPr>
      </w:pPr>
    </w:p>
    <w:p>
      <w:pPr>
        <w:ind w:left="1240" w:hanging="309"/>
        <w:spacing w:after="0" w:line="290" w:lineRule="auto"/>
        <w:tabs>
          <w:tab w:leader="none" w:pos="1236" w:val="left"/>
        </w:tabs>
        <w:numPr>
          <w:ilvl w:val="1"/>
          <w:numId w:val="15"/>
        </w:numPr>
        <w:rPr>
          <w:rFonts w:ascii="Arial" w:cs="Arial" w:eastAsia="Arial" w:hAnsi="Arial"/>
          <w:sz w:val="17"/>
          <w:szCs w:val="17"/>
          <w:color w:val="auto"/>
        </w:rPr>
      </w:pPr>
      <w:r>
        <w:rPr>
          <w:rFonts w:ascii="Arial" w:cs="Arial" w:eastAsia="Arial" w:hAnsi="Arial"/>
          <w:sz w:val="17"/>
          <w:szCs w:val="17"/>
          <w:color w:val="auto"/>
        </w:rPr>
        <w:t>strategic pricing decisions for contract rebids and proactive extensions, combined with managing the timing of contract escalations to maintain and expand certain customer accounts within B&amp;I; and</w:t>
      </w:r>
    </w:p>
    <w:p>
      <w:pPr>
        <w:spacing w:after="0" w:line="94" w:lineRule="exact"/>
        <w:rPr>
          <w:rFonts w:ascii="Arial" w:cs="Arial" w:eastAsia="Arial" w:hAnsi="Arial"/>
          <w:sz w:val="17"/>
          <w:szCs w:val="17"/>
          <w:color w:val="auto"/>
        </w:rPr>
      </w:pPr>
    </w:p>
    <w:p>
      <w:pPr>
        <w:ind w:left="1240" w:hanging="309"/>
        <w:spacing w:after="0"/>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strategic pricing on select new wins within M&amp;D.</w:t>
      </w:r>
    </w:p>
    <w:p>
      <w:pPr>
        <w:spacing w:after="0" w:line="178" w:lineRule="exact"/>
        <w:rPr>
          <w:rFonts w:ascii="Arial" w:cs="Arial" w:eastAsia="Arial" w:hAnsi="Arial"/>
          <w:sz w:val="17"/>
          <w:szCs w:val="17"/>
          <w:color w:val="auto"/>
        </w:rPr>
      </w:pPr>
    </w:p>
    <w:p>
      <w:pPr>
        <w:jc w:val="both"/>
        <w:ind w:left="620" w:hanging="307"/>
        <w:spacing w:after="0" w:line="260"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7"/>
          <w:szCs w:val="17"/>
          <w:color w:val="auto"/>
        </w:rPr>
        <w:t>Our effective tax rates for the three months ended July 31, 2025, and July 31, 2024, were 29.6% and 74.0%, respectively. Our effective tax rate for the three months ended July 31, 2025, was not impacted by any significant discrete items. Our effective tax rate for the three months ended July 31, 2024, was impacted by discrete items related to energy efficiency incentives and the non-taxable change in the fair value of the contingent consideration related to the RavenVolt Acquisition</w:t>
      </w:r>
    </w:p>
    <w:p>
      <w:pPr>
        <w:spacing w:after="0" w:line="82" w:lineRule="exact"/>
        <w:rPr>
          <w:rFonts w:ascii="Arial" w:cs="Arial" w:eastAsia="Arial" w:hAnsi="Arial"/>
          <w:sz w:val="19"/>
          <w:szCs w:val="19"/>
          <w:color w:val="auto"/>
        </w:rPr>
      </w:pPr>
    </w:p>
    <w:p>
      <w:pPr>
        <w:jc w:val="both"/>
        <w:ind w:left="620" w:hanging="307"/>
        <w:spacing w:after="0" w:line="236"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7"/>
          <w:szCs w:val="17"/>
          <w:color w:val="auto"/>
        </w:rPr>
        <w:t>Net cash provided by operating activities was $101.0 million and $196.3 million during the nine months ended July 31, 2025, and July 31, 2024, respectively. The decrease was primarily driven by an increase in working capital requirements due to the transition to the Company’s new ERP system for our B&amp;I and M&amp;D segments that temporarily delayed invoicing to certain clients within these industry groups in the first half of 2025. There has been significant improvement in operating cash flows during the third quarter, and we anticipate full normalization in the fourth quarter.</w:t>
      </w:r>
    </w:p>
    <w:p>
      <w:pPr>
        <w:spacing w:after="0" w:line="150" w:lineRule="exact"/>
        <w:rPr>
          <w:rFonts w:ascii="Arial" w:cs="Arial" w:eastAsia="Arial" w:hAnsi="Arial"/>
          <w:sz w:val="19"/>
          <w:szCs w:val="19"/>
          <w:color w:val="auto"/>
        </w:rPr>
      </w:pPr>
    </w:p>
    <w:p>
      <w:pPr>
        <w:jc w:val="both"/>
        <w:ind w:left="620" w:hanging="307"/>
        <w:spacing w:after="0" w:line="264"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7"/>
          <w:szCs w:val="17"/>
          <w:color w:val="auto"/>
        </w:rPr>
        <w:t>Dividends of $49.4 million were paid to shareholders, and dividends totaling $0.795 per common share were declared during the nine months ended July 31, 2025. Additionally, in August 2025 we repurchased 0.49 million shares for $23.0 million, excluding excise taxes, making our total share purchases in 2025 1.46 million shares for $71.3 million, excluding excise taxes.</w:t>
      </w:r>
    </w:p>
    <w:p>
      <w:pPr>
        <w:spacing w:after="0" w:line="128" w:lineRule="exact"/>
        <w:rPr>
          <w:rFonts w:ascii="Arial" w:cs="Arial" w:eastAsia="Arial" w:hAnsi="Arial"/>
          <w:sz w:val="19"/>
          <w:szCs w:val="19"/>
          <w:color w:val="auto"/>
        </w:rPr>
      </w:pPr>
    </w:p>
    <w:p>
      <w:pPr>
        <w:ind w:left="620" w:hanging="307"/>
        <w:spacing w:after="0" w:line="277"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7"/>
          <w:szCs w:val="17"/>
          <w:color w:val="auto"/>
        </w:rPr>
        <w:t>At July 31, 2025, total outstanding borrowings under our Amended Credit Facility were $1.5 billion. At July 31, 2025, we had up to $621.7 million of borrowing capacity.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right="3940"/>
        <w:spacing w:after="0" w:line="468" w:lineRule="auto"/>
        <w:rPr>
          <w:sz w:val="20"/>
          <w:szCs w:val="20"/>
          <w:color w:val="auto"/>
        </w:rPr>
      </w:pPr>
      <w:r>
        <w:rPr>
          <w:rFonts w:ascii="Arial" w:cs="Arial" w:eastAsia="Arial" w:hAnsi="Arial"/>
          <w:sz w:val="17"/>
          <w:szCs w:val="17"/>
          <w:b w:val="1"/>
          <w:bCs w:val="1"/>
          <w:i w:val="1"/>
          <w:iCs w:val="1"/>
          <w:color w:val="0046AD"/>
        </w:rPr>
        <w:t>Three Months Ended July 31, 2025, Compared with the Three Months Ended July 31, 2024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July 31,</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0"/>
        </w:trPr>
        <w:tc>
          <w:tcPr>
            <w:tcW w:w="52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83"/>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63"/>
              <w:spacing w:after="0" w:line="161"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36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8"/>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2,224.0</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2,094.2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129.8</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6.2%</w:t>
            </w: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8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1,949.6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1,831.0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118.6</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6.5%</w:t>
            </w:r>
          </w:p>
        </w:tc>
      </w:tr>
      <w:tr>
        <w:trPr>
          <w:trHeight w:val="207"/>
        </w:trPr>
        <w:tc>
          <w:tcPr>
            <w:tcW w:w="20" w:type="dxa"/>
            <w:vAlign w:val="bottom"/>
            <w:shd w:val="clear" w:color="auto" w:fill="DCE2EF"/>
          </w:tcPr>
          <w:p>
            <w:pPr>
              <w:spacing w:after="0"/>
              <w:rPr>
                <w:sz w:val="18"/>
                <w:szCs w:val="18"/>
                <w:color w:val="auto"/>
              </w:rPr>
            </w:pPr>
          </w:p>
        </w:tc>
        <w:tc>
          <w:tcPr>
            <w:tcW w:w="5240" w:type="dxa"/>
            <w:vAlign w:val="bottom"/>
            <w:gridSpan w:val="2"/>
            <w:shd w:val="clear" w:color="auto" w:fill="DCE2EF"/>
          </w:tcPr>
          <w:p>
            <w:pPr>
              <w:ind w:left="100"/>
              <w:spacing w:after="0"/>
              <w:rPr>
                <w:sz w:val="20"/>
                <w:szCs w:val="20"/>
                <w:color w:val="auto"/>
              </w:rPr>
            </w:pPr>
            <w:r>
              <w:rPr>
                <w:rFonts w:ascii="Arial" w:cs="Arial" w:eastAsia="Arial" w:hAnsi="Arial"/>
                <w:sz w:val="15"/>
                <w:szCs w:val="15"/>
                <w:i w:val="1"/>
                <w:iCs w:val="1"/>
                <w:color w:val="auto"/>
              </w:rPr>
              <w:t>Gross margin</w:t>
            </w: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12.6%</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(23) bps</w:t>
            </w:r>
          </w:p>
        </w:tc>
        <w:tc>
          <w:tcPr>
            <w:tcW w:w="1280" w:type="dxa"/>
            <w:vAlign w:val="bottom"/>
            <w:shd w:val="clear" w:color="auto" w:fill="DCE2EF"/>
          </w:tcPr>
          <w:p>
            <w:pPr>
              <w:spacing w:after="0"/>
              <w:rPr>
                <w:sz w:val="18"/>
                <w:szCs w:val="18"/>
                <w:color w:val="auto"/>
              </w:rPr>
            </w:pP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177.5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211.8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(34.3)</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(16.2)%</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(4.2)%</w:t>
            </w:r>
          </w:p>
        </w:tc>
      </w:tr>
      <w:tr>
        <w:trPr>
          <w:trHeight w:val="199"/>
        </w:trPr>
        <w:tc>
          <w:tcPr>
            <w:tcW w:w="5260" w:type="dxa"/>
            <w:vAlign w:val="bottom"/>
            <w:gridSpan w:val="3"/>
          </w:tcPr>
          <w:p>
            <w:pPr>
              <w:ind w:left="20"/>
              <w:spacing w:after="0"/>
              <w:rPr>
                <w:sz w:val="20"/>
                <w:szCs w:val="20"/>
                <w:color w:val="auto"/>
              </w:rPr>
            </w:pPr>
            <w:r>
              <w:rPr>
                <w:rFonts w:ascii="Arial" w:cs="Arial" w:eastAsia="Arial" w:hAnsi="Arial"/>
                <w:sz w:val="15"/>
                <w:szCs w:val="15"/>
                <w:b w:val="1"/>
                <w:bCs w:val="1"/>
                <w:color w:val="auto"/>
              </w:rPr>
              <w:t>Operating profit</w:t>
            </w:r>
          </w:p>
        </w:tc>
        <w:tc>
          <w:tcPr>
            <w:tcW w:w="38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83.4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46.0</w:t>
            </w:r>
          </w:p>
        </w:tc>
        <w:tc>
          <w:tcPr>
            <w:tcW w:w="1280" w:type="dxa"/>
            <w:vAlign w:val="bottom"/>
          </w:tcPr>
          <w:p>
            <w:pPr>
              <w:ind w:left="540"/>
              <w:spacing w:after="0"/>
              <w:rPr>
                <w:sz w:val="20"/>
                <w:szCs w:val="20"/>
                <w:color w:val="auto"/>
              </w:rPr>
            </w:pPr>
            <w:r>
              <w:rPr>
                <w:rFonts w:ascii="Arial" w:cs="Arial" w:eastAsia="Arial" w:hAnsi="Arial"/>
                <w:sz w:val="15"/>
                <w:szCs w:val="15"/>
                <w:color w:val="auto"/>
              </w:rPr>
              <w:t>NM*</w:t>
            </w:r>
          </w:p>
        </w:tc>
      </w:tr>
      <w:tr>
        <w:trPr>
          <w:trHeight w:val="206"/>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80" w:type="dxa"/>
            <w:vAlign w:val="bottom"/>
            <w:shd w:val="clear" w:color="auto" w:fill="DCE2EF"/>
          </w:tcPr>
          <w:p>
            <w:pPr>
              <w:spacing w:after="0"/>
              <w:rPr>
                <w:sz w:val="17"/>
                <w:szCs w:val="17"/>
                <w:color w:val="auto"/>
              </w:rPr>
            </w:pPr>
          </w:p>
        </w:tc>
        <w:tc>
          <w:tcPr>
            <w:tcW w:w="128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1.3</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(29.0)%</w:t>
            </w:r>
          </w:p>
        </w:tc>
      </w:tr>
      <w:tr>
        <w:trPr>
          <w:trHeight w:val="205"/>
        </w:trPr>
        <w:tc>
          <w:tcPr>
            <w:tcW w:w="52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(25.3)</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(21.2)</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2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(19.5)%</w:t>
            </w:r>
          </w:p>
        </w:tc>
      </w:tr>
      <w:tr>
        <w:trPr>
          <w:trHeight w:val="200"/>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before income taxes</w:t>
            </w:r>
          </w:p>
        </w:tc>
        <w:tc>
          <w:tcPr>
            <w:tcW w:w="380" w:type="dxa"/>
            <w:vAlign w:val="bottom"/>
            <w:shd w:val="clear" w:color="auto" w:fill="DCE2EF"/>
          </w:tcPr>
          <w:p>
            <w:pPr>
              <w:spacing w:after="0"/>
              <w:rPr>
                <w:sz w:val="17"/>
                <w:szCs w:val="17"/>
                <w:color w:val="auto"/>
              </w:rPr>
            </w:pPr>
          </w:p>
        </w:tc>
        <w:tc>
          <w:tcPr>
            <w:tcW w:w="128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41.4</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5"/>
        </w:trPr>
        <w:tc>
          <w:tcPr>
            <w:tcW w:w="52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Income tax provision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(17.6)</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(13.3)</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12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(31.8)%</w:t>
            </w:r>
          </w:p>
        </w:tc>
      </w:tr>
      <w:tr>
        <w:trPr>
          <w:trHeight w:val="200"/>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380" w:type="dxa"/>
            <w:vAlign w:val="bottom"/>
            <w:tcBorders>
              <w:bottom w:val="single" w:sz="8" w:color="auto"/>
            </w:tcBorders>
            <w:shd w:val="clear" w:color="auto" w:fill="DCE2EF"/>
          </w:tcPr>
          <w:p>
            <w:pPr>
              <w:spacing w:after="0"/>
              <w:rPr>
                <w:sz w:val="17"/>
                <w:szCs w:val="17"/>
                <w:color w:val="auto"/>
              </w:rPr>
            </w:pPr>
          </w:p>
        </w:tc>
        <w:tc>
          <w:tcPr>
            <w:tcW w:w="128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rPr>
              <w:t>41.8</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9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37.1</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18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Other comprehensive income (loss)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20" w:type="dxa"/>
            <w:vAlign w:val="bottom"/>
            <w:shd w:val="clear" w:color="auto" w:fill="DCE2EF"/>
          </w:tcPr>
          <w:p>
            <w:pPr>
              <w:spacing w:after="0"/>
              <w:rPr>
                <w:sz w:val="18"/>
                <w:szCs w:val="18"/>
                <w:color w:val="auto"/>
              </w:rPr>
            </w:pPr>
          </w:p>
        </w:tc>
        <w:tc>
          <w:tcPr>
            <w:tcW w:w="52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Interest rate swaps</w:t>
            </w: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0.8</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13.2</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5"/>
        </w:trPr>
        <w:tc>
          <w:tcPr>
            <w:tcW w:w="20" w:type="dxa"/>
            <w:vAlign w:val="bottom"/>
          </w:tcPr>
          <w:p>
            <w:pPr>
              <w:spacing w:after="0"/>
              <w:rPr>
                <w:sz w:val="17"/>
                <w:szCs w:val="17"/>
                <w:color w:val="auto"/>
              </w:rPr>
            </w:pPr>
          </w:p>
        </w:tc>
        <w:tc>
          <w:tcPr>
            <w:tcW w:w="5240" w:type="dxa"/>
            <w:vAlign w:val="bottom"/>
            <w:gridSpan w:val="2"/>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380" w:type="dxa"/>
            <w:vAlign w:val="bottom"/>
          </w:tcPr>
          <w:p>
            <w:pPr>
              <w:spacing w:after="0"/>
              <w:rPr>
                <w:sz w:val="17"/>
                <w:szCs w:val="17"/>
                <w:color w:val="auto"/>
              </w:rPr>
            </w:pPr>
          </w:p>
        </w:tc>
        <w:tc>
          <w:tcPr>
            <w:tcW w:w="1280" w:type="dxa"/>
            <w:vAlign w:val="bottom"/>
          </w:tcPr>
          <w:p>
            <w:pPr>
              <w:jc w:val="right"/>
              <w:ind w:right="6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w:t>
            </w:r>
          </w:p>
        </w:tc>
        <w:tc>
          <w:tcPr>
            <w:tcW w:w="1280" w:type="dxa"/>
            <w:vAlign w:val="bottom"/>
          </w:tcPr>
          <w:p>
            <w:pPr>
              <w:ind w:left="540"/>
              <w:spacing w:after="0"/>
              <w:rPr>
                <w:sz w:val="20"/>
                <w:szCs w:val="20"/>
                <w:color w:val="auto"/>
              </w:rPr>
            </w:pPr>
            <w:r>
              <w:rPr>
                <w:rFonts w:ascii="Arial" w:cs="Arial" w:eastAsia="Arial" w:hAnsi="Arial"/>
                <w:sz w:val="15"/>
                <w:szCs w:val="15"/>
                <w:color w:val="auto"/>
              </w:rPr>
              <w:t>NM*</w:t>
            </w:r>
          </w:p>
        </w:tc>
      </w:tr>
      <w:tr>
        <w:trPr>
          <w:trHeight w:val="206"/>
        </w:trPr>
        <w:tc>
          <w:tcPr>
            <w:tcW w:w="20" w:type="dxa"/>
            <w:vAlign w:val="bottom"/>
            <w:shd w:val="clear" w:color="auto" w:fill="DCE2EF"/>
          </w:tcPr>
          <w:p>
            <w:pPr>
              <w:spacing w:after="0"/>
              <w:rPr>
                <w:sz w:val="17"/>
                <w:szCs w:val="17"/>
                <w:color w:val="auto"/>
              </w:rPr>
            </w:pPr>
          </w:p>
        </w:tc>
        <w:tc>
          <w:tcPr>
            <w:tcW w:w="52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Income tax (provision) / benefit</w:t>
            </w:r>
          </w:p>
        </w:tc>
        <w:tc>
          <w:tcPr>
            <w:tcW w:w="380" w:type="dxa"/>
            <w:vAlign w:val="bottom"/>
            <w:tcBorders>
              <w:bottom w:val="single" w:sz="8" w:color="auto"/>
            </w:tcBorders>
            <w:shd w:val="clear" w:color="auto" w:fill="DCE2EF"/>
          </w:tcPr>
          <w:p>
            <w:pPr>
              <w:spacing w:after="0"/>
              <w:rPr>
                <w:sz w:val="17"/>
                <w:szCs w:val="17"/>
                <w:color w:val="auto"/>
              </w:rPr>
            </w:pPr>
          </w:p>
        </w:tc>
        <w:tc>
          <w:tcPr>
            <w:tcW w:w="128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3.2</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(3.4)</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0"/>
        </w:trPr>
        <w:tc>
          <w:tcPr>
            <w:tcW w:w="5260" w:type="dxa"/>
            <w:vAlign w:val="bottom"/>
            <w:gridSpan w:val="3"/>
          </w:tcPr>
          <w:p>
            <w:pPr>
              <w:ind w:left="20"/>
              <w:spacing w:after="0"/>
              <w:rPr>
                <w:sz w:val="20"/>
                <w:szCs w:val="20"/>
                <w:color w:val="auto"/>
              </w:rPr>
            </w:pPr>
            <w:r>
              <w:rPr>
                <w:rFonts w:ascii="Arial" w:cs="Arial" w:eastAsia="Arial" w:hAnsi="Arial"/>
                <w:sz w:val="15"/>
                <w:szCs w:val="15"/>
                <w:b w:val="1"/>
                <w:bCs w:val="1"/>
                <w:color w:val="auto"/>
              </w:rPr>
              <w:t>Comprehensive income (loss)</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41.0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42.8</w:t>
            </w:r>
          </w:p>
        </w:tc>
        <w:tc>
          <w:tcPr>
            <w:tcW w:w="1280" w:type="dxa"/>
            <w:vAlign w:val="bottom"/>
          </w:tcPr>
          <w:p>
            <w:pPr>
              <w:ind w:left="540"/>
              <w:spacing w:after="0"/>
              <w:rPr>
                <w:sz w:val="20"/>
                <w:szCs w:val="20"/>
                <w:color w:val="auto"/>
              </w:rPr>
            </w:pPr>
            <w:r>
              <w:rPr>
                <w:rFonts w:ascii="Arial" w:cs="Arial" w:eastAsia="Arial" w:hAnsi="Arial"/>
                <w:sz w:val="15"/>
                <w:szCs w:val="15"/>
                <w:color w:val="auto"/>
              </w:rPr>
              <w:t>NM*</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Revenues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Revenues increased by $ 129.8 million, or 6.2%, to $2,224.0 million during the three months ended July 31, 2025, as compared to the prior year period. Revenue growth was comprised of organic growth of 5.0% and acquisition growth of 1.2%. The organic revenue growth was due to net new business and expansion of business with existing customers among all our industry groups. The increase in revenues includes strategic pricing decisions for contract rebids within B&amp;I and for select new wins within M&amp;D, as well as higher project revenues due to the higher microgrid projects within Technical Solutions. Acquisition growth was driven by a $25.5 million revenue increase from the Quality Uptime and LMC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expenses increased by $118.6 million, or 6.5%, to $ 1,949.6 million during the three months ended July 31, 2025, as compared to the prior year period. Gross margin decreased by 23 bps to 12.3% in the three months ended July 31, 2025, from 12.6% in the prior year period. The decrease in gross margin was primarily driven by strategic pricing decisions for contract rebids within B&amp;I and select new wins within M&amp;D as well as the management of contract escalation timing to maintain and expand certain customer accounts within B&amp;I. This was partially offset by operational efficiencies within Aviation and Education and a decrease in the prior year insurance adjustment.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Selling, general and administrative expenses decreased by $34.3 million, or 16.2%, to $177.5 million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July 31, 2025, as compared to the prior year period. The decrease in selling, general and administrative expenses was primarily attributable to:</w:t>
      </w:r>
    </w:p>
    <w:p>
      <w:pPr>
        <w:spacing w:after="0" w:line="149" w:lineRule="exact"/>
        <w:rPr>
          <w:sz w:val="20"/>
          <w:szCs w:val="20"/>
          <w:color w:val="auto"/>
        </w:rPr>
      </w:pPr>
    </w:p>
    <w:p>
      <w:pPr>
        <w:ind w:left="620" w:hanging="307"/>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absence of an adjustment to the contingent consideration related to the RavenVolt Acquisition as compared to a $36.0 million fair value adjustment to increase the contingent consideration recorded during the three months ended July 31,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0" w:name="page31"/>
    <w:bookmarkEnd w:id="30"/>
    <w:p>
      <w:pPr>
        <w:ind w:left="620"/>
        <w:spacing w:after="0"/>
        <w:rPr>
          <w:sz w:val="20"/>
          <w:szCs w:val="20"/>
          <w:color w:val="auto"/>
        </w:rPr>
      </w:pPr>
      <w:r>
        <w:rPr>
          <w:rFonts w:ascii="Arial" w:cs="Arial" w:eastAsia="Arial" w:hAnsi="Arial"/>
          <w:sz w:val="17"/>
          <w:szCs w:val="17"/>
          <w:color w:val="auto"/>
        </w:rPr>
        <w:t>The decrease was partially offset by:</w:t>
      </w:r>
    </w:p>
    <w:p>
      <w:pPr>
        <w:spacing w:after="0" w:line="165" w:lineRule="exact"/>
        <w:rPr>
          <w:sz w:val="20"/>
          <w:szCs w:val="20"/>
          <w:color w:val="auto"/>
        </w:rPr>
      </w:pPr>
    </w:p>
    <w:p>
      <w:pPr>
        <w:ind w:left="620" w:hanging="307"/>
        <w:spacing w:after="0" w:line="29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$11.1 million increase in compensation and related expenses primarily due to higher salaries and headcount expansion from recent acquisitions.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Amortization of intangible assets decreased by $0.6 million, or 4.2%, to $13.4 million during the three months ended July 31, 2025, as compared to the prior year period. The decrease was primarily due to the lower amortization of intangibles, primarily intangibles acquired as part of the Able and GCA acquisitions, partially offset by amortization of intangibles from the Quality Uptime and LMC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Interest expense increased by $4.1 million, or 19.5%, to $25.3 million during the three months ended July 31, 2025, as compared to the prior year period, and was driven by higher borrowings from our Amended Credit Facility to fund working capital requirements due to the transition to the Company’s new ERP system for our B&amp;I and M&amp;D segments that temporarily delayed invoicing to certain clients within these industry groups in the first half of 2025, and payment of the $75.0 million contingent consideration liability related to the RavenVolt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 from Operations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effective tax rates from income on operations for the three months ended July 31, 2025, and July 31, 2024, were 29.6% and 74.0%, respectively, resulting in provisions for taxes of $17.6 million and $13.3 million, respectively.</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effective tax rate for the three months ended July 31, 2025, was not impacted by any significant discrete items. Our effective tax rate for the three months ended July 31, 2024, was impacted by discrete items related to energy efficiency incentives and the non-taxable change in the fair value of the contingent consideration related to the RavenVolt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gain of $0.8 million on interest rate swaps during the three months ended July 31, 2025, as compared to a loss of $12.4 million during the three months ended July 31, 2024,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had a foreign currency translation loss of $ 1.5 million during the three months ended July 31, 2025, as compared to a foreign currency translation gain of $2.7 million during the three months ended July 31, 2024.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5"/>
                <w:szCs w:val="15"/>
                <w:b w:val="1"/>
                <w:bCs w:val="1"/>
                <w:color w:val="auto"/>
              </w:rPr>
              <w:t>Three Months Ended July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20" w:type="dxa"/>
            <w:vAlign w:val="bottom"/>
            <w:gridSpan w:val="4"/>
          </w:tcPr>
          <w:p>
            <w:pPr>
              <w:ind w:left="2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84"/>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jc w:val="right"/>
              <w:ind w:right="660"/>
              <w:spacing w:after="0" w:line="161"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2"/>
          </w:tcPr>
          <w:p>
            <w:pPr>
              <w:jc w:val="right"/>
              <w:ind w:right="383"/>
              <w:spacing w:after="0" w:line="161"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0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10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42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Business &amp; Industry</w:t>
            </w:r>
          </w:p>
        </w:tc>
        <w:tc>
          <w:tcPr>
            <w:tcW w:w="42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1,038.7</w:t>
            </w:r>
          </w:p>
        </w:tc>
        <w:tc>
          <w:tcPr>
            <w:tcW w:w="7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1,010.6</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28.1</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2.8%</w:t>
            </w:r>
          </w:p>
        </w:tc>
        <w:tc>
          <w:tcPr>
            <w:tcW w:w="0" w:type="dxa"/>
            <w:vAlign w:val="bottom"/>
          </w:tcPr>
          <w:p>
            <w:pPr>
              <w:spacing w:after="0"/>
              <w:rPr>
                <w:sz w:val="1"/>
                <w:szCs w:val="1"/>
                <w:color w:val="auto"/>
              </w:rPr>
            </w:pPr>
          </w:p>
        </w:tc>
      </w:tr>
      <w:tr>
        <w:trPr>
          <w:trHeight w:val="207"/>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408.9</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377.1</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31.8</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8.4%</w:t>
            </w: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Aviation</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291.8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268.4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23.4</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8.7%</w:t>
            </w:r>
          </w:p>
        </w:tc>
        <w:tc>
          <w:tcPr>
            <w:tcW w:w="0" w:type="dxa"/>
            <w:vAlign w:val="bottom"/>
          </w:tcPr>
          <w:p>
            <w:pPr>
              <w:spacing w:after="0"/>
              <w:rPr>
                <w:sz w:val="1"/>
                <w:szCs w:val="1"/>
                <w:color w:val="auto"/>
              </w:rPr>
            </w:pPr>
          </w:p>
        </w:tc>
      </w:tr>
      <w:tr>
        <w:trPr>
          <w:trHeight w:val="207"/>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235.1</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228.3</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6.8</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3.0%</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DCE2EF"/>
            </w:tcBorders>
            <w:gridSpan w:val="4"/>
          </w:tcPr>
          <w:p>
            <w:pPr>
              <w:ind w:left="20"/>
              <w:spacing w:after="0"/>
              <w:rPr>
                <w:sz w:val="20"/>
                <w:szCs w:val="20"/>
                <w:color w:val="auto"/>
              </w:rPr>
            </w:pPr>
            <w:r>
              <w:rPr>
                <w:rFonts w:ascii="Arial" w:cs="Arial" w:eastAsia="Arial" w:hAnsi="Arial"/>
                <w:sz w:val="15"/>
                <w:szCs w:val="15"/>
                <w:color w:val="auto"/>
              </w:rPr>
              <w:t>Technical Solutions</w:t>
            </w:r>
          </w:p>
        </w:tc>
        <w:tc>
          <w:tcPr>
            <w:tcW w:w="420" w:type="dxa"/>
            <w:vAlign w:val="bottom"/>
            <w:tcBorders>
              <w:bottom w:val="single" w:sz="8" w:color="DCE2EF"/>
            </w:tcBorders>
          </w:tcPr>
          <w:p>
            <w:pPr>
              <w:spacing w:after="0"/>
              <w:rPr>
                <w:sz w:val="17"/>
                <w:szCs w:val="17"/>
                <w:color w:val="auto"/>
              </w:rPr>
            </w:pPr>
          </w:p>
        </w:tc>
        <w:tc>
          <w:tcPr>
            <w:tcW w:w="1000" w:type="dxa"/>
            <w:vAlign w:val="bottom"/>
            <w:tcBorders>
              <w:bottom w:val="single" w:sz="8" w:color="DCE2E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249.5</w:t>
            </w:r>
          </w:p>
        </w:tc>
        <w:tc>
          <w:tcPr>
            <w:tcW w:w="100" w:type="dxa"/>
            <w:vAlign w:val="bottom"/>
            <w:tcBorders>
              <w:bottom w:val="single" w:sz="8" w:color="DCE2E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209.7</w:t>
            </w: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39.8</w:t>
            </w:r>
          </w:p>
        </w:tc>
        <w:tc>
          <w:tcPr>
            <w:tcW w:w="12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70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2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1420" w:type="dxa"/>
            <w:vAlign w:val="bottom"/>
            <w:gridSpan w:val="2"/>
            <w:shd w:val="clear" w:color="auto" w:fill="DCE2EF"/>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2,224.0</w:t>
            </w:r>
          </w:p>
        </w:tc>
        <w:tc>
          <w:tcPr>
            <w:tcW w:w="700" w:type="dxa"/>
            <w:vAlign w:val="bottom"/>
            <w:gridSpan w:val="2"/>
            <w:shd w:val="clear" w:color="auto" w:fill="DCE2EF"/>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2,094.2</w:t>
            </w:r>
          </w:p>
        </w:tc>
        <w:tc>
          <w:tcPr>
            <w:tcW w:w="22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129.8</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6.2%</w:t>
            </w:r>
          </w:p>
        </w:tc>
        <w:tc>
          <w:tcPr>
            <w:tcW w:w="0" w:type="dxa"/>
            <w:vAlign w:val="bottom"/>
          </w:tcPr>
          <w:p>
            <w:pPr>
              <w:spacing w:after="0"/>
              <w:rPr>
                <w:sz w:val="1"/>
                <w:szCs w:val="1"/>
                <w:color w:val="auto"/>
              </w:rPr>
            </w:pPr>
          </w:p>
        </w:tc>
      </w:tr>
      <w:tr>
        <w:trPr>
          <w:trHeight w:val="20"/>
        </w:trPr>
        <w:tc>
          <w:tcPr>
            <w:tcW w:w="3820" w:type="dxa"/>
            <w:vAlign w:val="bottom"/>
            <w:tcBorders>
              <w:top w:val="single" w:sz="8" w:color="DCE2EF"/>
              <w:bottom w:val="single" w:sz="8" w:color="DCE2EF"/>
            </w:tcBorders>
            <w:gridSpan w:val="4"/>
            <w:vMerge w:val="restart"/>
          </w:tcPr>
          <w:p>
            <w:pPr>
              <w:ind w:left="20"/>
              <w:spacing w:after="0"/>
              <w:rPr>
                <w:sz w:val="20"/>
                <w:szCs w:val="20"/>
                <w:color w:val="auto"/>
              </w:rPr>
            </w:pPr>
            <w:r>
              <w:rPr>
                <w:rFonts w:ascii="Arial" w:cs="Arial" w:eastAsia="Arial" w:hAnsi="Arial"/>
                <w:sz w:val="15"/>
                <w:szCs w:val="15"/>
                <w:b w:val="1"/>
                <w:bCs w:val="1"/>
                <w:color w:val="auto"/>
              </w:rPr>
              <w:t>Operating profit</w:t>
            </w:r>
          </w:p>
        </w:tc>
        <w:tc>
          <w:tcPr>
            <w:tcW w:w="420" w:type="dxa"/>
            <w:vAlign w:val="bottom"/>
            <w:tcBorders>
              <w:top w:val="single" w:sz="8" w:color="DCE2EF"/>
            </w:tcBorders>
          </w:tcPr>
          <w:p>
            <w:pPr>
              <w:spacing w:after="0" w:line="20" w:lineRule="exact"/>
              <w:rPr>
                <w:sz w:val="1"/>
                <w:szCs w:val="1"/>
                <w:color w:val="auto"/>
              </w:rPr>
            </w:pPr>
          </w:p>
        </w:tc>
        <w:tc>
          <w:tcPr>
            <w:tcW w:w="10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2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420" w:type="dxa"/>
            <w:vAlign w:val="bottom"/>
            <w:shd w:val="clear" w:color="auto" w:fill="DCE2EF"/>
          </w:tcPr>
          <w:p>
            <w:pPr>
              <w:spacing w:after="0"/>
              <w:rPr>
                <w:sz w:val="17"/>
                <w:szCs w:val="17"/>
                <w:color w:val="auto"/>
              </w:rPr>
            </w:pPr>
          </w:p>
        </w:tc>
        <w:tc>
          <w:tcPr>
            <w:tcW w:w="1420" w:type="dxa"/>
            <w:vAlign w:val="bottom"/>
            <w:gridSpan w:val="2"/>
            <w:shd w:val="clear" w:color="auto" w:fill="DCE2EF"/>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73.8</w:t>
            </w:r>
          </w:p>
        </w:tc>
        <w:tc>
          <w:tcPr>
            <w:tcW w:w="700" w:type="dxa"/>
            <w:vAlign w:val="bottom"/>
            <w:gridSpan w:val="2"/>
            <w:shd w:val="clear" w:color="auto" w:fill="DCE2EF"/>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77.8</w:t>
            </w:r>
          </w:p>
        </w:tc>
        <w:tc>
          <w:tcPr>
            <w:tcW w:w="22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7.1%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(60)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36.4</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40.9</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(4.5)</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8.9%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(196)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1.9</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8"/>
              </w:rPr>
              <w:t>11.0%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6.8 %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6.6 %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14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3.1</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109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1.5</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7.8%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(75)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42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64"/>
              <w:spacing w:after="0"/>
              <w:rPr>
                <w:sz w:val="20"/>
                <w:szCs w:val="20"/>
                <w:color w:val="auto"/>
              </w:rPr>
            </w:pPr>
            <w:r>
              <w:rPr>
                <w:rFonts w:ascii="Arial" w:cs="Arial" w:eastAsia="Arial" w:hAnsi="Arial"/>
                <w:sz w:val="15"/>
                <w:szCs w:val="15"/>
                <w:color w:val="auto"/>
              </w:rPr>
              <w:t>(85.7)</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(130.6)</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44.9</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55"/>
        </w:trPr>
        <w:tc>
          <w:tcPr>
            <w:tcW w:w="5760" w:type="dxa"/>
            <w:vAlign w:val="bottom"/>
            <w:gridSpan w:val="8"/>
          </w:tcPr>
          <w:p>
            <w:pPr>
              <w:ind w:left="20"/>
              <w:spacing w:after="0" w:line="156" w:lineRule="exact"/>
              <w:rPr>
                <w:sz w:val="20"/>
                <w:szCs w:val="20"/>
                <w:color w:val="auto"/>
              </w:rPr>
            </w:pPr>
            <w:r>
              <w:rPr>
                <w:rFonts w:ascii="Arial" w:cs="Arial" w:eastAsia="Arial" w:hAnsi="Arial"/>
                <w:sz w:val="15"/>
                <w:szCs w:val="15"/>
                <w:color w:val="auto"/>
              </w:rPr>
              <w:t>Adjustment for income from unconsolidated affiliates, included in Aviation</w:t>
            </w:r>
          </w:p>
        </w:tc>
        <w:tc>
          <w:tcPr>
            <w:tcW w:w="1140" w:type="dxa"/>
            <w:vAlign w:val="bottom"/>
            <w:vMerge w:val="restart"/>
          </w:tcPr>
          <w:p>
            <w:pPr>
              <w:jc w:val="right"/>
              <w:ind w:right="6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5"/>
              <w:spacing w:after="0"/>
              <w:rPr>
                <w:sz w:val="20"/>
                <w:szCs w:val="20"/>
                <w:color w:val="auto"/>
              </w:rPr>
            </w:pPr>
            <w:r>
              <w:rPr>
                <w:rFonts w:ascii="Arial" w:cs="Arial" w:eastAsia="Arial" w:hAnsi="Arial"/>
                <w:sz w:val="15"/>
                <w:szCs w:val="15"/>
                <w:color w:val="auto"/>
              </w:rPr>
              <w:t>0.5</w:t>
            </w:r>
          </w:p>
        </w:tc>
        <w:tc>
          <w:tcPr>
            <w:tcW w:w="1280" w:type="dxa"/>
            <w:vAlign w:val="bottom"/>
            <w:vMerge w:val="restart"/>
          </w:tcPr>
          <w:p>
            <w:pPr>
              <w:jc w:val="center"/>
              <w:ind w:left="43"/>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gridSpan w:val="3"/>
          </w:tcPr>
          <w:p>
            <w:pPr>
              <w:ind w:left="160"/>
              <w:spacing w:after="0"/>
              <w:rPr>
                <w:sz w:val="20"/>
                <w:szCs w:val="20"/>
                <w:color w:val="auto"/>
              </w:rPr>
            </w:pPr>
            <w:r>
              <w:rPr>
                <w:rFonts w:ascii="Arial" w:cs="Arial" w:eastAsia="Arial" w:hAnsi="Arial"/>
                <w:sz w:val="15"/>
                <w:szCs w:val="15"/>
                <w:color w:val="auto"/>
              </w:rPr>
              <w:t>and Technical Solutions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760" w:type="dxa"/>
            <w:vAlign w:val="bottom"/>
            <w:gridSpan w:val="8"/>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 buildings,</w:t>
            </w:r>
          </w:p>
        </w:tc>
        <w:tc>
          <w:tcPr>
            <w:tcW w:w="1140" w:type="dxa"/>
            <w:vAlign w:val="bottom"/>
            <w:vMerge w:val="restart"/>
            <w:shd w:val="clear" w:color="auto" w:fill="DCE2E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3"/>
                <w:szCs w:val="13"/>
                <w:color w:val="auto"/>
              </w:rPr>
            </w:pPr>
          </w:p>
        </w:tc>
        <w:tc>
          <w:tcPr>
            <w:tcW w:w="600" w:type="dxa"/>
            <w:vAlign w:val="bottom"/>
            <w:shd w:val="clear" w:color="auto" w:fill="DCE2EF"/>
          </w:tcPr>
          <w:p>
            <w:pPr>
              <w:spacing w:after="0"/>
              <w:rPr>
                <w:sz w:val="13"/>
                <w:szCs w:val="13"/>
                <w:color w:val="auto"/>
              </w:rPr>
            </w:pPr>
          </w:p>
        </w:tc>
        <w:tc>
          <w:tcPr>
            <w:tcW w:w="106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5"/>
                <w:szCs w:val="15"/>
                <w:color w:val="auto"/>
              </w:rPr>
              <w:t>(2.6)</w:t>
            </w:r>
          </w:p>
        </w:tc>
        <w:tc>
          <w:tcPr>
            <w:tcW w:w="10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5"/>
              <w:spacing w:after="0"/>
              <w:rPr>
                <w:sz w:val="20"/>
                <w:szCs w:val="20"/>
                <w:color w:val="auto"/>
              </w:rPr>
            </w:pPr>
            <w:r>
              <w:rPr>
                <w:rFonts w:ascii="Arial" w:cs="Arial" w:eastAsia="Arial" w:hAnsi="Arial"/>
                <w:sz w:val="15"/>
                <w:szCs w:val="15"/>
                <w:color w:val="auto"/>
              </w:rPr>
              <w:t>2.6</w:t>
            </w:r>
          </w:p>
        </w:tc>
        <w:tc>
          <w:tcPr>
            <w:tcW w:w="1280" w:type="dxa"/>
            <w:vAlign w:val="bottom"/>
            <w:vMerge w:val="restart"/>
            <w:shd w:val="clear" w:color="auto" w:fill="DCE2EF"/>
          </w:tcPr>
          <w:p>
            <w:pPr>
              <w:jc w:val="right"/>
              <w:ind w:right="36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3800" w:type="dxa"/>
            <w:vAlign w:val="bottom"/>
            <w:gridSpan w:val="3"/>
            <w:shd w:val="clear" w:color="auto" w:fill="DCE2EF"/>
          </w:tcPr>
          <w:p>
            <w:pPr>
              <w:ind w:left="160"/>
              <w:spacing w:after="0"/>
              <w:rPr>
                <w:sz w:val="20"/>
                <w:szCs w:val="20"/>
                <w:color w:val="auto"/>
              </w:rPr>
            </w:pPr>
            <w:r>
              <w:rPr>
                <w:rFonts w:ascii="Arial" w:cs="Arial" w:eastAsia="Arial" w:hAnsi="Arial"/>
                <w:sz w:val="15"/>
                <w:szCs w:val="15"/>
                <w:color w:val="auto"/>
              </w:rPr>
              <w:t>included in Technical Solutions</w:t>
            </w:r>
          </w:p>
        </w:tc>
        <w:tc>
          <w:tcPr>
            <w:tcW w:w="420" w:type="dxa"/>
            <w:vAlign w:val="bottom"/>
            <w:shd w:val="clear" w:color="auto" w:fill="DCE2EF"/>
          </w:tcPr>
          <w:p>
            <w:pPr>
              <w:spacing w:after="0"/>
              <w:rPr>
                <w:sz w:val="17"/>
                <w:szCs w:val="17"/>
                <w:color w:val="auto"/>
              </w:rPr>
            </w:pPr>
          </w:p>
        </w:tc>
        <w:tc>
          <w:tcPr>
            <w:tcW w:w="1000" w:type="dxa"/>
            <w:vAlign w:val="bottom"/>
            <w:shd w:val="clear" w:color="auto" w:fill="DCE2EF"/>
          </w:tcPr>
          <w:p>
            <w:pPr>
              <w:spacing w:after="0"/>
              <w:rPr>
                <w:sz w:val="17"/>
                <w:szCs w:val="17"/>
                <w:color w:val="auto"/>
              </w:rPr>
            </w:pPr>
          </w:p>
        </w:tc>
        <w:tc>
          <w:tcPr>
            <w:tcW w:w="42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00" w:type="dxa"/>
            <w:vAlign w:val="bottom"/>
            <w:tcBorders>
              <w:bottom w:val="single" w:sz="8" w:color="auto"/>
            </w:tcBorders>
            <w:shd w:val="clear" w:color="auto" w:fill="DCE2EF"/>
          </w:tcPr>
          <w:p>
            <w:pPr>
              <w:spacing w:after="0"/>
              <w:rPr>
                <w:sz w:val="17"/>
                <w:szCs w:val="17"/>
                <w:color w:val="auto"/>
              </w:rPr>
            </w:pPr>
          </w:p>
        </w:tc>
        <w:tc>
          <w:tcPr>
            <w:tcW w:w="1060" w:type="dxa"/>
            <w:vAlign w:val="bottom"/>
            <w:tcBorders>
              <w:bottom w:val="single" w:sz="8" w:color="auto"/>
            </w:tcBorders>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128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83.4</w:t>
            </w:r>
          </w:p>
        </w:tc>
        <w:tc>
          <w:tcPr>
            <w:tcW w:w="7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37.4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46.0</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123.0%</w:t>
            </w: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5"/>
                <w:szCs w:val="15"/>
                <w:color w:val="auto"/>
              </w:rPr>
              <w:t>*Not meaningful</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820" w:type="dxa"/>
            <w:vAlign w:val="bottom"/>
            <w:gridSpan w:val="4"/>
          </w:tcPr>
          <w:p>
            <w:pPr>
              <w:ind w:left="20"/>
              <w:spacing w:after="0"/>
              <w:rPr>
                <w:sz w:val="20"/>
                <w:szCs w:val="20"/>
                <w:color w:val="auto"/>
              </w:rPr>
            </w:pPr>
            <w:r>
              <w:rPr>
                <w:rFonts w:ascii="Arial" w:cs="Arial" w:eastAsia="Arial" w:hAnsi="Arial"/>
                <w:sz w:val="15"/>
                <w:szCs w:val="15"/>
                <w:b w:val="1"/>
                <w:bCs w:val="1"/>
                <w:i w:val="1"/>
                <w:iCs w:val="1"/>
                <w:color w:val="0046AD"/>
              </w:rPr>
              <w:t>Business &amp; Industry</w:t>
            </w:r>
          </w:p>
        </w:tc>
        <w:tc>
          <w:tcPr>
            <w:tcW w:w="420" w:type="dxa"/>
            <w:vAlign w:val="bottom"/>
          </w:tcPr>
          <w:p>
            <w:pPr>
              <w:spacing w:after="0"/>
              <w:rPr>
                <w:sz w:val="24"/>
                <w:szCs w:val="24"/>
                <w:color w:val="auto"/>
              </w:rPr>
            </w:pPr>
          </w:p>
        </w:tc>
        <w:tc>
          <w:tcPr>
            <w:tcW w:w="2660" w:type="dxa"/>
            <w:vAlign w:val="bottom"/>
            <w:gridSpan w:val="4"/>
            <w:vMerge w:val="restart"/>
          </w:tcPr>
          <w:p>
            <w:pPr>
              <w:jc w:val="right"/>
              <w:ind w:right="44"/>
              <w:spacing w:after="0"/>
              <w:rPr>
                <w:sz w:val="20"/>
                <w:szCs w:val="20"/>
                <w:color w:val="auto"/>
              </w:rPr>
            </w:pPr>
            <w:r>
              <w:rPr>
                <w:rFonts w:ascii="Arial" w:cs="Arial" w:eastAsia="Arial" w:hAnsi="Arial"/>
                <w:sz w:val="15"/>
                <w:szCs w:val="15"/>
                <w:b w:val="1"/>
                <w:bCs w:val="1"/>
                <w:color w:val="auto"/>
              </w:rPr>
              <w:t>Three Months Ended July 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2"/>
                <w:szCs w:val="12"/>
                <w:color w:val="auto"/>
              </w:rPr>
            </w:pPr>
          </w:p>
        </w:tc>
        <w:tc>
          <w:tcPr>
            <w:tcW w:w="1000" w:type="dxa"/>
            <w:vAlign w:val="bottom"/>
          </w:tcPr>
          <w:p>
            <w:pPr>
              <w:jc w:val="right"/>
              <w:ind w:right="244"/>
              <w:spacing w:after="0" w:line="135" w:lineRule="exact"/>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80" w:type="dxa"/>
            <w:vAlign w:val="bottom"/>
            <w:gridSpan w:val="4"/>
          </w:tcPr>
          <w:p>
            <w:pPr>
              <w:jc w:val="right"/>
              <w:ind w:right="90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1,038.7</w:t>
            </w: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964"/>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w w:val="99"/>
              </w:rPr>
              <w:t>1,010.6</w:t>
            </w:r>
          </w:p>
        </w:tc>
        <w:tc>
          <w:tcPr>
            <w:tcW w:w="1060" w:type="dxa"/>
            <w:vAlign w:val="bottom"/>
            <w:gridSpan w:val="2"/>
            <w:shd w:val="clear" w:color="auto" w:fill="DCE2EF"/>
          </w:tcPr>
          <w:p>
            <w:pPr>
              <w:jc w:val="right"/>
              <w:ind w:right="840"/>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80" w:type="dxa"/>
            <w:vAlign w:val="bottom"/>
            <w:shd w:val="clear" w:color="auto" w:fill="DCE2EF"/>
          </w:tcPr>
          <w:p>
            <w:pPr>
              <w:jc w:val="right"/>
              <w:ind w:right="525"/>
              <w:spacing w:after="0"/>
              <w:rPr>
                <w:sz w:val="20"/>
                <w:szCs w:val="20"/>
                <w:color w:val="auto"/>
              </w:rPr>
            </w:pPr>
            <w:r>
              <w:rPr>
                <w:rFonts w:ascii="Arial" w:cs="Arial" w:eastAsia="Arial" w:hAnsi="Arial"/>
                <w:sz w:val="15"/>
                <w:szCs w:val="15"/>
                <w:color w:val="auto"/>
              </w:rPr>
              <w:t>28.1</w:t>
            </w:r>
          </w:p>
        </w:tc>
        <w:tc>
          <w:tcPr>
            <w:tcW w:w="128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85"/>
              <w:spacing w:after="0"/>
              <w:rPr>
                <w:sz w:val="20"/>
                <w:szCs w:val="20"/>
                <w:color w:val="auto"/>
              </w:rPr>
            </w:pPr>
            <w:r>
              <w:rPr>
                <w:rFonts w:ascii="Arial" w:cs="Arial" w:eastAsia="Arial" w:hAnsi="Arial"/>
                <w:sz w:val="15"/>
                <w:szCs w:val="15"/>
                <w:color w:val="auto"/>
              </w:rPr>
              <w:t>(4.0)</w:t>
            </w:r>
          </w:p>
        </w:tc>
        <w:tc>
          <w:tcPr>
            <w:tcW w:w="1280" w:type="dxa"/>
            <w:vAlign w:val="bottom"/>
          </w:tcPr>
          <w:p>
            <w:pPr>
              <w:jc w:val="right"/>
              <w:ind w:right="543"/>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7.1%</w:t>
            </w:r>
          </w:p>
        </w:tc>
        <w:tc>
          <w:tcPr>
            <w:tcW w:w="1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70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7.7%</w:t>
            </w:r>
          </w:p>
        </w:tc>
        <w:tc>
          <w:tcPr>
            <w:tcW w:w="12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80" w:type="dxa"/>
            <w:vAlign w:val="bottom"/>
            <w:shd w:val="clear" w:color="auto" w:fill="DCE2EF"/>
          </w:tcPr>
          <w:p>
            <w:pPr>
              <w:jc w:val="right"/>
              <w:ind w:right="465"/>
              <w:spacing w:after="0"/>
              <w:rPr>
                <w:sz w:val="20"/>
                <w:szCs w:val="20"/>
                <w:color w:val="auto"/>
              </w:rPr>
            </w:pPr>
            <w:r>
              <w:rPr>
                <w:rFonts w:ascii="Arial" w:cs="Arial" w:eastAsia="Arial" w:hAnsi="Arial"/>
                <w:sz w:val="14"/>
                <w:szCs w:val="14"/>
                <w:i w:val="1"/>
                <w:iCs w:val="1"/>
                <w:color w:val="auto"/>
              </w:rPr>
              <w:t>(60) bps</w:t>
            </w: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B&amp;I revenues increased by $28.1 million, or 2.8%, to $1,038.7 million during the three months ended July 31, 2025, as compared to the prior year period. The revenue increase was primarily driven by client expansions both domestic and international. This includes strategic pricing decisions for contract rebids and proactive extensions, as well as higher volumes in our sports and entertainment business. Management reimbursement revenues for this segment totaled $75.4 million and $69.9 million for the three months ended July 31, 2025 and 2024, respectively.</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$4.0 million, or 5.2%, to $73.8 million during the three months ended July 31, 2025, as compared to the prior year period. Operating profit margin decreased by 60 bps to 7.1% in the three months ended July 31, 2025, from 7.7% in the prior year period. The decrease in operating profit margin was primarily driven by strategic pricing decisions for contract rebids and proactive extensions, combined with managing contract escalation timing to maintain and expand certain customer accounts.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2"/>
        </w:trPr>
        <w:tc>
          <w:tcPr>
            <w:tcW w:w="384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Manufacturing &amp; Distribution</w:t>
            </w:r>
          </w:p>
        </w:tc>
        <w:tc>
          <w:tcPr>
            <w:tcW w:w="420" w:type="dxa"/>
            <w:vAlign w:val="bottom"/>
          </w:tcPr>
          <w:p>
            <w:pPr>
              <w:spacing w:after="0"/>
              <w:rPr>
                <w:sz w:val="18"/>
                <w:szCs w:val="18"/>
                <w:color w:val="auto"/>
              </w:rPr>
            </w:pPr>
          </w:p>
        </w:tc>
        <w:tc>
          <w:tcPr>
            <w:tcW w:w="3460" w:type="dxa"/>
            <w:vAlign w:val="bottom"/>
            <w:gridSpan w:val="5"/>
            <w:vMerge w:val="restart"/>
          </w:tcPr>
          <w:p>
            <w:pPr>
              <w:ind w:left="400"/>
              <w:spacing w:after="0"/>
              <w:rPr>
                <w:sz w:val="20"/>
                <w:szCs w:val="20"/>
                <w:color w:val="auto"/>
              </w:rPr>
            </w:pPr>
            <w:r>
              <w:rPr>
                <w:rFonts w:ascii="Arial" w:cs="Arial" w:eastAsia="Arial" w:hAnsi="Arial"/>
                <w:sz w:val="15"/>
                <w:szCs w:val="15"/>
                <w:b w:val="1"/>
                <w:bCs w:val="1"/>
                <w:color w:val="auto"/>
              </w:rPr>
              <w:t>Three Months Ended July 31,</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5"/>
            <w:vMerge w:val="continue"/>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5"/>
              <w:spacing w:after="0" w:line="135" w:lineRule="exact"/>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80" w:type="dxa"/>
            <w:vAlign w:val="bottom"/>
            <w:gridSpan w:val="2"/>
          </w:tcPr>
          <w:p>
            <w:pPr>
              <w:ind w:left="44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4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408.9</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377.1</w:t>
            </w:r>
          </w:p>
        </w:tc>
        <w:tc>
          <w:tcPr>
            <w:tcW w:w="120" w:type="dxa"/>
            <w:vAlign w:val="bottom"/>
            <w:shd w:val="clear" w:color="auto" w:fill="DCE2EF"/>
          </w:tcPr>
          <w:p>
            <w:pPr>
              <w:spacing w:after="0"/>
              <w:rPr>
                <w:sz w:val="17"/>
                <w:szCs w:val="17"/>
                <w:color w:val="auto"/>
              </w:rPr>
            </w:pPr>
          </w:p>
        </w:tc>
        <w:tc>
          <w:tcPr>
            <w:tcW w:w="540" w:type="dxa"/>
            <w:vAlign w:val="bottom"/>
            <w:shd w:val="clear" w:color="auto" w:fill="DCE2EF"/>
          </w:tcPr>
          <w:p>
            <w:pPr>
              <w:jc w:val="right"/>
              <w:ind w:right="36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CE2EF"/>
          </w:tcPr>
          <w:p>
            <w:pPr>
              <w:jc w:val="right"/>
              <w:ind w:right="326"/>
              <w:spacing w:after="0"/>
              <w:rPr>
                <w:sz w:val="20"/>
                <w:szCs w:val="20"/>
                <w:color w:val="auto"/>
              </w:rPr>
            </w:pPr>
            <w:r>
              <w:rPr>
                <w:rFonts w:ascii="Arial" w:cs="Arial" w:eastAsia="Arial" w:hAnsi="Arial"/>
                <w:sz w:val="15"/>
                <w:szCs w:val="15"/>
                <w:color w:val="auto"/>
              </w:rPr>
              <w:t>31.8</w:t>
            </w:r>
          </w:p>
        </w:tc>
        <w:tc>
          <w:tcPr>
            <w:tcW w:w="148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5"/>
        </w:trPr>
        <w:tc>
          <w:tcPr>
            <w:tcW w:w="384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36.4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5"/>
              <w:spacing w:after="0"/>
              <w:rPr>
                <w:sz w:val="20"/>
                <w:szCs w:val="20"/>
                <w:color w:val="auto"/>
              </w:rPr>
            </w:pPr>
            <w:r>
              <w:rPr>
                <w:rFonts w:ascii="Arial" w:cs="Arial" w:eastAsia="Arial" w:hAnsi="Arial"/>
                <w:sz w:val="15"/>
                <w:szCs w:val="15"/>
                <w:color w:val="auto"/>
              </w:rPr>
              <w:t>40.9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jc w:val="right"/>
              <w:ind w:right="286"/>
              <w:spacing w:after="0"/>
              <w:rPr>
                <w:sz w:val="20"/>
                <w:szCs w:val="20"/>
                <w:color w:val="auto"/>
              </w:rPr>
            </w:pPr>
            <w:r>
              <w:rPr>
                <w:rFonts w:ascii="Arial" w:cs="Arial" w:eastAsia="Arial" w:hAnsi="Arial"/>
                <w:sz w:val="15"/>
                <w:szCs w:val="15"/>
                <w:color w:val="auto"/>
              </w:rPr>
              <w:t>(4.5)</w:t>
            </w:r>
          </w:p>
        </w:tc>
        <w:tc>
          <w:tcPr>
            <w:tcW w:w="1480" w:type="dxa"/>
            <w:vAlign w:val="bottom"/>
          </w:tcPr>
          <w:p>
            <w:pPr>
              <w:jc w:val="right"/>
              <w:ind w:right="503"/>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8.9%</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10.9%</w:t>
            </w:r>
          </w:p>
        </w:tc>
        <w:tc>
          <w:tcPr>
            <w:tcW w:w="120" w:type="dxa"/>
            <w:vAlign w:val="bottom"/>
            <w:shd w:val="clear" w:color="auto" w:fill="DCE2EF"/>
          </w:tcPr>
          <w:p>
            <w:pPr>
              <w:spacing w:after="0"/>
              <w:rPr>
                <w:sz w:val="16"/>
                <w:szCs w:val="16"/>
                <w:color w:val="auto"/>
              </w:rPr>
            </w:pPr>
          </w:p>
        </w:tc>
        <w:tc>
          <w:tcPr>
            <w:tcW w:w="540" w:type="dxa"/>
            <w:vAlign w:val="bottom"/>
            <w:shd w:val="clear" w:color="auto" w:fill="DCE2EF"/>
          </w:tcPr>
          <w:p>
            <w:pPr>
              <w:spacing w:after="0"/>
              <w:rPr>
                <w:sz w:val="16"/>
                <w:szCs w:val="16"/>
                <w:color w:val="auto"/>
              </w:rPr>
            </w:pPr>
          </w:p>
        </w:tc>
        <w:tc>
          <w:tcPr>
            <w:tcW w:w="1500" w:type="dxa"/>
            <w:vAlign w:val="bottom"/>
            <w:shd w:val="clear" w:color="auto" w:fill="DCE2EF"/>
          </w:tcPr>
          <w:p>
            <w:pPr>
              <w:jc w:val="right"/>
              <w:ind w:right="266"/>
              <w:spacing w:after="0"/>
              <w:rPr>
                <w:sz w:val="20"/>
                <w:szCs w:val="20"/>
                <w:color w:val="auto"/>
              </w:rPr>
            </w:pPr>
            <w:r>
              <w:rPr>
                <w:rFonts w:ascii="Arial" w:cs="Arial" w:eastAsia="Arial" w:hAnsi="Arial"/>
                <w:sz w:val="14"/>
                <w:szCs w:val="14"/>
                <w:i w:val="1"/>
                <w:iCs w:val="1"/>
                <w:color w:val="auto"/>
              </w:rPr>
              <w:t>(196) bps</w:t>
            </w: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M&amp;D revenues increased by $31.8 million, or 8.4%, to $408.9 million during the three months ended July 31, 2025, as compared to the prior year period. The increase was primarily attributable to the expansion of business with existing clients and new business wins, including strategic pricing decisions for select new wins. This was partially offset by a loss of a certain customer in the first quarter of 2025.</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$4.5 million, or 11.1%, to $36.4 million during the three months ended July 31, 2025, as compared to the prior year period. Operating profit margin decreased by 196 bps to 8.9% in the three months ended July 31, 2025, from 10.9% in the prior year period. The decrease in operating profit margin was primarily attributable to strategic pricing on select new wins, and investments made in the fourth quarter of 2024 to hire certain technical expertise to support future growth.</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Aviation</w:t>
            </w:r>
          </w:p>
        </w:tc>
        <w:tc>
          <w:tcPr>
            <w:tcW w:w="420" w:type="dxa"/>
            <w:vAlign w:val="bottom"/>
          </w:tcPr>
          <w:p>
            <w:pPr>
              <w:spacing w:after="0"/>
              <w:rPr>
                <w:sz w:val="18"/>
                <w:szCs w:val="18"/>
                <w:color w:val="auto"/>
              </w:rPr>
            </w:pPr>
          </w:p>
        </w:tc>
        <w:tc>
          <w:tcPr>
            <w:tcW w:w="3460" w:type="dxa"/>
            <w:vAlign w:val="bottom"/>
            <w:gridSpan w:val="5"/>
            <w:vMerge w:val="restart"/>
          </w:tcPr>
          <w:p>
            <w:pPr>
              <w:ind w:left="400"/>
              <w:spacing w:after="0"/>
              <w:rPr>
                <w:sz w:val="20"/>
                <w:szCs w:val="20"/>
                <w:color w:val="auto"/>
              </w:rPr>
            </w:pPr>
            <w:r>
              <w:rPr>
                <w:rFonts w:ascii="Arial" w:cs="Arial" w:eastAsia="Arial" w:hAnsi="Arial"/>
                <w:sz w:val="15"/>
                <w:szCs w:val="15"/>
                <w:b w:val="1"/>
                <w:bCs w:val="1"/>
                <w:color w:val="auto"/>
              </w:rPr>
              <w:t>Three Months Ended July 31,</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5"/>
            <w:vMerge w:val="continue"/>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jc w:val="right"/>
              <w:ind w:right="126"/>
              <w:spacing w:after="0" w:line="128"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291.8</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268.4</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jc w:val="right"/>
              <w:ind w:right="523"/>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DCE2EF"/>
          </w:tcPr>
          <w:p>
            <w:pPr>
              <w:jc w:val="right"/>
              <w:ind w:right="546"/>
              <w:spacing w:after="0"/>
              <w:rPr>
                <w:sz w:val="20"/>
                <w:szCs w:val="20"/>
                <w:color w:val="auto"/>
              </w:rPr>
            </w:pPr>
            <w:r>
              <w:rPr>
                <w:rFonts w:ascii="Arial" w:cs="Arial" w:eastAsia="Arial" w:hAnsi="Arial"/>
                <w:sz w:val="15"/>
                <w:szCs w:val="15"/>
                <w:color w:val="auto"/>
              </w:rPr>
              <w:t>23.4</w:t>
            </w:r>
          </w:p>
        </w:tc>
        <w:tc>
          <w:tcPr>
            <w:tcW w:w="126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19.7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jc w:val="right"/>
              <w:ind w:right="546"/>
              <w:spacing w:after="0"/>
              <w:rPr>
                <w:sz w:val="20"/>
                <w:szCs w:val="20"/>
                <w:color w:val="auto"/>
              </w:rPr>
            </w:pPr>
            <w:r>
              <w:rPr>
                <w:rFonts w:ascii="Arial" w:cs="Arial" w:eastAsia="Arial" w:hAnsi="Arial"/>
                <w:sz w:val="15"/>
                <w:szCs w:val="15"/>
                <w:color w:val="auto"/>
              </w:rPr>
              <w:t>1.9</w:t>
            </w:r>
          </w:p>
        </w:tc>
        <w:tc>
          <w:tcPr>
            <w:tcW w:w="1260" w:type="dxa"/>
            <w:vAlign w:val="bottom"/>
          </w:tcPr>
          <w:p>
            <w:pPr>
              <w:jc w:val="right"/>
              <w:ind w:right="563"/>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6.8 %</w:t>
            </w:r>
          </w:p>
        </w:tc>
        <w:tc>
          <w:tcPr>
            <w:tcW w:w="1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6.6 %</w:t>
            </w:r>
          </w:p>
        </w:tc>
        <w:tc>
          <w:tcPr>
            <w:tcW w:w="10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580" w:type="dxa"/>
            <w:vAlign w:val="bottom"/>
            <w:shd w:val="clear" w:color="auto" w:fill="DCE2EF"/>
          </w:tcPr>
          <w:p>
            <w:pPr>
              <w:jc w:val="right"/>
              <w:ind w:right="486"/>
              <w:spacing w:after="0"/>
              <w:rPr>
                <w:sz w:val="20"/>
                <w:szCs w:val="20"/>
                <w:color w:val="auto"/>
              </w:rPr>
            </w:pPr>
            <w:r>
              <w:rPr>
                <w:rFonts w:ascii="Arial" w:cs="Arial" w:eastAsia="Arial" w:hAnsi="Arial"/>
                <w:sz w:val="14"/>
                <w:szCs w:val="14"/>
                <w:i w:val="1"/>
                <w:iCs w:val="1"/>
                <w:color w:val="auto"/>
              </w:rPr>
              <w:t>14 bps</w:t>
            </w:r>
          </w:p>
        </w:tc>
        <w:tc>
          <w:tcPr>
            <w:tcW w:w="12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Aviation revenues increased by $23.4 million, or 8.7%, to $291.8 million during the three months ended July 31, 2025, as compared to the prior year period. The increase was primarily attributable to new business and scope expansions with the existing clients both domestically and internationally. Management reimbursement revenues for this segment totaled $13.3 million and $9.6 million for the three months ended July 31, 2025 and 2024, respectively.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$1.9 million, or 11.0%, to $19.7 million for the three months ended July 31, 2025, as compared to the prior year period. Operating profit margin increased by 14 bps to 6.8% in the three months ended July 31, 2025. The operating profit margin increased primarily due to contract mix and operational efficiencies, particularly in managing overhead costs, partially offset by weather-related inefficiencies.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Education</w:t>
            </w:r>
          </w:p>
        </w:tc>
        <w:tc>
          <w:tcPr>
            <w:tcW w:w="420" w:type="dxa"/>
            <w:vAlign w:val="bottom"/>
          </w:tcPr>
          <w:p>
            <w:pPr>
              <w:spacing w:after="0"/>
              <w:rPr>
                <w:sz w:val="18"/>
                <w:szCs w:val="18"/>
                <w:color w:val="auto"/>
              </w:rPr>
            </w:pPr>
          </w:p>
        </w:tc>
        <w:tc>
          <w:tcPr>
            <w:tcW w:w="3480" w:type="dxa"/>
            <w:vAlign w:val="bottom"/>
            <w:gridSpan w:val="5"/>
            <w:vMerge w:val="restart"/>
          </w:tcPr>
          <w:p>
            <w:pPr>
              <w:ind w:left="400"/>
              <w:spacing w:after="0"/>
              <w:rPr>
                <w:sz w:val="20"/>
                <w:szCs w:val="20"/>
                <w:color w:val="auto"/>
              </w:rPr>
            </w:pPr>
            <w:r>
              <w:rPr>
                <w:rFonts w:ascii="Arial" w:cs="Arial" w:eastAsia="Arial" w:hAnsi="Arial"/>
                <w:sz w:val="15"/>
                <w:szCs w:val="15"/>
                <w:b w:val="1"/>
                <w:bCs w:val="1"/>
                <w:color w:val="auto"/>
              </w:rPr>
              <w:t>Three Months Ended July 31,</w:t>
            </w: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5"/>
              <w:spacing w:after="0" w:line="135" w:lineRule="exact"/>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ind w:left="800"/>
              <w:spacing w:after="0" w:line="128"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235.1</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228.3</w:t>
            </w:r>
          </w:p>
        </w:tc>
        <w:tc>
          <w:tcPr>
            <w:tcW w:w="120" w:type="dxa"/>
            <w:vAlign w:val="bottom"/>
            <w:shd w:val="clear" w:color="auto" w:fill="DCE2EF"/>
          </w:tcPr>
          <w:p>
            <w:pPr>
              <w:spacing w:after="0"/>
              <w:rPr>
                <w:sz w:val="17"/>
                <w:szCs w:val="17"/>
                <w:color w:val="auto"/>
              </w:rPr>
            </w:pPr>
          </w:p>
        </w:tc>
        <w:tc>
          <w:tcPr>
            <w:tcW w:w="640" w:type="dxa"/>
            <w:vAlign w:val="bottom"/>
            <w:shd w:val="clear" w:color="auto" w:fill="DCE2EF"/>
          </w:tcPr>
          <w:p>
            <w:pPr>
              <w:jc w:val="right"/>
              <w:ind w:right="46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CE2EF"/>
          </w:tcPr>
          <w:p>
            <w:pPr>
              <w:ind w:left="780"/>
              <w:spacing w:after="0"/>
              <w:rPr>
                <w:sz w:val="20"/>
                <w:szCs w:val="20"/>
                <w:color w:val="auto"/>
              </w:rPr>
            </w:pPr>
            <w:r>
              <w:rPr>
                <w:rFonts w:ascii="Arial" w:cs="Arial" w:eastAsia="Arial" w:hAnsi="Arial"/>
                <w:sz w:val="15"/>
                <w:szCs w:val="15"/>
                <w:color w:val="auto"/>
              </w:rPr>
              <w:t>6.8</w:t>
            </w:r>
          </w:p>
        </w:tc>
        <w:tc>
          <w:tcPr>
            <w:tcW w:w="126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5"/>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ind w:left="780"/>
              <w:spacing w:after="0"/>
              <w:rPr>
                <w:sz w:val="20"/>
                <w:szCs w:val="20"/>
                <w:color w:val="auto"/>
              </w:rPr>
            </w:pPr>
            <w:r>
              <w:rPr>
                <w:rFonts w:ascii="Arial" w:cs="Arial" w:eastAsia="Arial" w:hAnsi="Arial"/>
                <w:sz w:val="15"/>
                <w:szCs w:val="15"/>
                <w:color w:val="auto"/>
              </w:rPr>
              <w:t>3.1</w:t>
            </w:r>
          </w:p>
        </w:tc>
        <w:tc>
          <w:tcPr>
            <w:tcW w:w="1260" w:type="dxa"/>
            <w:vAlign w:val="bottom"/>
          </w:tcPr>
          <w:p>
            <w:pPr>
              <w:jc w:val="right"/>
              <w:ind w:right="563"/>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9.0%</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7.9 %</w:t>
            </w:r>
          </w:p>
        </w:tc>
        <w:tc>
          <w:tcPr>
            <w:tcW w:w="12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62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109 bps</w:t>
            </w:r>
          </w:p>
        </w:tc>
        <w:tc>
          <w:tcPr>
            <w:tcW w:w="12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Education revenues increased by $6.8 million, or 3.0%, to $235.1 million during the three months ended July 31, 2025, as compared to the prior year period. The increase was primarily attributable to net new business and scope expansions with the existing clients.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$3.1 million, or 17.2%, to $21.1 million for the three months ended July 31, 2025, as compared to the prior year period. Operating profit margin increased by 109 bps to 9.0% in the three months ended July 31, 2025, from 7.9% in the prior year period. The increase in operating profit margin was primarily attributable to operational efficiencies, particularly in managing overtime, materials and supplies, and general and administrative headcount.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Technical Solutions</w:t>
            </w:r>
          </w:p>
        </w:tc>
        <w:tc>
          <w:tcPr>
            <w:tcW w:w="420" w:type="dxa"/>
            <w:vAlign w:val="bottom"/>
          </w:tcPr>
          <w:p>
            <w:pPr>
              <w:spacing w:after="0"/>
              <w:rPr>
                <w:sz w:val="18"/>
                <w:szCs w:val="18"/>
                <w:color w:val="auto"/>
              </w:rPr>
            </w:pPr>
          </w:p>
        </w:tc>
        <w:tc>
          <w:tcPr>
            <w:tcW w:w="3460" w:type="dxa"/>
            <w:vAlign w:val="bottom"/>
            <w:gridSpan w:val="5"/>
            <w:vMerge w:val="restart"/>
          </w:tcPr>
          <w:p>
            <w:pPr>
              <w:ind w:left="400"/>
              <w:spacing w:after="0"/>
              <w:rPr>
                <w:sz w:val="20"/>
                <w:szCs w:val="20"/>
                <w:color w:val="auto"/>
              </w:rPr>
            </w:pPr>
            <w:r>
              <w:rPr>
                <w:rFonts w:ascii="Arial" w:cs="Arial" w:eastAsia="Arial" w:hAnsi="Arial"/>
                <w:sz w:val="15"/>
                <w:szCs w:val="15"/>
                <w:b w:val="1"/>
                <w:bCs w:val="1"/>
                <w:color w:val="auto"/>
              </w:rPr>
              <w:t>Three Months Ended July 31,</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gridSpan w:val="2"/>
          </w:tcPr>
          <w:p>
            <w:pPr>
              <w:ind w:left="44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249.5</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209.7</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39.8</w:t>
            </w:r>
          </w:p>
        </w:tc>
        <w:tc>
          <w:tcPr>
            <w:tcW w:w="146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19.4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jc w:val="right"/>
              <w:ind w:right="346"/>
              <w:spacing w:after="0"/>
              <w:rPr>
                <w:sz w:val="20"/>
                <w:szCs w:val="20"/>
                <w:color w:val="auto"/>
              </w:rPr>
            </w:pPr>
            <w:r>
              <w:rPr>
                <w:rFonts w:ascii="Arial" w:cs="Arial" w:eastAsia="Arial" w:hAnsi="Arial"/>
                <w:sz w:val="15"/>
                <w:szCs w:val="15"/>
                <w:color w:val="auto"/>
              </w:rPr>
              <w:t>1.5</w:t>
            </w:r>
          </w:p>
        </w:tc>
        <w:tc>
          <w:tcPr>
            <w:tcW w:w="1460" w:type="dxa"/>
            <w:vAlign w:val="bottom"/>
          </w:tcPr>
          <w:p>
            <w:pPr>
              <w:jc w:val="right"/>
              <w:ind w:right="603"/>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7.8%</w:t>
            </w:r>
          </w:p>
        </w:tc>
        <w:tc>
          <w:tcPr>
            <w:tcW w:w="1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8.5 %</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(75)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Technical Solutions revenues increased by $39.8 million, or 19.0%, to $249.5 million during the three months ended July 31, 2025, as compared to the prior year period. Revenue growth was comprised of organic growth of 6.8% and acquisition growth of 12.2%. The organic revenue growth was primarily driven by higher project revenues due to the microgrid projects as well as certain infrastructure solutions projects, partially offset by a decrease in electric vehicle charging station revenues. Acquisition growth was driven by a $25.5 million revenue increase from the Quality Uptime and LMC acquisitions.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$1.5 million, or 8.5%, to $19.4 million during the three months ended July 31, 2025, as compared to the prior year period. Operating profit margin decreased by 75 bps to 7.8% in the three months ended July 31, 2025, from 8.5% in the prior year period. The decrease in operating profit margin was primarily attributable to service mix and higher amortization of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Corporate</w:t>
            </w:r>
          </w:p>
        </w:tc>
        <w:tc>
          <w:tcPr>
            <w:tcW w:w="2980" w:type="dxa"/>
            <w:vAlign w:val="bottom"/>
            <w:gridSpan w:val="4"/>
            <w:vMerge w:val="restart"/>
          </w:tcPr>
          <w:p>
            <w:pPr>
              <w:jc w:val="right"/>
              <w:ind w:right="43"/>
              <w:spacing w:after="0"/>
              <w:rPr>
                <w:sz w:val="20"/>
                <w:szCs w:val="20"/>
                <w:color w:val="auto"/>
              </w:rPr>
            </w:pPr>
            <w:r>
              <w:rPr>
                <w:rFonts w:ascii="Arial" w:cs="Arial" w:eastAsia="Arial" w:hAnsi="Arial"/>
                <w:sz w:val="15"/>
                <w:szCs w:val="15"/>
                <w:b w:val="1"/>
                <w:bCs w:val="1"/>
                <w:color w:val="auto"/>
              </w:rPr>
              <w:t>Three Months Ended July 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980" w:type="dxa"/>
            <w:vAlign w:val="bottom"/>
            <w:tcBorders>
              <w:bottom w:val="single" w:sz="8" w:color="auto"/>
            </w:tcBorders>
            <w:gridSpan w:val="4"/>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jc w:val="right"/>
              <w:ind w:right="63"/>
              <w:spacing w:after="0" w:line="135" w:lineRule="exact"/>
              <w:rPr>
                <w:sz w:val="20"/>
                <w:szCs w:val="20"/>
                <w:color w:val="auto"/>
              </w:rPr>
            </w:pPr>
            <w:r>
              <w:rPr>
                <w:rFonts w:ascii="Arial" w:cs="Arial" w:eastAsia="Arial" w:hAnsi="Arial"/>
                <w:sz w:val="15"/>
                <w:szCs w:val="15"/>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3"/>
              <w:spacing w:after="0" w:line="135" w:lineRule="exact"/>
              <w:rPr>
                <w:sz w:val="20"/>
                <w:szCs w:val="20"/>
                <w:color w:val="auto"/>
              </w:rPr>
            </w:pPr>
            <w:r>
              <w:rPr>
                <w:rFonts w:ascii="Arial" w:cs="Arial" w:eastAsia="Arial" w:hAnsi="Arial"/>
                <w:sz w:val="15"/>
                <w:szCs w:val="15"/>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60" w:type="dxa"/>
            <w:vAlign w:val="bottom"/>
          </w:tcPr>
          <w:p>
            <w:pPr>
              <w:jc w:val="right"/>
              <w:ind w:right="425"/>
              <w:spacing w:after="0" w:line="128" w:lineRule="exact"/>
              <w:rPr>
                <w:sz w:val="20"/>
                <w:szCs w:val="20"/>
                <w:color w:val="auto"/>
              </w:rPr>
            </w:pPr>
            <w:r>
              <w:rPr>
                <w:rFonts w:ascii="Arial" w:cs="Arial" w:eastAsia="Arial" w:hAnsi="Arial"/>
                <w:sz w:val="14"/>
                <w:szCs w:val="14"/>
                <w:b w:val="1"/>
                <w:bCs w:val="1"/>
                <w:color w:val="auto"/>
              </w:rPr>
              <w:t>Decrease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6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 expenses</w:t>
            </w:r>
          </w:p>
        </w:tc>
        <w:tc>
          <w:tcPr>
            <w:tcW w:w="1180" w:type="dxa"/>
            <w:vAlign w:val="bottom"/>
            <w:shd w:val="clear" w:color="auto" w:fill="DCE2EF"/>
          </w:tcPr>
          <w:p>
            <w:pPr>
              <w:jc w:val="right"/>
              <w:ind w:right="10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(85.7)</w:t>
            </w: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9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(130.6)</w:t>
            </w:r>
          </w:p>
        </w:tc>
        <w:tc>
          <w:tcPr>
            <w:tcW w:w="10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ind w:right="945"/>
              <w:spacing w:after="0"/>
              <w:rPr>
                <w:sz w:val="20"/>
                <w:szCs w:val="20"/>
                <w:color w:val="auto"/>
              </w:rPr>
            </w:pPr>
            <w:r>
              <w:rPr>
                <w:rFonts w:ascii="Arial" w:cs="Arial" w:eastAsia="Arial" w:hAnsi="Arial"/>
                <w:sz w:val="15"/>
                <w:szCs w:val="15"/>
                <w:color w:val="auto"/>
              </w:rPr>
              <w:t>44.9</w:t>
            </w: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34.4 %</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Corporate expenses decreased by $44.9 million, or 34.4%, to $ 85.7 million during the three months ended July 31, 2025, as compared to the prior year period. The decrease in corporate expenses was primarily attributable to:</w:t>
      </w:r>
    </w:p>
    <w:p>
      <w:pPr>
        <w:spacing w:after="0" w:line="95" w:lineRule="exact"/>
        <w:rPr>
          <w:sz w:val="20"/>
          <w:szCs w:val="20"/>
          <w:color w:val="auto"/>
        </w:rPr>
      </w:pPr>
    </w:p>
    <w:p>
      <w:pPr>
        <w:ind w:left="620" w:hanging="307"/>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absence of an adjustment to the contingent consideration related to the RavenVolt Acquisition as compared to a $36.0 million fair value adjustment to increase the contingent consideration recorded during the three months ended July 31, 2024; and</w:t>
      </w:r>
    </w:p>
    <w:p>
      <w:pPr>
        <w:spacing w:after="0" w:line="94" w:lineRule="exact"/>
        <w:rPr>
          <w:rFonts w:ascii="Arial" w:cs="Arial" w:eastAsia="Arial" w:hAnsi="Arial"/>
          <w:sz w:val="17"/>
          <w:szCs w:val="17"/>
          <w:color w:val="auto"/>
        </w:rPr>
      </w:pPr>
    </w:p>
    <w:p>
      <w:pPr>
        <w:ind w:left="620" w:right="1560" w:hanging="307"/>
        <w:spacing w:after="0" w:line="44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$7.1 million decrease in unfavorable self-insurance reserve adjustment as a result of actuarial evaluations completed. The decrease was partially offset by:</w:t>
      </w:r>
    </w:p>
    <w:p>
      <w:pPr>
        <w:ind w:left="620" w:hanging="307"/>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$4.2 million increase in compensation and related expenses primarily due to higher salaries and headcount expansion from recent acquisitions.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right="4120"/>
        <w:spacing w:after="0" w:line="373" w:lineRule="auto"/>
        <w:rPr>
          <w:sz w:val="20"/>
          <w:szCs w:val="20"/>
          <w:color w:val="auto"/>
        </w:rPr>
      </w:pPr>
      <w:r>
        <w:rPr>
          <w:rFonts w:ascii="Arial" w:cs="Arial" w:eastAsia="Arial" w:hAnsi="Arial"/>
          <w:sz w:val="17"/>
          <w:szCs w:val="17"/>
          <w:b w:val="1"/>
          <w:bCs w:val="1"/>
          <w:i w:val="1"/>
          <w:iCs w:val="1"/>
          <w:color w:val="0046AD"/>
        </w:rPr>
        <w:t>Nine Months Ended July 31, 2025, Compared with the Nine Months Ended July 31, 2024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Arial" w:cs="Arial" w:eastAsia="Arial" w:hAnsi="Arial"/>
                <w:sz w:val="15"/>
                <w:szCs w:val="15"/>
                <w:b w:val="1"/>
                <w:bCs w:val="1"/>
                <w:color w:val="auto"/>
              </w:rPr>
              <w:t>Nine Months Ended July 31,</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48"/>
        </w:trPr>
        <w:tc>
          <w:tcPr>
            <w:tcW w:w="5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63"/>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583"/>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2"/>
          </w:tcPr>
          <w:p>
            <w:pPr>
              <w:ind w:left="180"/>
              <w:spacing w:after="0" w:line="128" w:lineRule="exact"/>
              <w:rPr>
                <w:sz w:val="20"/>
                <w:szCs w:val="20"/>
                <w:color w:val="auto"/>
              </w:rPr>
            </w:pPr>
            <w:r>
              <w:rPr>
                <w:rFonts w:ascii="Arial" w:cs="Arial" w:eastAsia="Arial" w:hAnsi="Arial"/>
                <w:sz w:val="14"/>
                <w:szCs w:val="14"/>
                <w:b w:val="1"/>
                <w:bCs w:val="1"/>
                <w:color w:val="auto"/>
              </w:rPr>
              <w:t>Increase / (Decrease)</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454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6,450.5</w:t>
            </w:r>
          </w:p>
        </w:tc>
        <w:tc>
          <w:tcPr>
            <w:tcW w:w="120" w:type="dxa"/>
            <w:vAlign w:val="bottom"/>
            <w:shd w:val="clear" w:color="auto" w:fill="DCE2EF"/>
          </w:tcPr>
          <w:p>
            <w:pPr>
              <w:spacing w:after="0"/>
              <w:rPr>
                <w:sz w:val="17"/>
                <w:szCs w:val="17"/>
                <w:color w:val="auto"/>
              </w:rPr>
            </w:pPr>
          </w:p>
        </w:tc>
        <w:tc>
          <w:tcPr>
            <w:tcW w:w="360" w:type="dxa"/>
            <w:vAlign w:val="bottom"/>
            <w:shd w:val="clear" w:color="auto" w:fill="DCE2EF"/>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6,182.0</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268.5</w:t>
            </w:r>
          </w:p>
        </w:tc>
        <w:tc>
          <w:tcPr>
            <w:tcW w:w="130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4.3%</w:t>
            </w:r>
          </w:p>
        </w:tc>
      </w:tr>
      <w:tr>
        <w:trPr>
          <w:trHeight w:val="205"/>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5,645.7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5,420.8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224.9</w:t>
            </w:r>
          </w:p>
        </w:tc>
        <w:tc>
          <w:tcPr>
            <w:tcW w:w="1300" w:type="dxa"/>
            <w:vAlign w:val="bottom"/>
          </w:tcPr>
          <w:p>
            <w:pPr>
              <w:jc w:val="center"/>
              <w:ind w:left="23"/>
              <w:spacing w:after="0"/>
              <w:rPr>
                <w:sz w:val="20"/>
                <w:szCs w:val="20"/>
                <w:color w:val="auto"/>
              </w:rPr>
            </w:pPr>
            <w:r>
              <w:rPr>
                <w:rFonts w:ascii="Arial" w:cs="Arial" w:eastAsia="Arial" w:hAnsi="Arial"/>
                <w:sz w:val="15"/>
                <w:szCs w:val="15"/>
                <w:color w:val="auto"/>
              </w:rPr>
              <w:t>4.1%</w:t>
            </w:r>
          </w:p>
        </w:tc>
      </w:tr>
      <w:tr>
        <w:trPr>
          <w:trHeight w:val="194"/>
        </w:trPr>
        <w:tc>
          <w:tcPr>
            <w:tcW w:w="20" w:type="dxa"/>
            <w:vAlign w:val="bottom"/>
            <w:shd w:val="clear" w:color="auto" w:fill="DCE2EF"/>
          </w:tcPr>
          <w:p>
            <w:pPr>
              <w:spacing w:after="0"/>
              <w:rPr>
                <w:sz w:val="16"/>
                <w:szCs w:val="16"/>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shd w:val="clear" w:color="auto" w:fill="DCE2EF"/>
          </w:tcPr>
          <w:p>
            <w:pPr>
              <w:spacing w:after="0"/>
              <w:rPr>
                <w:sz w:val="16"/>
                <w:szCs w:val="16"/>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12.5%</w:t>
            </w:r>
          </w:p>
        </w:tc>
        <w:tc>
          <w:tcPr>
            <w:tcW w:w="12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12.3%</w:t>
            </w: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16 bps</w:t>
            </w:r>
          </w:p>
        </w:tc>
        <w:tc>
          <w:tcPr>
            <w:tcW w:w="1300" w:type="dxa"/>
            <w:vAlign w:val="bottom"/>
            <w:shd w:val="clear" w:color="auto" w:fill="DCE2EF"/>
          </w:tcPr>
          <w:p>
            <w:pPr>
              <w:spacing w:after="0"/>
              <w:rPr>
                <w:sz w:val="16"/>
                <w:szCs w:val="16"/>
                <w:color w:val="auto"/>
              </w:rPr>
            </w:pPr>
          </w:p>
        </w:tc>
      </w:tr>
      <w:tr>
        <w:trPr>
          <w:trHeight w:val="205"/>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521.7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526.3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w:t>
            </w:r>
          </w:p>
        </w:tc>
        <w:tc>
          <w:tcPr>
            <w:tcW w:w="1300" w:type="dxa"/>
            <w:vAlign w:val="bottom"/>
          </w:tcPr>
          <w:p>
            <w:pPr>
              <w:jc w:val="center"/>
              <w:ind w:left="43"/>
              <w:spacing w:after="0"/>
              <w:rPr>
                <w:sz w:val="20"/>
                <w:szCs w:val="20"/>
                <w:color w:val="auto"/>
              </w:rPr>
            </w:pPr>
            <w:r>
              <w:rPr>
                <w:rFonts w:ascii="Arial" w:cs="Arial" w:eastAsia="Arial" w:hAnsi="Arial"/>
                <w:sz w:val="15"/>
                <w:szCs w:val="15"/>
                <w:color w:val="auto"/>
              </w:rPr>
              <w:t>(0.9)%</w:t>
            </w:r>
          </w:p>
        </w:tc>
      </w:tr>
      <w:tr>
        <w:trPr>
          <w:trHeight w:val="207"/>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39.9</w:t>
            </w:r>
          </w:p>
        </w:tc>
        <w:tc>
          <w:tcPr>
            <w:tcW w:w="120" w:type="dxa"/>
            <w:vAlign w:val="bottom"/>
            <w:shd w:val="clear" w:color="auto" w:fill="DCE2EF"/>
          </w:tcPr>
          <w:p>
            <w:pPr>
              <w:spacing w:after="0"/>
              <w:rPr>
                <w:sz w:val="18"/>
                <w:szCs w:val="18"/>
                <w:color w:val="auto"/>
              </w:rPr>
            </w:pPr>
          </w:p>
        </w:tc>
        <w:tc>
          <w:tcPr>
            <w:tcW w:w="36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(2.3)</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(5.5)%</w:t>
            </w:r>
          </w:p>
        </w:tc>
      </w:tr>
      <w:tr>
        <w:trPr>
          <w:trHeight w:val="199"/>
        </w:trPr>
        <w:tc>
          <w:tcPr>
            <w:tcW w:w="5240" w:type="dxa"/>
            <w:vAlign w:val="bottom"/>
            <w:gridSpan w:val="3"/>
          </w:tcPr>
          <w:p>
            <w:pPr>
              <w:ind w:left="20"/>
              <w:spacing w:after="0"/>
              <w:rPr>
                <w:sz w:val="20"/>
                <w:szCs w:val="20"/>
                <w:color w:val="auto"/>
              </w:rPr>
            </w:pPr>
            <w:r>
              <w:rPr>
                <w:rFonts w:ascii="Arial" w:cs="Arial" w:eastAsia="Arial" w:hAnsi="Arial"/>
                <w:sz w:val="15"/>
                <w:szCs w:val="15"/>
                <w:b w:val="1"/>
                <w:bCs w:val="1"/>
                <w:color w:val="auto"/>
              </w:rPr>
              <w:t>Operating profit</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243.3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192.8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50.5</w:t>
            </w:r>
          </w:p>
        </w:tc>
        <w:tc>
          <w:tcPr>
            <w:tcW w:w="1300" w:type="dxa"/>
            <w:vAlign w:val="bottom"/>
          </w:tcPr>
          <w:p>
            <w:pPr>
              <w:jc w:val="center"/>
              <w:ind w:left="23"/>
              <w:spacing w:after="0"/>
              <w:rPr>
                <w:sz w:val="20"/>
                <w:szCs w:val="20"/>
                <w:color w:val="auto"/>
              </w:rPr>
            </w:pPr>
            <w:r>
              <w:rPr>
                <w:rFonts w:ascii="Arial" w:cs="Arial" w:eastAsia="Arial" w:hAnsi="Arial"/>
                <w:sz w:val="15"/>
                <w:szCs w:val="15"/>
                <w:color w:val="auto"/>
              </w:rPr>
              <w:t>26.2%</w:t>
            </w:r>
          </w:p>
        </w:tc>
      </w:tr>
      <w:tr>
        <w:trPr>
          <w:trHeight w:val="206"/>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3.4</w:t>
            </w:r>
          </w:p>
        </w:tc>
        <w:tc>
          <w:tcPr>
            <w:tcW w:w="12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(28.4)%</w:t>
            </w:r>
          </w:p>
        </w:tc>
      </w:tr>
      <w:tr>
        <w:trPr>
          <w:trHeight w:val="205"/>
        </w:trPr>
        <w:tc>
          <w:tcPr>
            <w:tcW w:w="52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(72.1)</w:t>
            </w:r>
          </w:p>
        </w:tc>
        <w:tc>
          <w:tcPr>
            <w:tcW w:w="12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(63.1)</w:t>
            </w:r>
          </w:p>
        </w:tc>
        <w:tc>
          <w:tcPr>
            <w:tcW w:w="10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130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(14.2)%</w:t>
            </w:r>
          </w:p>
        </w:tc>
      </w:tr>
      <w:tr>
        <w:trPr>
          <w:trHeight w:val="200"/>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before income taxes</w:t>
            </w: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174.6</w:t>
            </w:r>
          </w:p>
        </w:tc>
        <w:tc>
          <w:tcPr>
            <w:tcW w:w="12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134.4</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40.2</w:t>
            </w:r>
          </w:p>
        </w:tc>
        <w:tc>
          <w:tcPr>
            <w:tcW w:w="130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29.9%</w:t>
            </w:r>
          </w:p>
        </w:tc>
      </w:tr>
      <w:tr>
        <w:trPr>
          <w:trHeight w:val="205"/>
        </w:trPr>
        <w:tc>
          <w:tcPr>
            <w:tcW w:w="52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Income tax provision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(47.0)</w:t>
            </w:r>
          </w:p>
        </w:tc>
        <w:tc>
          <w:tcPr>
            <w:tcW w:w="12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(41.3)</w:t>
            </w:r>
          </w:p>
        </w:tc>
        <w:tc>
          <w:tcPr>
            <w:tcW w:w="10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30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(13.8)%</w:t>
            </w:r>
          </w:p>
        </w:tc>
      </w:tr>
      <w:tr>
        <w:trPr>
          <w:trHeight w:val="200"/>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380" w:type="dxa"/>
            <w:vAlign w:val="bottom"/>
            <w:tcBorders>
              <w:bottom w:val="single" w:sz="8" w:color="auto"/>
            </w:tcBorders>
            <w:shd w:val="clear" w:color="auto" w:fill="DCE2EF"/>
          </w:tcPr>
          <w:p>
            <w:pPr>
              <w:spacing w:after="0"/>
              <w:rPr>
                <w:sz w:val="17"/>
                <w:szCs w:val="17"/>
                <w:color w:val="auto"/>
              </w:rPr>
            </w:pP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127.6</w:t>
            </w:r>
          </w:p>
        </w:tc>
        <w:tc>
          <w:tcPr>
            <w:tcW w:w="120" w:type="dxa"/>
            <w:vAlign w:val="bottom"/>
            <w:shd w:val="clear" w:color="auto" w:fill="DCE2EF"/>
          </w:tcPr>
          <w:p>
            <w:pPr>
              <w:spacing w:after="0"/>
              <w:rPr>
                <w:sz w:val="17"/>
                <w:szCs w:val="17"/>
                <w:color w:val="auto"/>
              </w:rPr>
            </w:pPr>
          </w:p>
        </w:tc>
        <w:tc>
          <w:tcPr>
            <w:tcW w:w="360" w:type="dxa"/>
            <w:vAlign w:val="bottom"/>
            <w:tcBorders>
              <w:bottom w:val="single" w:sz="8" w:color="auto"/>
            </w:tcBorders>
            <w:shd w:val="clear" w:color="auto" w:fill="DCE2EF"/>
          </w:tcPr>
          <w:p>
            <w:pPr>
              <w:spacing w:after="0"/>
              <w:rPr>
                <w:sz w:val="17"/>
                <w:szCs w:val="17"/>
                <w:color w:val="auto"/>
              </w:rPr>
            </w:pPr>
          </w:p>
        </w:tc>
        <w:tc>
          <w:tcPr>
            <w:tcW w:w="1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93.1</w:t>
            </w:r>
          </w:p>
        </w:tc>
        <w:tc>
          <w:tcPr>
            <w:tcW w:w="100" w:type="dxa"/>
            <w:vAlign w:val="bottom"/>
            <w:shd w:val="clear" w:color="auto" w:fill="DCE2EF"/>
          </w:tcPr>
          <w:p>
            <w:pPr>
              <w:spacing w:after="0"/>
              <w:rPr>
                <w:sz w:val="17"/>
                <w:szCs w:val="17"/>
                <w:color w:val="auto"/>
              </w:rPr>
            </w:pPr>
          </w:p>
        </w:tc>
        <w:tc>
          <w:tcPr>
            <w:tcW w:w="280" w:type="dxa"/>
            <w:vAlign w:val="bottom"/>
            <w:tcBorders>
              <w:bottom w:val="single" w:sz="8" w:color="auto"/>
            </w:tcBorders>
            <w:shd w:val="clear" w:color="auto" w:fill="DCE2EF"/>
          </w:tcPr>
          <w:p>
            <w:pPr>
              <w:spacing w:after="0"/>
              <w:rPr>
                <w:sz w:val="17"/>
                <w:szCs w:val="17"/>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34.5</w:t>
            </w:r>
          </w:p>
        </w:tc>
        <w:tc>
          <w:tcPr>
            <w:tcW w:w="130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37.0%</w:t>
            </w:r>
          </w:p>
        </w:tc>
      </w:tr>
      <w:tr>
        <w:trPr>
          <w:trHeight w:val="185"/>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Other comprehensive income (loss)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Interest rate swaps</w:t>
            </w: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(5.7)</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12.4</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(68.6)%</w:t>
            </w:r>
          </w:p>
        </w:tc>
      </w:tr>
      <w:tr>
        <w:trPr>
          <w:trHeight w:val="205"/>
        </w:trPr>
        <w:tc>
          <w:tcPr>
            <w:tcW w:w="20" w:type="dxa"/>
            <w:vAlign w:val="bottom"/>
          </w:tcPr>
          <w:p>
            <w:pPr>
              <w:spacing w:after="0"/>
              <w:rPr>
                <w:sz w:val="17"/>
                <w:szCs w:val="17"/>
                <w:color w:val="auto"/>
              </w:rPr>
            </w:pPr>
          </w:p>
        </w:tc>
        <w:tc>
          <w:tcPr>
            <w:tcW w:w="5220" w:type="dxa"/>
            <w:vAlign w:val="bottom"/>
            <w:gridSpan w:val="2"/>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w:t>
            </w:r>
          </w:p>
        </w:tc>
        <w:tc>
          <w:tcPr>
            <w:tcW w:w="1300" w:type="dxa"/>
            <w:vAlign w:val="bottom"/>
          </w:tcPr>
          <w:p>
            <w:pPr>
              <w:jc w:val="center"/>
              <w:ind w:left="43"/>
              <w:spacing w:after="0"/>
              <w:rPr>
                <w:sz w:val="20"/>
                <w:szCs w:val="20"/>
                <w:color w:val="auto"/>
              </w:rPr>
            </w:pPr>
            <w:r>
              <w:rPr>
                <w:rFonts w:ascii="Arial" w:cs="Arial" w:eastAsia="Arial" w:hAnsi="Arial"/>
                <w:sz w:val="15"/>
                <w:szCs w:val="15"/>
                <w:color w:val="auto"/>
              </w:rPr>
              <w:t>(18.8)%</w:t>
            </w:r>
          </w:p>
        </w:tc>
      </w:tr>
      <w:tr>
        <w:trPr>
          <w:trHeight w:val="206"/>
        </w:trPr>
        <w:tc>
          <w:tcPr>
            <w:tcW w:w="20" w:type="dxa"/>
            <w:vAlign w:val="bottom"/>
            <w:shd w:val="clear" w:color="auto" w:fill="DCE2EF"/>
          </w:tcPr>
          <w:p>
            <w:pPr>
              <w:spacing w:after="0"/>
              <w:rPr>
                <w:sz w:val="17"/>
                <w:szCs w:val="17"/>
                <w:color w:val="auto"/>
              </w:rPr>
            </w:pPr>
          </w:p>
        </w:tc>
        <w:tc>
          <w:tcPr>
            <w:tcW w:w="522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Income tax benefit</w:t>
            </w:r>
          </w:p>
        </w:tc>
        <w:tc>
          <w:tcPr>
            <w:tcW w:w="380" w:type="dxa"/>
            <w:vAlign w:val="bottom"/>
            <w:tcBorders>
              <w:bottom w:val="single" w:sz="8" w:color="auto"/>
            </w:tcBorders>
            <w:shd w:val="clear" w:color="auto" w:fill="DCE2EF"/>
          </w:tcPr>
          <w:p>
            <w:pPr>
              <w:spacing w:after="0"/>
              <w:rPr>
                <w:sz w:val="17"/>
                <w:szCs w:val="17"/>
                <w:color w:val="auto"/>
              </w:rPr>
            </w:pP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1.5</w:t>
            </w:r>
          </w:p>
        </w:tc>
        <w:tc>
          <w:tcPr>
            <w:tcW w:w="120" w:type="dxa"/>
            <w:vAlign w:val="bottom"/>
            <w:shd w:val="clear" w:color="auto" w:fill="DCE2EF"/>
          </w:tcPr>
          <w:p>
            <w:pPr>
              <w:spacing w:after="0"/>
              <w:rPr>
                <w:sz w:val="17"/>
                <w:szCs w:val="17"/>
                <w:color w:val="auto"/>
              </w:rPr>
            </w:pPr>
          </w:p>
        </w:tc>
        <w:tc>
          <w:tcPr>
            <w:tcW w:w="360" w:type="dxa"/>
            <w:vAlign w:val="bottom"/>
            <w:tcBorders>
              <w:bottom w:val="single" w:sz="8" w:color="auto"/>
            </w:tcBorders>
            <w:shd w:val="clear" w:color="auto" w:fill="DCE2EF"/>
          </w:tcPr>
          <w:p>
            <w:pPr>
              <w:spacing w:after="0"/>
              <w:rPr>
                <w:sz w:val="17"/>
                <w:szCs w:val="17"/>
                <w:color w:val="auto"/>
              </w:rPr>
            </w:pPr>
          </w:p>
        </w:tc>
        <w:tc>
          <w:tcPr>
            <w:tcW w:w="1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CE2EF"/>
          </w:tcPr>
          <w:p>
            <w:pPr>
              <w:spacing w:after="0"/>
              <w:rPr>
                <w:sz w:val="17"/>
                <w:szCs w:val="17"/>
                <w:color w:val="auto"/>
              </w:rPr>
            </w:pPr>
          </w:p>
        </w:tc>
        <w:tc>
          <w:tcPr>
            <w:tcW w:w="280" w:type="dxa"/>
            <w:vAlign w:val="bottom"/>
            <w:tcBorders>
              <w:bottom w:val="single" w:sz="8" w:color="auto"/>
            </w:tcBorders>
            <w:shd w:val="clear" w:color="auto" w:fill="DCE2EF"/>
          </w:tcPr>
          <w:p>
            <w:pPr>
              <w:spacing w:after="0"/>
              <w:rPr>
                <w:sz w:val="17"/>
                <w:szCs w:val="17"/>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(3.2)</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(68.9)%</w:t>
            </w:r>
          </w:p>
        </w:tc>
      </w:tr>
      <w:tr>
        <w:trPr>
          <w:trHeight w:val="200"/>
        </w:trPr>
        <w:tc>
          <w:tcPr>
            <w:tcW w:w="5240" w:type="dxa"/>
            <w:vAlign w:val="bottom"/>
            <w:gridSpan w:val="3"/>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128.6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300" w:type="dxa"/>
            <w:vAlign w:val="bottom"/>
          </w:tcPr>
          <w:p>
            <w:pPr>
              <w:jc w:val="center"/>
              <w:ind w:left="23"/>
              <w:spacing w:after="0"/>
              <w:rPr>
                <w:sz w:val="20"/>
                <w:szCs w:val="20"/>
                <w:color w:val="auto"/>
              </w:rPr>
            </w:pPr>
            <w:r>
              <w:rPr>
                <w:rFonts w:ascii="Arial" w:cs="Arial" w:eastAsia="Arial" w:hAnsi="Arial"/>
                <w:sz w:val="15"/>
                <w:szCs w:val="15"/>
                <w:color w:val="auto"/>
              </w:rPr>
              <w:t>49.3%</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Revenues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Revenues increased by $268.5 million, or 4.3%, to $6,450.5 million during the nine months ended July 31, 2025, as compared to the prior year period. Revenue growth was comprised of organic growth of 3.4% and acquisition growth of 0.9%. The organic revenue growth was primarily driven by higher project revenues due to the higher microgrid projects within Technical Solutions and the net new business and expansion of business with existing customers within Aviation, B&amp;I, M&amp;D, and Education, partially offset by strategic pricing decisions, including for contract rebids within B&amp;I and for new wins within M&amp;D. Acquisition growth was driven by a $54.8 million revenue increase from the Quality Uptime and LMC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expenses increased by $224.9 million, or 4.1%, to $5,645.7 million during the nine months ended July 31, 2025, as compared to the prior year period. Gross margin increased by 16 bps to 12.5% in the nine months ended July 31, 2025, from 12.3% in the nine months ended July 31, 2024. The increase in gross margin was primarily driven by operational efficiencies within Aviation and Education and a decrease in prior year insurance adjustment, partially offset by strategic pricing decisions for contract rebids and proactive extensions combined with managing contract escalation timing to maintain and expand certain customer accounts within B&amp;I and strategic pricing on select new wins within M&amp;D.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jc w:val="both"/>
        <w:ind w:firstLine="218"/>
        <w:spacing w:after="0" w:line="290" w:lineRule="auto"/>
        <w:rPr>
          <w:sz w:val="20"/>
          <w:szCs w:val="20"/>
          <w:color w:val="auto"/>
        </w:rPr>
      </w:pPr>
      <w:r>
        <w:rPr>
          <w:rFonts w:ascii="Arial" w:cs="Arial" w:eastAsia="Arial" w:hAnsi="Arial"/>
          <w:sz w:val="17"/>
          <w:szCs w:val="17"/>
          <w:color w:val="auto"/>
        </w:rPr>
        <w:t>Selling, general and administrative expenses decreased by $4.6 million, or 0.9%, to $521.7 million during the nine months ended July 31, 2025, as compared to the nine months ended July 31, 2024. The decrease in selling, general and administrative expenses was primarily attributable to:</w:t>
      </w:r>
    </w:p>
    <w:p>
      <w:pPr>
        <w:spacing w:after="0" w:line="95" w:lineRule="exact"/>
        <w:rPr>
          <w:sz w:val="20"/>
          <w:szCs w:val="20"/>
          <w:color w:val="auto"/>
        </w:rPr>
      </w:pPr>
    </w:p>
    <w:p>
      <w:pPr>
        <w:ind w:left="620" w:hanging="307"/>
        <w:spacing w:after="0" w:line="290"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absence of an adjustment to the contingent consideration related to the RavenVolt Acquisition as compared to a $36.0 million fair value adjustment to increase the contingent consideration recorded during the three months ended July 31,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5" w:name="page36"/>
    <w:bookmarkEnd w:id="35"/>
    <w:p>
      <w:pPr>
        <w:ind w:left="620"/>
        <w:spacing w:after="0"/>
        <w:rPr>
          <w:sz w:val="20"/>
          <w:szCs w:val="20"/>
          <w:color w:val="auto"/>
        </w:rPr>
      </w:pPr>
      <w:r>
        <w:rPr>
          <w:rFonts w:ascii="Arial" w:cs="Arial" w:eastAsia="Arial" w:hAnsi="Arial"/>
          <w:sz w:val="17"/>
          <w:szCs w:val="17"/>
          <w:color w:val="auto"/>
        </w:rPr>
        <w:t>The decrease was partially offset by:</w:t>
      </w:r>
    </w:p>
    <w:p>
      <w:pPr>
        <w:spacing w:after="0" w:line="165" w:lineRule="exact"/>
        <w:rPr>
          <w:sz w:val="20"/>
          <w:szCs w:val="20"/>
          <w:color w:val="auto"/>
        </w:rPr>
      </w:pPr>
    </w:p>
    <w:p>
      <w:pPr>
        <w:ind w:left="620" w:hanging="307"/>
        <w:spacing w:after="0" w:line="290"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$24.8 million increase in compensation and related expenses primarily due to higher salaries, certain incentive plans, headcount expansion from recent acquisitions, and ongoing business growth; and</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$6.4 million increase in costs associated with systems’ go-live.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Amortization of intangible assets decreased by $2.3 million, or 5.5%, to $39.9 million during the nine months ended July 31, 2025, as compared to the nine months ended July 31, 2024. This decrease was due to lower amortization of intangibles, primarily intangibles acquired as part of the Able and GCA acquisitions, partially offset by amortization of intangibles from the Quality Uptime and LMC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Interest expense increased by $9.0 million to $72.1 million during the nine months ended July 31, 2025, as compared to the nine months ended July 31, 2024. The increase was driven by higher borrowings from our Amended Credit Facility to fund working capital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 from Operations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effective tax rates on income from operations for the nine months ended July 31, 2025, and July 31, 2024, were 26.9% and 30.7%, respectively, resulting in provisions for taxes of $47.0 million and $41.3 million, respectively.</w:t>
      </w:r>
    </w:p>
    <w:p>
      <w:pPr>
        <w:spacing w:after="0" w:line="9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7"/>
          <w:szCs w:val="17"/>
          <w:color w:val="auto"/>
        </w:rPr>
        <w:t>Our effective tax rate for the nine months ended July 31, 2025, benefited from discrete items, primarily from a return to provision adjustments related to our non-U.S. operations. Our effective tax rate for the nine months ended July 31, 2024, was impacted by discrete items, primarily from a change for uncertain tax positions, energy efficiency incentives, a return to provision adjustment related to our non-U.S. operations, a benefit for share-based compensation, and the non-taxable change in fair value of the contingent consideration related to the RavenVolt Acquisition.</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loss of $5.7 million during the nine months ended July 31, 2025, as compared to a loss of $18.1 million during the nine months ended July 31, 2024,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w:t>
      </w:r>
    </w:p>
    <w:p>
      <w:pPr>
        <w:spacing w:after="0" w:line="165" w:lineRule="exact"/>
        <w:rPr>
          <w:sz w:val="20"/>
          <w:szCs w:val="20"/>
          <w:color w:val="auto"/>
        </w:rPr>
      </w:pPr>
    </w:p>
    <w:p>
      <w:pPr>
        <w:jc w:val="both"/>
        <w:ind w:firstLine="283"/>
        <w:spacing w:after="0" w:line="265" w:lineRule="auto"/>
        <w:rPr>
          <w:sz w:val="20"/>
          <w:szCs w:val="20"/>
          <w:color w:val="auto"/>
        </w:rPr>
      </w:pPr>
      <w:r>
        <w:rPr>
          <w:rFonts w:ascii="Arial" w:cs="Arial" w:eastAsia="Arial" w:hAnsi="Arial"/>
          <w:sz w:val="17"/>
          <w:szCs w:val="17"/>
          <w:color w:val="auto"/>
        </w:rPr>
        <w:t>We had a foreign currency translation gain of $5.2 million during the nine months ended July 31, 2025, as compared to a foreign currency translation gain of $6.4 million during the nine months ended July 31, 2024. This change was due to fluctuations in the exchange rate between the USD and the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rPr>
              <w:t>Nine Months Ended July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ind w:right="643"/>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gridSpan w:val="3"/>
          </w:tcPr>
          <w:p>
            <w:pPr>
              <w:jc w:val="right"/>
              <w:ind w:right="20"/>
              <w:spacing w:after="0" w:line="135" w:lineRule="exact"/>
              <w:rPr>
                <w:sz w:val="20"/>
                <w:szCs w:val="20"/>
                <w:color w:val="auto"/>
              </w:rPr>
            </w:pPr>
            <w:r>
              <w:rPr>
                <w:rFonts w:ascii="Arial" w:cs="Arial" w:eastAsia="Arial" w:hAnsi="Arial"/>
                <w:sz w:val="15"/>
                <w:szCs w:val="15"/>
                <w:b w:val="1"/>
                <w:bCs w:val="1"/>
                <w:color w:val="auto"/>
              </w:rPr>
              <w:t>2024</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3"/>
          </w:tcPr>
          <w:p>
            <w:pPr>
              <w:jc w:val="right"/>
              <w:ind w:right="383"/>
              <w:spacing w:after="0" w:line="128" w:lineRule="exact"/>
              <w:rPr>
                <w:sz w:val="20"/>
                <w:szCs w:val="20"/>
                <w:color w:val="auto"/>
              </w:rPr>
            </w:pPr>
            <w:r>
              <w:rPr>
                <w:rFonts w:ascii="Arial" w:cs="Arial" w:eastAsia="Arial" w:hAnsi="Arial"/>
                <w:sz w:val="14"/>
                <w:szCs w:val="14"/>
                <w:b w:val="1"/>
                <w:bCs w:val="1"/>
                <w:color w:val="auto"/>
              </w:rPr>
              <w:t>Increase / (Decrease)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900" w:type="dxa"/>
            <w:vAlign w:val="bottom"/>
            <w:tcBorders>
              <w:bottom w:val="single" w:sz="8" w:color="DCE2EF"/>
            </w:tcBorders>
          </w:tcPr>
          <w:p>
            <w:pPr>
              <w:spacing w:after="0"/>
              <w:rPr>
                <w:sz w:val="2"/>
                <w:szCs w:val="2"/>
                <w:color w:val="auto"/>
              </w:rPr>
            </w:pPr>
          </w:p>
        </w:tc>
        <w:tc>
          <w:tcPr>
            <w:tcW w:w="760" w:type="dxa"/>
            <w:vAlign w:val="bottom"/>
            <w:tcBorders>
              <w:bottom w:val="single" w:sz="8" w:color="DCE2EF"/>
            </w:tcBorders>
          </w:tcPr>
          <w:p>
            <w:pPr>
              <w:spacing w:after="0"/>
              <w:rPr>
                <w:sz w:val="2"/>
                <w:szCs w:val="2"/>
                <w:color w:val="auto"/>
              </w:rPr>
            </w:pPr>
          </w:p>
        </w:tc>
        <w:tc>
          <w:tcPr>
            <w:tcW w:w="400" w:type="dxa"/>
            <w:vAlign w:val="bottom"/>
            <w:tcBorders>
              <w:bottom w:val="single" w:sz="8" w:color="DCE2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76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7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48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gridSpan w:val="4"/>
          </w:tcPr>
          <w:p>
            <w:pPr>
              <w:ind w:left="20"/>
              <w:spacing w:after="0"/>
              <w:rPr>
                <w:sz w:val="20"/>
                <w:szCs w:val="20"/>
                <w:color w:val="auto"/>
              </w:rPr>
            </w:pPr>
            <w:r>
              <w:rPr>
                <w:rFonts w:ascii="Arial" w:cs="Arial" w:eastAsia="Arial" w:hAnsi="Arial"/>
                <w:sz w:val="15"/>
                <w:szCs w:val="15"/>
                <w:color w:val="auto"/>
              </w:rPr>
              <w:t>Business &amp; Industry</w:t>
            </w:r>
          </w:p>
        </w:tc>
        <w:tc>
          <w:tcPr>
            <w:tcW w:w="76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3"/>
              <w:spacing w:after="0"/>
              <w:rPr>
                <w:sz w:val="20"/>
                <w:szCs w:val="20"/>
                <w:color w:val="auto"/>
              </w:rPr>
            </w:pPr>
            <w:r>
              <w:rPr>
                <w:rFonts w:ascii="Arial" w:cs="Arial" w:eastAsia="Arial" w:hAnsi="Arial"/>
                <w:sz w:val="15"/>
                <w:szCs w:val="15"/>
                <w:color w:val="auto"/>
              </w:rPr>
              <w:t>3,077.2</w:t>
            </w:r>
          </w:p>
        </w:tc>
        <w:tc>
          <w:tcPr>
            <w:tcW w:w="120" w:type="dxa"/>
            <w:vAlign w:val="bottom"/>
          </w:tcPr>
          <w:p>
            <w:pPr>
              <w:spacing w:after="0"/>
              <w:rPr>
                <w:sz w:val="17"/>
                <w:szCs w:val="17"/>
                <w:color w:val="auto"/>
              </w:rPr>
            </w:pPr>
          </w:p>
        </w:tc>
        <w:tc>
          <w:tcPr>
            <w:tcW w:w="660" w:type="dxa"/>
            <w:vAlign w:val="bottom"/>
          </w:tcPr>
          <w:p>
            <w:pPr>
              <w:jc w:val="right"/>
              <w:ind w:right="484"/>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5"/>
                <w:szCs w:val="15"/>
                <w:color w:val="auto"/>
                <w:w w:val="99"/>
              </w:rPr>
              <w:t>3,033.4</w:t>
            </w:r>
          </w:p>
        </w:tc>
        <w:tc>
          <w:tcPr>
            <w:tcW w:w="820" w:type="dxa"/>
            <w:vAlign w:val="bottom"/>
            <w:gridSpan w:val="2"/>
          </w:tcPr>
          <w:p>
            <w:pPr>
              <w:jc w:val="right"/>
              <w:ind w:right="53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43.8</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1,201.2</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w w:val="99"/>
              </w:rPr>
              <w:t>1,166.6</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34.6</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gridSpan w:val="4"/>
          </w:tcPr>
          <w:p>
            <w:pPr>
              <w:ind w:left="20"/>
              <w:spacing w:after="0"/>
              <w:rPr>
                <w:sz w:val="20"/>
                <w:szCs w:val="20"/>
                <w:color w:val="auto"/>
              </w:rPr>
            </w:pPr>
            <w:r>
              <w:rPr>
                <w:rFonts w:ascii="Arial" w:cs="Arial" w:eastAsia="Arial" w:hAnsi="Arial"/>
                <w:sz w:val="15"/>
                <w:szCs w:val="15"/>
                <w:color w:val="auto"/>
              </w:rPr>
              <w:t>Aviation</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2"/>
          </w:tcPr>
          <w:p>
            <w:pPr>
              <w:jc w:val="right"/>
              <w:ind w:right="103"/>
              <w:spacing w:after="0"/>
              <w:rPr>
                <w:sz w:val="20"/>
                <w:szCs w:val="20"/>
                <w:color w:val="auto"/>
              </w:rPr>
            </w:pPr>
            <w:r>
              <w:rPr>
                <w:rFonts w:ascii="Arial" w:cs="Arial" w:eastAsia="Arial" w:hAnsi="Arial"/>
                <w:sz w:val="15"/>
                <w:szCs w:val="15"/>
                <w:color w:val="auto"/>
              </w:rPr>
              <w:t>822.0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5"/>
                <w:szCs w:val="15"/>
                <w:color w:val="auto"/>
              </w:rPr>
              <w:t>756.1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65.9</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688.2</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674.0</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14.2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tcBorders>
              <w:bottom w:val="single" w:sz="8" w:color="DCE2EF"/>
            </w:tcBorders>
            <w:gridSpan w:val="4"/>
          </w:tcPr>
          <w:p>
            <w:pPr>
              <w:ind w:left="20"/>
              <w:spacing w:after="0"/>
              <w:rPr>
                <w:sz w:val="20"/>
                <w:szCs w:val="20"/>
                <w:color w:val="auto"/>
              </w:rPr>
            </w:pPr>
            <w:r>
              <w:rPr>
                <w:rFonts w:ascii="Arial" w:cs="Arial" w:eastAsia="Arial" w:hAnsi="Arial"/>
                <w:sz w:val="15"/>
                <w:szCs w:val="15"/>
                <w:color w:val="auto"/>
              </w:rPr>
              <w:t>Technical Solutions</w:t>
            </w:r>
          </w:p>
        </w:tc>
        <w:tc>
          <w:tcPr>
            <w:tcW w:w="760" w:type="dxa"/>
            <w:vAlign w:val="bottom"/>
            <w:tcBorders>
              <w:bottom w:val="single" w:sz="8" w:color="DCE2EF"/>
            </w:tcBorders>
          </w:tcPr>
          <w:p>
            <w:pPr>
              <w:spacing w:after="0"/>
              <w:rPr>
                <w:sz w:val="17"/>
                <w:szCs w:val="17"/>
                <w:color w:val="auto"/>
              </w:rPr>
            </w:pPr>
          </w:p>
        </w:tc>
        <w:tc>
          <w:tcPr>
            <w:tcW w:w="400" w:type="dxa"/>
            <w:vAlign w:val="bottom"/>
            <w:tcBorders>
              <w:bottom w:val="single" w:sz="8" w:color="DCE2E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5"/>
                <w:szCs w:val="15"/>
                <w:color w:val="auto"/>
              </w:rPr>
              <w:t>662.0</w:t>
            </w:r>
          </w:p>
        </w:tc>
        <w:tc>
          <w:tcPr>
            <w:tcW w:w="120" w:type="dxa"/>
            <w:vAlign w:val="bottom"/>
            <w:tcBorders>
              <w:bottom w:val="single" w:sz="8" w:color="DCE2E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551.9</w:t>
            </w:r>
          </w:p>
        </w:tc>
        <w:tc>
          <w:tcPr>
            <w:tcW w:w="120" w:type="dxa"/>
            <w:vAlign w:val="bottom"/>
            <w:tcBorders>
              <w:bottom w:val="single" w:sz="8" w:color="DCE2E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110.1</w:t>
            </w:r>
          </w:p>
        </w:tc>
        <w:tc>
          <w:tcPr>
            <w:tcW w:w="1280" w:type="dxa"/>
            <w:vAlign w:val="bottom"/>
            <w:tcBorders>
              <w:bottom w:val="single" w:sz="8" w:color="DCE2EF"/>
            </w:tcBorders>
          </w:tcPr>
          <w:p>
            <w:pPr>
              <w:jc w:val="center"/>
              <w:ind w:left="3"/>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9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120" w:type="dxa"/>
            <w:vAlign w:val="bottom"/>
            <w:gridSpan w:val="2"/>
            <w:shd w:val="clear" w:color="auto" w:fill="DCE2EF"/>
          </w:tcPr>
          <w:p>
            <w:pPr>
              <w:ind w:left="4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6,450.5</w:t>
            </w:r>
          </w:p>
        </w:tc>
        <w:tc>
          <w:tcPr>
            <w:tcW w:w="120" w:type="dxa"/>
            <w:vAlign w:val="bottom"/>
            <w:shd w:val="clear" w:color="auto" w:fill="DCE2EF"/>
          </w:tcPr>
          <w:p>
            <w:pPr>
              <w:spacing w:after="0"/>
              <w:rPr>
                <w:sz w:val="19"/>
                <w:szCs w:val="19"/>
                <w:color w:val="auto"/>
              </w:rPr>
            </w:pPr>
          </w:p>
        </w:tc>
        <w:tc>
          <w:tcPr>
            <w:tcW w:w="660" w:type="dxa"/>
            <w:vAlign w:val="bottom"/>
            <w:shd w:val="clear" w:color="auto" w:fill="DCE2EF"/>
          </w:tcPr>
          <w:p>
            <w:pPr>
              <w:jc w:val="right"/>
              <w:ind w:right="484"/>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w w:val="99"/>
              </w:rPr>
              <w:t>6,182.0</w:t>
            </w:r>
          </w:p>
        </w:tc>
        <w:tc>
          <w:tcPr>
            <w:tcW w:w="820" w:type="dxa"/>
            <w:vAlign w:val="bottom"/>
            <w:gridSpan w:val="2"/>
            <w:shd w:val="clear" w:color="auto" w:fill="DCE2EF"/>
          </w:tcPr>
          <w:p>
            <w:pPr>
              <w:jc w:val="right"/>
              <w:ind w:right="530"/>
              <w:spacing w:after="0"/>
              <w:rPr>
                <w:sz w:val="20"/>
                <w:szCs w:val="20"/>
                <w:color w:val="auto"/>
              </w:rPr>
            </w:pPr>
            <w:r>
              <w:rPr>
                <w:rFonts w:ascii="Arial" w:cs="Arial" w:eastAsia="Arial" w:hAnsi="Arial"/>
                <w:sz w:val="15"/>
                <w:szCs w:val="15"/>
                <w:color w:val="auto"/>
              </w:rPr>
              <w:t>$</w:t>
            </w: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268.5</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DCE2EF"/>
              <w:bottom w:val="single" w:sz="8" w:color="DCE2EF"/>
            </w:tcBorders>
            <w:gridSpan w:val="4"/>
            <w:vMerge w:val="restart"/>
          </w:tcPr>
          <w:p>
            <w:pPr>
              <w:ind w:left="20"/>
              <w:spacing w:after="0"/>
              <w:rPr>
                <w:sz w:val="20"/>
                <w:szCs w:val="20"/>
                <w:color w:val="auto"/>
              </w:rPr>
            </w:pPr>
            <w:r>
              <w:rPr>
                <w:rFonts w:ascii="Arial" w:cs="Arial" w:eastAsia="Arial" w:hAnsi="Arial"/>
                <w:sz w:val="15"/>
                <w:szCs w:val="15"/>
                <w:b w:val="1"/>
                <w:bCs w:val="1"/>
                <w:color w:val="auto"/>
              </w:rPr>
              <w:t>Operating profit</w:t>
            </w:r>
          </w:p>
        </w:tc>
        <w:tc>
          <w:tcPr>
            <w:tcW w:w="7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00" w:type="dxa"/>
            <w:vAlign w:val="bottom"/>
            <w:gridSpan w:val="4"/>
            <w:vMerge w:val="continue"/>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76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ind w:left="4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236.2</w:t>
            </w: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jc w:val="right"/>
              <w:ind w:right="484"/>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235.0</w:t>
            </w:r>
          </w:p>
        </w:tc>
        <w:tc>
          <w:tcPr>
            <w:tcW w:w="820" w:type="dxa"/>
            <w:vAlign w:val="bottom"/>
            <w:gridSpan w:val="2"/>
            <w:shd w:val="clear" w:color="auto" w:fill="DCE2EF"/>
          </w:tcPr>
          <w:p>
            <w:pPr>
              <w:jc w:val="right"/>
              <w:ind w:right="530"/>
              <w:spacing w:after="0"/>
              <w:rPr>
                <w:sz w:val="20"/>
                <w:szCs w:val="20"/>
                <w:color w:val="auto"/>
              </w:rPr>
            </w:pPr>
            <w:r>
              <w:rPr>
                <w:rFonts w:ascii="Arial" w:cs="Arial" w:eastAsia="Arial" w:hAnsi="Arial"/>
                <w:sz w:val="15"/>
                <w:szCs w:val="15"/>
                <w:color w:val="auto"/>
              </w:rPr>
              <w:t>$</w:t>
            </w: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7.7%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7.7%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(7)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115.6</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125.9</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(10.3)</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9.6%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10.8%</w:t>
            </w:r>
          </w:p>
        </w:tc>
        <w:tc>
          <w:tcPr>
            <w:tcW w:w="1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i w:val="1"/>
                <w:iCs w:val="1"/>
                <w:color w:val="auto"/>
              </w:rPr>
              <w:t>(116)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48.4</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7.8</w:t>
            </w:r>
          </w:p>
        </w:tc>
        <w:tc>
          <w:tcPr>
            <w:tcW w:w="1280" w:type="dxa"/>
            <w:vAlign w:val="bottom"/>
            <w:shd w:val="clear" w:color="auto" w:fill="DCE2EF"/>
          </w:tcPr>
          <w:p>
            <w:pPr>
              <w:jc w:val="center"/>
              <w:ind w:left="3"/>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5.9 %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5.4 %</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53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48.9</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42.3</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6.6</w:t>
            </w:r>
          </w:p>
        </w:tc>
        <w:tc>
          <w:tcPr>
            <w:tcW w:w="1280" w:type="dxa"/>
            <w:vAlign w:val="bottom"/>
            <w:shd w:val="clear" w:color="auto" w:fill="DCE2EF"/>
          </w:tcPr>
          <w:p>
            <w:pPr>
              <w:jc w:val="center"/>
              <w:ind w:left="3"/>
              <w:spacing w:after="0"/>
              <w:rPr>
                <w:sz w:val="20"/>
                <w:szCs w:val="20"/>
                <w:color w:val="auto"/>
              </w:rPr>
            </w:pPr>
            <w:r>
              <w:rPr>
                <w:rFonts w:ascii="Arial" w:cs="Arial" w:eastAsia="Arial" w:hAnsi="Arial"/>
                <w:sz w:val="15"/>
                <w:szCs w:val="15"/>
                <w:color w:val="auto"/>
              </w:rPr>
              <w:t>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7.1 %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6.3 %</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83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49.4</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41.4</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8.0</w:t>
            </w:r>
          </w:p>
        </w:tc>
        <w:tc>
          <w:tcPr>
            <w:tcW w:w="1280" w:type="dxa"/>
            <w:vAlign w:val="bottom"/>
            <w:shd w:val="clear" w:color="auto" w:fill="DCE2EF"/>
          </w:tcPr>
          <w:p>
            <w:pPr>
              <w:jc w:val="center"/>
              <w:ind w:left="3"/>
              <w:spacing w:after="0"/>
              <w:rPr>
                <w:sz w:val="20"/>
                <w:szCs w:val="20"/>
                <w:color w:val="auto"/>
              </w:rPr>
            </w:pPr>
            <w:r>
              <w:rPr>
                <w:rFonts w:ascii="Arial" w:cs="Arial" w:eastAsia="Arial" w:hAnsi="Arial"/>
                <w:sz w:val="15"/>
                <w:szCs w:val="15"/>
                <w:color w:val="auto"/>
              </w:rPr>
              <w:t>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7.5%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7.5%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(4)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7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63"/>
              <w:spacing w:after="0"/>
              <w:rPr>
                <w:sz w:val="20"/>
                <w:szCs w:val="20"/>
                <w:color w:val="auto"/>
              </w:rPr>
            </w:pPr>
            <w:r>
              <w:rPr>
                <w:rFonts w:ascii="Arial" w:cs="Arial" w:eastAsia="Arial" w:hAnsi="Arial"/>
                <w:sz w:val="15"/>
                <w:szCs w:val="15"/>
                <w:color w:val="auto"/>
              </w:rPr>
              <w:t>(251.8)</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(285.0)</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33.2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8"/>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60" w:type="dxa"/>
            <w:vAlign w:val="bottom"/>
            <w:gridSpan w:val="5"/>
          </w:tcPr>
          <w:p>
            <w:pPr>
              <w:ind w:left="20"/>
              <w:spacing w:after="0" w:line="156" w:lineRule="exact"/>
              <w:rPr>
                <w:sz w:val="20"/>
                <w:szCs w:val="20"/>
                <w:color w:val="auto"/>
              </w:rPr>
            </w:pPr>
            <w:r>
              <w:rPr>
                <w:rFonts w:ascii="Arial" w:cs="Arial" w:eastAsia="Arial" w:hAnsi="Arial"/>
                <w:sz w:val="15"/>
                <w:szCs w:val="15"/>
                <w:color w:val="auto"/>
              </w:rPr>
              <w:t>Adjustment for income from unconsolidated affiliates, included in</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gridSpan w:val="2"/>
            <w:vMerge w:val="restart"/>
          </w:tcPr>
          <w:p>
            <w:pPr>
              <w:jc w:val="right"/>
              <w:ind w:right="6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65"/>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5"/>
                <w:szCs w:val="15"/>
                <w:color w:val="auto"/>
              </w:rPr>
              <w:t>1.3</w:t>
            </w:r>
          </w:p>
        </w:tc>
        <w:tc>
          <w:tcPr>
            <w:tcW w:w="1280" w:type="dxa"/>
            <w:vAlign w:val="bottom"/>
            <w:vMerge w:val="restart"/>
          </w:tcPr>
          <w:p>
            <w:pPr>
              <w:jc w:val="center"/>
              <w:ind w:left="3"/>
              <w:spacing w:after="0"/>
              <w:rPr>
                <w:sz w:val="20"/>
                <w:szCs w:val="20"/>
                <w:color w:val="auto"/>
              </w:rPr>
            </w:pPr>
            <w:r>
              <w:rPr>
                <w:rFonts w:ascii="Arial" w:cs="Arial" w:eastAsia="Arial" w:hAnsi="Arial"/>
                <w:sz w:val="15"/>
                <w:szCs w:val="15"/>
                <w:color w:val="auto"/>
              </w:rPr>
              <w:t>28.4%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5"/>
                <w:szCs w:val="15"/>
                <w:color w:val="auto"/>
              </w:rPr>
              <w:t>Aviation and Technical Solutions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460" w:type="dxa"/>
            <w:vAlign w:val="bottom"/>
            <w:gridSpan w:val="5"/>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400" w:type="dxa"/>
            <w:vAlign w:val="bottom"/>
            <w:shd w:val="clear" w:color="auto" w:fill="DCE2EF"/>
          </w:tcPr>
          <w:p>
            <w:pPr>
              <w:spacing w:after="0"/>
              <w:rPr>
                <w:sz w:val="13"/>
                <w:szCs w:val="13"/>
                <w:color w:val="auto"/>
              </w:rPr>
            </w:pPr>
          </w:p>
        </w:tc>
        <w:tc>
          <w:tcPr>
            <w:tcW w:w="720" w:type="dxa"/>
            <w:vAlign w:val="bottom"/>
            <w:shd w:val="clear" w:color="auto" w:fill="DCE2EF"/>
          </w:tcPr>
          <w:p>
            <w:pPr>
              <w:spacing w:after="0"/>
              <w:rPr>
                <w:sz w:val="13"/>
                <w:szCs w:val="13"/>
                <w:color w:val="auto"/>
              </w:rPr>
            </w:pPr>
          </w:p>
        </w:tc>
        <w:tc>
          <w:tcPr>
            <w:tcW w:w="1080" w:type="dxa"/>
            <w:vAlign w:val="bottom"/>
            <w:gridSpan w:val="2"/>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(0.1)</w:t>
            </w:r>
          </w:p>
        </w:tc>
        <w:tc>
          <w:tcPr>
            <w:tcW w:w="120" w:type="dxa"/>
            <w:vAlign w:val="bottom"/>
            <w:shd w:val="clear" w:color="auto" w:fill="DCE2EF"/>
          </w:tcPr>
          <w:p>
            <w:pPr>
              <w:spacing w:after="0"/>
              <w:rPr>
                <w:sz w:val="13"/>
                <w:szCs w:val="13"/>
                <w:color w:val="auto"/>
              </w:rPr>
            </w:pPr>
          </w:p>
        </w:tc>
        <w:tc>
          <w:tcPr>
            <w:tcW w:w="66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70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(2.6)</w:t>
            </w:r>
          </w:p>
        </w:tc>
        <w:tc>
          <w:tcPr>
            <w:tcW w:w="120" w:type="dxa"/>
            <w:vAlign w:val="bottom"/>
            <w:shd w:val="clear" w:color="auto" w:fill="DCE2EF"/>
          </w:tcPr>
          <w:p>
            <w:pPr>
              <w:spacing w:after="0"/>
              <w:rPr>
                <w:sz w:val="13"/>
                <w:szCs w:val="13"/>
                <w:color w:val="auto"/>
              </w:rPr>
            </w:pPr>
          </w:p>
        </w:tc>
        <w:tc>
          <w:tcPr>
            <w:tcW w:w="700" w:type="dxa"/>
            <w:vAlign w:val="bottom"/>
            <w:shd w:val="clear" w:color="auto" w:fill="DCE2EF"/>
          </w:tcPr>
          <w:p>
            <w:pPr>
              <w:spacing w:after="0"/>
              <w:rPr>
                <w:sz w:val="13"/>
                <w:szCs w:val="13"/>
                <w:color w:val="auto"/>
              </w:rPr>
            </w:pPr>
          </w:p>
        </w:tc>
        <w:tc>
          <w:tcPr>
            <w:tcW w:w="480" w:type="dxa"/>
            <w:vAlign w:val="bottom"/>
            <w:vMerge w:val="restart"/>
            <w:shd w:val="clear" w:color="auto" w:fill="DCE2EF"/>
          </w:tcPr>
          <w:p>
            <w:pPr>
              <w:jc w:val="right"/>
              <w:ind w:right="4"/>
              <w:spacing w:after="0"/>
              <w:rPr>
                <w:sz w:val="20"/>
                <w:szCs w:val="20"/>
                <w:color w:val="auto"/>
              </w:rPr>
            </w:pPr>
            <w:r>
              <w:rPr>
                <w:rFonts w:ascii="Arial" w:cs="Arial" w:eastAsia="Arial" w:hAnsi="Arial"/>
                <w:sz w:val="15"/>
                <w:szCs w:val="15"/>
                <w:color w:val="auto"/>
              </w:rPr>
              <w:t>2.5</w:t>
            </w:r>
          </w:p>
        </w:tc>
        <w:tc>
          <w:tcPr>
            <w:tcW w:w="1280" w:type="dxa"/>
            <w:vAlign w:val="bottom"/>
            <w:vMerge w:val="restart"/>
            <w:shd w:val="clear" w:color="auto" w:fill="DCE2EF"/>
          </w:tcPr>
          <w:p>
            <w:pPr>
              <w:jc w:val="right"/>
              <w:ind w:right="363"/>
              <w:spacing w:after="0"/>
              <w:rPr>
                <w:sz w:val="20"/>
                <w:szCs w:val="20"/>
                <w:color w:val="auto"/>
              </w:rPr>
            </w:pPr>
            <w:r>
              <w:rPr>
                <w:rFonts w:ascii="Arial" w:cs="Arial" w:eastAsia="Arial" w:hAnsi="Arial"/>
                <w:sz w:val="15"/>
                <w:szCs w:val="15"/>
                <w:color w:val="auto"/>
              </w:rPr>
              <w:t>NM*</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3680" w:type="dxa"/>
            <w:vAlign w:val="bottom"/>
            <w:gridSpan w:val="3"/>
            <w:shd w:val="clear" w:color="auto" w:fill="DCE2EF"/>
          </w:tcPr>
          <w:p>
            <w:pPr>
              <w:ind w:left="160"/>
              <w:spacing w:after="0"/>
              <w:rPr>
                <w:sz w:val="20"/>
                <w:szCs w:val="20"/>
                <w:color w:val="auto"/>
              </w:rPr>
            </w:pPr>
            <w:r>
              <w:rPr>
                <w:rFonts w:ascii="Arial" w:cs="Arial" w:eastAsia="Arial" w:hAnsi="Arial"/>
                <w:sz w:val="15"/>
                <w:szCs w:val="15"/>
                <w:color w:val="auto"/>
              </w:rPr>
              <w:t>buildings, included in Technical Solutions</w:t>
            </w:r>
          </w:p>
        </w:tc>
        <w:tc>
          <w:tcPr>
            <w:tcW w:w="76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72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gridSpan w:val="2"/>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700" w:type="dxa"/>
            <w:vAlign w:val="bottom"/>
            <w:tcBorders>
              <w:bottom w:val="single" w:sz="8" w:color="auto"/>
            </w:tcBorders>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00" w:type="dxa"/>
            <w:vAlign w:val="bottom"/>
            <w:tcBorders>
              <w:bottom w:val="single" w:sz="8" w:color="auto"/>
            </w:tcBorders>
            <w:shd w:val="clear" w:color="auto" w:fill="DCE2EF"/>
          </w:tcPr>
          <w:p>
            <w:pPr>
              <w:spacing w:after="0"/>
              <w:rPr>
                <w:sz w:val="17"/>
                <w:szCs w:val="17"/>
                <w:color w:val="auto"/>
              </w:rPr>
            </w:pPr>
          </w:p>
        </w:tc>
        <w:tc>
          <w:tcPr>
            <w:tcW w:w="480" w:type="dxa"/>
            <w:vAlign w:val="bottom"/>
            <w:tcBorders>
              <w:bottom w:val="single" w:sz="8" w:color="auto"/>
            </w:tcBorders>
            <w:vMerge w:val="continue"/>
            <w:shd w:val="clear" w:color="auto" w:fill="DCE2EF"/>
          </w:tcPr>
          <w:p>
            <w:pPr>
              <w:spacing w:after="0"/>
              <w:rPr>
                <w:sz w:val="17"/>
                <w:szCs w:val="17"/>
                <w:color w:val="auto"/>
              </w:rPr>
            </w:pPr>
          </w:p>
        </w:tc>
        <w:tc>
          <w:tcPr>
            <w:tcW w:w="1280" w:type="dxa"/>
            <w:vAlign w:val="bottom"/>
            <w:vMerge w:val="continue"/>
            <w:shd w:val="clear" w:color="auto" w:fill="DCE2E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3"/>
              <w:spacing w:after="0"/>
              <w:rPr>
                <w:sz w:val="20"/>
                <w:szCs w:val="20"/>
                <w:color w:val="auto"/>
              </w:rPr>
            </w:pPr>
            <w:r>
              <w:rPr>
                <w:rFonts w:ascii="Arial" w:cs="Arial" w:eastAsia="Arial" w:hAnsi="Arial"/>
                <w:sz w:val="15"/>
                <w:szCs w:val="15"/>
                <w:color w:val="auto"/>
              </w:rPr>
              <w:t>243.3</w:t>
            </w:r>
          </w:p>
        </w:tc>
        <w:tc>
          <w:tcPr>
            <w:tcW w:w="120" w:type="dxa"/>
            <w:vAlign w:val="bottom"/>
          </w:tcPr>
          <w:p>
            <w:pPr>
              <w:spacing w:after="0"/>
              <w:rPr>
                <w:sz w:val="17"/>
                <w:szCs w:val="17"/>
                <w:color w:val="auto"/>
              </w:rPr>
            </w:pPr>
          </w:p>
        </w:tc>
        <w:tc>
          <w:tcPr>
            <w:tcW w:w="660" w:type="dxa"/>
            <w:vAlign w:val="bottom"/>
          </w:tcPr>
          <w:p>
            <w:pPr>
              <w:jc w:val="right"/>
              <w:ind w:right="484"/>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5"/>
                <w:szCs w:val="15"/>
                <w:color w:val="auto"/>
              </w:rPr>
              <w:t>192.8</w:t>
            </w:r>
          </w:p>
        </w:tc>
        <w:tc>
          <w:tcPr>
            <w:tcW w:w="820" w:type="dxa"/>
            <w:vAlign w:val="bottom"/>
            <w:gridSpan w:val="2"/>
          </w:tcPr>
          <w:p>
            <w:pPr>
              <w:jc w:val="right"/>
              <w:ind w:right="53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50.5</w:t>
            </w:r>
          </w:p>
        </w:tc>
        <w:tc>
          <w:tcPr>
            <w:tcW w:w="1280" w:type="dxa"/>
            <w:vAlign w:val="bottom"/>
          </w:tcPr>
          <w:p>
            <w:pPr>
              <w:jc w:val="center"/>
              <w:ind w:left="3"/>
              <w:spacing w:after="0"/>
              <w:rPr>
                <w:sz w:val="20"/>
                <w:szCs w:val="20"/>
                <w:color w:val="auto"/>
              </w:rPr>
            </w:pPr>
            <w:r>
              <w:rPr>
                <w:rFonts w:ascii="Arial" w:cs="Arial" w:eastAsia="Arial" w:hAnsi="Arial"/>
                <w:sz w:val="15"/>
                <w:szCs w:val="15"/>
                <w:color w:val="auto"/>
              </w:rPr>
              <w:t>26.2%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5"/>
                <w:szCs w:val="15"/>
                <w:color w:val="auto"/>
              </w:rPr>
              <w:t>*Not meaningful</w:t>
            </w: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70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700" w:type="dxa"/>
            <w:vAlign w:val="bottom"/>
            <w:gridSpan w:val="4"/>
          </w:tcPr>
          <w:p>
            <w:pPr>
              <w:ind w:left="20"/>
              <w:spacing w:after="0"/>
              <w:rPr>
                <w:sz w:val="20"/>
                <w:szCs w:val="20"/>
                <w:color w:val="auto"/>
              </w:rPr>
            </w:pPr>
            <w:r>
              <w:rPr>
                <w:rFonts w:ascii="Arial" w:cs="Arial" w:eastAsia="Arial" w:hAnsi="Arial"/>
                <w:sz w:val="15"/>
                <w:szCs w:val="15"/>
                <w:b w:val="1"/>
                <w:bCs w:val="1"/>
                <w:i w:val="1"/>
                <w:iCs w:val="1"/>
                <w:color w:val="0046AD"/>
              </w:rPr>
              <w:t>Business &amp; Industry</w:t>
            </w:r>
          </w:p>
        </w:tc>
        <w:tc>
          <w:tcPr>
            <w:tcW w:w="760" w:type="dxa"/>
            <w:vAlign w:val="bottom"/>
          </w:tcPr>
          <w:p>
            <w:pPr>
              <w:spacing w:after="0"/>
              <w:rPr>
                <w:sz w:val="24"/>
                <w:szCs w:val="24"/>
                <w:color w:val="auto"/>
              </w:rPr>
            </w:pPr>
          </w:p>
        </w:tc>
        <w:tc>
          <w:tcPr>
            <w:tcW w:w="2320" w:type="dxa"/>
            <w:vAlign w:val="bottom"/>
            <w:gridSpan w:val="5"/>
            <w:vMerge w:val="restart"/>
          </w:tcPr>
          <w:p>
            <w:pPr>
              <w:ind w:left="140"/>
              <w:spacing w:after="0"/>
              <w:rPr>
                <w:sz w:val="20"/>
                <w:szCs w:val="20"/>
                <w:color w:val="auto"/>
              </w:rPr>
            </w:pPr>
            <w:r>
              <w:rPr>
                <w:rFonts w:ascii="Arial" w:cs="Arial" w:eastAsia="Arial" w:hAnsi="Arial"/>
                <w:sz w:val="15"/>
                <w:szCs w:val="15"/>
                <w:b w:val="1"/>
                <w:bCs w:val="1"/>
                <w:color w:val="auto"/>
              </w:rPr>
              <w:t>Nine Months Ended July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760" w:type="dxa"/>
            <w:vAlign w:val="bottom"/>
          </w:tcPr>
          <w:p>
            <w:pPr>
              <w:spacing w:after="0"/>
              <w:rPr>
                <w:sz w:val="12"/>
                <w:szCs w:val="12"/>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2025</w:t>
            </w:r>
          </w:p>
        </w:tc>
        <w:tc>
          <w:tcPr>
            <w:tcW w:w="720" w:type="dxa"/>
            <w:vAlign w:val="bottom"/>
          </w:tcPr>
          <w:p>
            <w:pPr>
              <w:spacing w:after="0"/>
              <w:rPr>
                <w:sz w:val="12"/>
                <w:szCs w:val="12"/>
                <w:color w:val="auto"/>
              </w:rPr>
            </w:pPr>
          </w:p>
        </w:tc>
        <w:tc>
          <w:tcPr>
            <w:tcW w:w="1860" w:type="dxa"/>
            <w:vAlign w:val="bottom"/>
            <w:gridSpan w:val="4"/>
          </w:tcPr>
          <w:p>
            <w:pPr>
              <w:jc w:val="right"/>
              <w:ind w:right="564"/>
              <w:spacing w:after="0" w:line="135" w:lineRule="exact"/>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80" w:type="dxa"/>
            <w:vAlign w:val="bottom"/>
            <w:gridSpan w:val="4"/>
          </w:tcPr>
          <w:p>
            <w:pPr>
              <w:jc w:val="right"/>
              <w:ind w:right="863"/>
              <w:spacing w:after="0" w:line="128" w:lineRule="exact"/>
              <w:rPr>
                <w:sz w:val="20"/>
                <w:szCs w:val="20"/>
                <w:color w:val="auto"/>
              </w:rPr>
            </w:pPr>
            <w:r>
              <w:rPr>
                <w:rFonts w:ascii="Arial" w:cs="Arial" w:eastAsia="Arial" w:hAnsi="Arial"/>
                <w:sz w:val="14"/>
                <w:szCs w:val="14"/>
                <w:b w:val="1"/>
                <w:bCs w:val="1"/>
                <w:color w:val="auto"/>
              </w:rPr>
              <w:t>Increase / (Decrease)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00" w:type="dxa"/>
            <w:vAlign w:val="bottom"/>
            <w:tcBorders>
              <w:top w:val="single" w:sz="8" w:color="auto"/>
              <w:bottom w:val="single" w:sz="8" w:color="DCE2EF"/>
            </w:tcBorders>
          </w:tcPr>
          <w:p>
            <w:pPr>
              <w:spacing w:after="0"/>
              <w:rPr>
                <w:sz w:val="2"/>
                <w:szCs w:val="2"/>
                <w:color w:val="auto"/>
              </w:rPr>
            </w:pPr>
          </w:p>
        </w:tc>
        <w:tc>
          <w:tcPr>
            <w:tcW w:w="2900" w:type="dxa"/>
            <w:vAlign w:val="bottom"/>
            <w:tcBorders>
              <w:bottom w:val="single" w:sz="8" w:color="DCE2E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760" w:type="dxa"/>
            <w:vAlign w:val="bottom"/>
            <w:shd w:val="clear" w:color="auto" w:fill="DCE2EF"/>
          </w:tcPr>
          <w:p>
            <w:pPr>
              <w:jc w:val="right"/>
              <w:ind w:right="583"/>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DCE2EF"/>
          </w:tcPr>
          <w:p>
            <w:pPr>
              <w:ind w:left="420"/>
              <w:spacing w:after="0"/>
              <w:rPr>
                <w:sz w:val="20"/>
                <w:szCs w:val="20"/>
                <w:color w:val="auto"/>
              </w:rPr>
            </w:pPr>
            <w:r>
              <w:rPr>
                <w:rFonts w:ascii="Arial" w:cs="Arial" w:eastAsia="Arial" w:hAnsi="Arial"/>
                <w:sz w:val="15"/>
                <w:szCs w:val="15"/>
                <w:color w:val="auto"/>
              </w:rPr>
              <w:t>3,077.2</w:t>
            </w:r>
          </w:p>
        </w:tc>
        <w:tc>
          <w:tcPr>
            <w:tcW w:w="108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3,033.4</w:t>
            </w:r>
          </w:p>
        </w:tc>
        <w:tc>
          <w:tcPr>
            <w:tcW w:w="440" w:type="dxa"/>
            <w:vAlign w:val="bottom"/>
            <w:gridSpan w:val="3"/>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shd w:val="clear" w:color="auto" w:fill="DCE2EF"/>
          </w:tcPr>
          <w:p>
            <w:pPr>
              <w:spacing w:after="0"/>
              <w:rPr>
                <w:sz w:val="17"/>
                <w:szCs w:val="17"/>
                <w:color w:val="auto"/>
              </w:rPr>
            </w:pPr>
          </w:p>
        </w:tc>
        <w:tc>
          <w:tcPr>
            <w:tcW w:w="82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43.8</w:t>
            </w:r>
          </w:p>
        </w:tc>
        <w:tc>
          <w:tcPr>
            <w:tcW w:w="480" w:type="dxa"/>
            <w:vAlign w:val="bottom"/>
            <w:shd w:val="clear" w:color="auto" w:fill="DCE2EF"/>
          </w:tcPr>
          <w:p>
            <w:pPr>
              <w:spacing w:after="0"/>
              <w:rPr>
                <w:sz w:val="17"/>
                <w:szCs w:val="17"/>
                <w:color w:val="auto"/>
              </w:rPr>
            </w:pPr>
          </w:p>
        </w:tc>
        <w:tc>
          <w:tcPr>
            <w:tcW w:w="1280" w:type="dxa"/>
            <w:vAlign w:val="bottom"/>
            <w:shd w:val="clear" w:color="auto" w:fill="DCE2EF"/>
          </w:tcPr>
          <w:p>
            <w:pPr>
              <w:jc w:val="right"/>
              <w:ind w:right="523"/>
              <w:spacing w:after="0"/>
              <w:rPr>
                <w:sz w:val="20"/>
                <w:szCs w:val="20"/>
                <w:color w:val="auto"/>
              </w:rPr>
            </w:pPr>
            <w:r>
              <w:rPr>
                <w:rFonts w:ascii="Arial" w:cs="Arial" w:eastAsia="Arial" w:hAnsi="Arial"/>
                <w:sz w:val="15"/>
                <w:szCs w:val="15"/>
                <w:color w:val="auto"/>
              </w:rPr>
              <w:t>1.4%</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gridSpan w:val="4"/>
          </w:tcPr>
          <w:p>
            <w:pPr>
              <w:ind w:left="20"/>
              <w:spacing w:after="0"/>
              <w:rPr>
                <w:sz w:val="20"/>
                <w:szCs w:val="20"/>
                <w:color w:val="auto"/>
              </w:rPr>
            </w:pPr>
            <w:r>
              <w:rPr>
                <w:rFonts w:ascii="Arial" w:cs="Arial" w:eastAsia="Arial" w:hAnsi="Arial"/>
                <w:sz w:val="15"/>
                <w:szCs w:val="15"/>
                <w:color w:val="auto"/>
              </w:rPr>
              <w:t>Operating profit</w:t>
            </w:r>
          </w:p>
        </w:tc>
        <w:tc>
          <w:tcPr>
            <w:tcW w:w="7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236.2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480" w:type="dxa"/>
            <w:vAlign w:val="bottom"/>
          </w:tcPr>
          <w:p>
            <w:pPr>
              <w:spacing w:after="0"/>
              <w:rPr>
                <w:sz w:val="17"/>
                <w:szCs w:val="17"/>
                <w:color w:val="auto"/>
              </w:rPr>
            </w:pPr>
          </w:p>
        </w:tc>
        <w:tc>
          <w:tcPr>
            <w:tcW w:w="1280" w:type="dxa"/>
            <w:vAlign w:val="bottom"/>
          </w:tcPr>
          <w:p>
            <w:pPr>
              <w:jc w:val="right"/>
              <w:ind w:right="523"/>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68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6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7.7%</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8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7.7%</w:t>
            </w: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 bps</w:t>
            </w:r>
          </w:p>
        </w:tc>
        <w:tc>
          <w:tcPr>
            <w:tcW w:w="48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B&amp;I revenues increased by $43.8 million, or 1.4%, to $3,077.2 million during the nine months ended July 31, 2025, as compared to the prior year period. The revenue increase was primarily driven by client expansions both domestic and international, partially offset by strategic pricing decisions for contract rebids and attrition of certain engineering clients. Management reimbursement revenues for this segment totaled $218.4 million and $209.0 million for the nine months ended July 31, 2025 and 2024, respectively.</w:t>
      </w:r>
    </w:p>
    <w:p>
      <w:pPr>
        <w:spacing w:after="0" w:line="1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profit increased by $1.2 million, or 0.5%, to $236.2 million during the nine months ended July 31, 2025, as compared to the prior year period. Operating profit margin decreased by 7 bps to 7.7% in the nine months ended July 31, 2025, from 7.7% in the nine months ended July 31, 2024. The decrease in operating profit margin was primarily driven by strategic pricing decisions for contract rebids and proactive extensions combined with managing contract escalation timing to maintain and expand certain customer accounts, partially offset by lower amortization of intangible assets.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2"/>
        </w:trPr>
        <w:tc>
          <w:tcPr>
            <w:tcW w:w="37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Manufacturing &amp; Distribution</w:t>
            </w:r>
          </w:p>
        </w:tc>
        <w:tc>
          <w:tcPr>
            <w:tcW w:w="420" w:type="dxa"/>
            <w:vAlign w:val="bottom"/>
          </w:tcPr>
          <w:p>
            <w:pPr>
              <w:spacing w:after="0"/>
              <w:rPr>
                <w:sz w:val="18"/>
                <w:szCs w:val="18"/>
                <w:color w:val="auto"/>
              </w:rPr>
            </w:pPr>
          </w:p>
        </w:tc>
        <w:tc>
          <w:tcPr>
            <w:tcW w:w="3520" w:type="dxa"/>
            <w:vAlign w:val="bottom"/>
            <w:gridSpan w:val="5"/>
            <w:vMerge w:val="restart"/>
          </w:tcPr>
          <w:p>
            <w:pPr>
              <w:ind w:left="460"/>
              <w:spacing w:after="0"/>
              <w:rPr>
                <w:sz w:val="20"/>
                <w:szCs w:val="20"/>
                <w:color w:val="auto"/>
              </w:rPr>
            </w:pPr>
            <w:r>
              <w:rPr>
                <w:rFonts w:ascii="Arial" w:cs="Arial" w:eastAsia="Arial" w:hAnsi="Arial"/>
                <w:sz w:val="15"/>
                <w:szCs w:val="15"/>
                <w:b w:val="1"/>
                <w:bCs w:val="1"/>
                <w:color w:val="auto"/>
              </w:rPr>
              <w:t>Nine Months Ended July 31,</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4"/>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gridSpan w:val="2"/>
          </w:tcPr>
          <w:p>
            <w:pPr>
              <w:jc w:val="right"/>
              <w:ind w:right="94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29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1,201.2</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1,166.6</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CE2EF"/>
          </w:tcPr>
          <w:p>
            <w:pPr>
              <w:jc w:val="right"/>
              <w:ind w:right="366"/>
              <w:spacing w:after="0"/>
              <w:rPr>
                <w:sz w:val="20"/>
                <w:szCs w:val="20"/>
                <w:color w:val="auto"/>
              </w:rPr>
            </w:pPr>
            <w:r>
              <w:rPr>
                <w:rFonts w:ascii="Arial" w:cs="Arial" w:eastAsia="Arial" w:hAnsi="Arial"/>
                <w:sz w:val="15"/>
                <w:szCs w:val="15"/>
                <w:color w:val="auto"/>
              </w:rPr>
              <w:t>34.6</w:t>
            </w:r>
          </w:p>
        </w:tc>
        <w:tc>
          <w:tcPr>
            <w:tcW w:w="146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115.6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125.9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tcPr>
          <w:p>
            <w:pPr>
              <w:jc w:val="right"/>
              <w:ind w:right="326"/>
              <w:spacing w:after="0"/>
              <w:rPr>
                <w:sz w:val="20"/>
                <w:szCs w:val="20"/>
                <w:color w:val="auto"/>
              </w:rPr>
            </w:pPr>
            <w:r>
              <w:rPr>
                <w:rFonts w:ascii="Arial" w:cs="Arial" w:eastAsia="Arial" w:hAnsi="Arial"/>
                <w:sz w:val="15"/>
                <w:szCs w:val="15"/>
                <w:color w:val="auto"/>
              </w:rPr>
              <w:t>(10.3)</w:t>
            </w:r>
          </w:p>
        </w:tc>
        <w:tc>
          <w:tcPr>
            <w:tcW w:w="1460" w:type="dxa"/>
            <w:vAlign w:val="bottom"/>
          </w:tcPr>
          <w:p>
            <w:pPr>
              <w:jc w:val="right"/>
              <w:ind w:right="56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9.6%</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560" w:type="dxa"/>
            <w:vAlign w:val="bottom"/>
            <w:shd w:val="clear" w:color="auto" w:fill="DCE2EF"/>
          </w:tcPr>
          <w:p>
            <w:pPr>
              <w:ind w:left="600"/>
              <w:spacing w:after="0"/>
              <w:rPr>
                <w:sz w:val="20"/>
                <w:szCs w:val="20"/>
                <w:color w:val="auto"/>
              </w:rPr>
            </w:pPr>
            <w:r>
              <w:rPr>
                <w:rFonts w:ascii="Arial" w:cs="Arial" w:eastAsia="Arial" w:hAnsi="Arial"/>
                <w:sz w:val="14"/>
                <w:szCs w:val="14"/>
                <w:i w:val="1"/>
                <w:iCs w:val="1"/>
                <w:color w:val="auto"/>
              </w:rPr>
              <w:t>(116)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M&amp;D revenues increased by $34.6 million, or 3.0%, to $1,201.2 million during the nine months ended July 31, 2025, as compared to the prior year period. The increase was primarily attributable to the expansion of business with existing clients and new business wins, including strategic pricing decisions for select new wins. This was partially offset by a loss of a certain customer in the first quarter of 2025.</w:t>
      </w:r>
    </w:p>
    <w:p>
      <w:pPr>
        <w:spacing w:after="0" w:line="7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$10.3 million, or 8.1%, to $115.6 million during the nine months ended July 31, 2025, as compared to the prior year period. Operating profit margin decreased by 116 bps to 9.6% in the nine months ended July 31, 2025, from 10.8% in the nine months ended July 31, 2024. The decrease in operating profit margin was primarily attributable to strategic pricing on select new wins and investments made in the fourth quarter of 2024 to hire certain technical expertise to support future growth.</w:t>
      </w:r>
    </w:p>
    <w:p>
      <w:pPr>
        <w:spacing w:after="0" w:line="200" w:lineRule="exact"/>
        <w:rPr>
          <w:sz w:val="20"/>
          <w:szCs w:val="20"/>
          <w:color w:val="auto"/>
        </w:rPr>
      </w:pPr>
    </w:p>
    <w:p>
      <w:pPr>
        <w:spacing w:after="0" w:line="385"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5"/>
                <w:szCs w:val="15"/>
                <w:b w:val="1"/>
                <w:bCs w:val="1"/>
                <w:i w:val="1"/>
                <w:iCs w:val="1"/>
                <w:color w:val="0046AD"/>
              </w:rPr>
              <w:t>Aviation</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220"/>
              <w:spacing w:after="0"/>
              <w:rPr>
                <w:sz w:val="20"/>
                <w:szCs w:val="20"/>
                <w:color w:val="auto"/>
              </w:rPr>
            </w:pPr>
            <w:r>
              <w:rPr>
                <w:rFonts w:ascii="Arial" w:cs="Arial" w:eastAsia="Arial" w:hAnsi="Arial"/>
                <w:sz w:val="15"/>
                <w:szCs w:val="15"/>
                <w:b w:val="1"/>
                <w:bCs w:val="1"/>
                <w:color w:val="auto"/>
              </w:rPr>
              <w:t>Nine Months Ended July 31,</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4"/>
              <w:spacing w:after="0" w:line="161" w:lineRule="exact"/>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05"/>
              <w:spacing w:after="0" w:line="161" w:lineRule="exact"/>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45"/>
              <w:spacing w:after="0" w:line="161" w:lineRule="exact"/>
              <w:rPr>
                <w:sz w:val="20"/>
                <w:szCs w:val="20"/>
                <w:color w:val="auto"/>
              </w:rPr>
            </w:pPr>
            <w:r>
              <w:rPr>
                <w:rFonts w:ascii="Arial" w:cs="Arial" w:eastAsia="Arial" w:hAnsi="Arial"/>
                <w:sz w:val="15"/>
                <w:szCs w:val="15"/>
                <w:b w:val="1"/>
                <w:bCs w:val="1"/>
                <w:color w:val="auto"/>
              </w:rPr>
              <w:t>Increase</w:t>
            </w:r>
          </w:p>
        </w:tc>
        <w:tc>
          <w:tcPr>
            <w:tcW w:w="980" w:type="dxa"/>
            <w:vAlign w:val="bottom"/>
          </w:tcPr>
          <w:p>
            <w:pPr>
              <w:spacing w:after="0"/>
              <w:rPr>
                <w:sz w:val="15"/>
                <w:szCs w:val="15"/>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198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DCE2EF"/>
          </w:tcPr>
          <w:p>
            <w:pPr>
              <w:spacing w:after="0"/>
              <w:rPr>
                <w:sz w:val="19"/>
                <w:szCs w:val="19"/>
                <w:color w:val="auto"/>
              </w:rPr>
            </w:pPr>
          </w:p>
        </w:tc>
        <w:tc>
          <w:tcPr>
            <w:tcW w:w="276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Revenues</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822.0</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CE2EF"/>
          </w:tcPr>
          <w:p>
            <w:pPr>
              <w:jc w:val="right"/>
              <w:ind w:right="125"/>
              <w:spacing w:after="0"/>
              <w:rPr>
                <w:sz w:val="20"/>
                <w:szCs w:val="20"/>
                <w:color w:val="auto"/>
              </w:rPr>
            </w:pPr>
            <w:r>
              <w:rPr>
                <w:rFonts w:ascii="Arial" w:cs="Arial" w:eastAsia="Arial" w:hAnsi="Arial"/>
                <w:sz w:val="15"/>
                <w:szCs w:val="15"/>
                <w:color w:val="auto"/>
              </w:rPr>
              <w:t>756.1</w:t>
            </w:r>
          </w:p>
        </w:tc>
        <w:tc>
          <w:tcPr>
            <w:tcW w:w="120" w:type="dxa"/>
            <w:vAlign w:val="bottom"/>
            <w:shd w:val="clear" w:color="auto" w:fill="DCE2EF"/>
          </w:tcPr>
          <w:p>
            <w:pPr>
              <w:spacing w:after="0"/>
              <w:rPr>
                <w:sz w:val="19"/>
                <w:szCs w:val="19"/>
                <w:color w:val="auto"/>
              </w:rPr>
            </w:pPr>
          </w:p>
        </w:tc>
        <w:tc>
          <w:tcPr>
            <w:tcW w:w="520" w:type="dxa"/>
            <w:vAlign w:val="bottom"/>
            <w:shd w:val="clear" w:color="auto" w:fill="DCE2EF"/>
          </w:tcPr>
          <w:p>
            <w:pPr>
              <w:jc w:val="right"/>
              <w:ind w:right="34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CE2EF"/>
          </w:tcPr>
          <w:p>
            <w:pPr>
              <w:jc w:val="right"/>
              <w:ind w:right="465"/>
              <w:spacing w:after="0"/>
              <w:rPr>
                <w:sz w:val="20"/>
                <w:szCs w:val="20"/>
                <w:color w:val="auto"/>
              </w:rPr>
            </w:pPr>
            <w:r>
              <w:rPr>
                <w:rFonts w:ascii="Arial" w:cs="Arial" w:eastAsia="Arial" w:hAnsi="Arial"/>
                <w:sz w:val="15"/>
                <w:szCs w:val="15"/>
                <w:color w:val="auto"/>
              </w:rPr>
              <w:t>65.9</w:t>
            </w:r>
          </w:p>
        </w:tc>
        <w:tc>
          <w:tcPr>
            <w:tcW w:w="980" w:type="dxa"/>
            <w:vAlign w:val="bottom"/>
            <w:shd w:val="clear" w:color="auto" w:fill="DCE2EF"/>
          </w:tcPr>
          <w:p>
            <w:pPr>
              <w:jc w:val="right"/>
              <w:ind w:right="403"/>
              <w:spacing w:after="0"/>
              <w:rPr>
                <w:sz w:val="20"/>
                <w:szCs w:val="20"/>
                <w:color w:val="auto"/>
              </w:rPr>
            </w:pPr>
            <w:r>
              <w:rPr>
                <w:rFonts w:ascii="Arial" w:cs="Arial" w:eastAsia="Arial" w:hAnsi="Arial"/>
                <w:sz w:val="15"/>
                <w:szCs w:val="15"/>
                <w:color w:val="auto"/>
              </w:rPr>
              <w:t>8.7%</w:t>
            </w:r>
          </w:p>
        </w:tc>
      </w:tr>
      <w:tr>
        <w:trPr>
          <w:trHeight w:val="244"/>
        </w:trPr>
        <w:tc>
          <w:tcPr>
            <w:tcW w:w="2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5"/>
                <w:szCs w:val="15"/>
                <w:color w:val="auto"/>
              </w:rPr>
              <w:t>Operating profit</w:t>
            </w:r>
          </w:p>
        </w:tc>
        <w:tc>
          <w:tcPr>
            <w:tcW w:w="300" w:type="dxa"/>
            <w:vAlign w:val="bottom"/>
          </w:tcPr>
          <w:p>
            <w:pPr>
              <w:spacing w:after="0"/>
              <w:rPr>
                <w:sz w:val="21"/>
                <w:szCs w:val="21"/>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48.4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40.6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ind w:right="465"/>
              <w:spacing w:after="0"/>
              <w:rPr>
                <w:sz w:val="20"/>
                <w:szCs w:val="20"/>
                <w:color w:val="auto"/>
              </w:rPr>
            </w:pPr>
            <w:r>
              <w:rPr>
                <w:rFonts w:ascii="Arial" w:cs="Arial" w:eastAsia="Arial" w:hAnsi="Arial"/>
                <w:sz w:val="15"/>
                <w:szCs w:val="15"/>
                <w:color w:val="auto"/>
              </w:rPr>
              <w:t>7.8</w:t>
            </w:r>
          </w:p>
        </w:tc>
        <w:tc>
          <w:tcPr>
            <w:tcW w:w="980" w:type="dxa"/>
            <w:vAlign w:val="bottom"/>
          </w:tcPr>
          <w:p>
            <w:pPr>
              <w:jc w:val="right"/>
              <w:ind w:right="363"/>
              <w:spacing w:after="0"/>
              <w:rPr>
                <w:sz w:val="20"/>
                <w:szCs w:val="20"/>
                <w:color w:val="auto"/>
              </w:rPr>
            </w:pPr>
            <w:r>
              <w:rPr>
                <w:rFonts w:ascii="Arial" w:cs="Arial" w:eastAsia="Arial" w:hAnsi="Arial"/>
                <w:sz w:val="15"/>
                <w:szCs w:val="15"/>
                <w:color w:val="auto"/>
              </w:rPr>
              <w:t>19.5%</w:t>
            </w:r>
          </w:p>
        </w:tc>
      </w:tr>
      <w:tr>
        <w:trPr>
          <w:trHeight w:val="207"/>
        </w:trPr>
        <w:tc>
          <w:tcPr>
            <w:tcW w:w="20" w:type="dxa"/>
            <w:vAlign w:val="bottom"/>
            <w:shd w:val="clear" w:color="auto" w:fill="DCE2EF"/>
          </w:tcPr>
          <w:p>
            <w:pPr>
              <w:spacing w:after="0"/>
              <w:rPr>
                <w:sz w:val="18"/>
                <w:szCs w:val="18"/>
                <w:color w:val="auto"/>
              </w:rPr>
            </w:pPr>
          </w:p>
        </w:tc>
        <w:tc>
          <w:tcPr>
            <w:tcW w:w="27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5.9%</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w:t>
            </w:r>
          </w:p>
        </w:tc>
        <w:tc>
          <w:tcPr>
            <w:tcW w:w="12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320" w:type="dxa"/>
            <w:vAlign w:val="bottom"/>
            <w:shd w:val="clear" w:color="auto" w:fill="DCE2EF"/>
          </w:tcPr>
          <w:p>
            <w:pPr>
              <w:jc w:val="right"/>
              <w:ind w:right="405"/>
              <w:spacing w:after="0"/>
              <w:rPr>
                <w:sz w:val="20"/>
                <w:szCs w:val="20"/>
                <w:color w:val="auto"/>
              </w:rPr>
            </w:pPr>
            <w:r>
              <w:rPr>
                <w:rFonts w:ascii="Arial" w:cs="Arial" w:eastAsia="Arial" w:hAnsi="Arial"/>
                <w:sz w:val="14"/>
                <w:szCs w:val="14"/>
                <w:i w:val="1"/>
                <w:iCs w:val="1"/>
                <w:color w:val="auto"/>
              </w:rPr>
              <w:t>53 bps</w:t>
            </w:r>
          </w:p>
        </w:tc>
        <w:tc>
          <w:tcPr>
            <w:tcW w:w="980" w:type="dxa"/>
            <w:vAlign w:val="bottom"/>
            <w:shd w:val="clear" w:color="auto" w:fill="DCE2EF"/>
          </w:tcPr>
          <w:p>
            <w:pPr>
              <w:spacing w:after="0"/>
              <w:rPr>
                <w:sz w:val="18"/>
                <w:szCs w:val="18"/>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Aviation revenues increased by $65.9 million, or 8.7%, to $822.0 million during the nine months ended July 31, 2025, as compared to the prior year period. The increase was primarily attributable to new business and scope expansions with the existing clients both domestically and internationally. Management reimbursement revenues for this segment totaled $36.5 million and $27.3 million for the nine months ended July 31, 2025 and 2024, respectively.</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$7.8 million, or 19.5%, to $48.4 million during the nine months ended July 31, 2025, as compared to the prior year period. Operating profit margin increased by 53 bps to 5.9% in the nine months ended July 31, 2025, from 5.4% in the nine months ended July 31, 2024. The increase was primarily attributable to contract mix and operational efficiencies, particularly in managing overhead costs, partially offset by base wage increases.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Education</w:t>
            </w:r>
          </w:p>
        </w:tc>
        <w:tc>
          <w:tcPr>
            <w:tcW w:w="420" w:type="dxa"/>
            <w:vAlign w:val="bottom"/>
          </w:tcPr>
          <w:p>
            <w:pPr>
              <w:spacing w:after="0"/>
              <w:rPr>
                <w:sz w:val="18"/>
                <w:szCs w:val="18"/>
                <w:color w:val="auto"/>
              </w:rPr>
            </w:pPr>
          </w:p>
        </w:tc>
        <w:tc>
          <w:tcPr>
            <w:tcW w:w="3500" w:type="dxa"/>
            <w:vAlign w:val="bottom"/>
            <w:gridSpan w:val="5"/>
            <w:vMerge w:val="restart"/>
          </w:tcPr>
          <w:p>
            <w:pPr>
              <w:ind w:left="460"/>
              <w:spacing w:after="0"/>
              <w:rPr>
                <w:sz w:val="20"/>
                <w:szCs w:val="20"/>
                <w:color w:val="auto"/>
              </w:rPr>
            </w:pPr>
            <w:r>
              <w:rPr>
                <w:rFonts w:ascii="Arial" w:cs="Arial" w:eastAsia="Arial" w:hAnsi="Arial"/>
                <w:sz w:val="15"/>
                <w:szCs w:val="15"/>
                <w:b w:val="1"/>
                <w:bCs w:val="1"/>
                <w:color w:val="auto"/>
              </w:rPr>
              <w:t>Nine Months Ended July 31,</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4"/>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ind w:left="780"/>
              <w:spacing w:after="0" w:line="128" w:lineRule="exact"/>
              <w:rPr>
                <w:sz w:val="20"/>
                <w:szCs w:val="20"/>
                <w:color w:val="auto"/>
              </w:rPr>
            </w:pPr>
            <w:r>
              <w:rPr>
                <w:rFonts w:ascii="Arial" w:cs="Arial" w:eastAsia="Arial" w:hAnsi="Arial"/>
                <w:sz w:val="14"/>
                <w:szCs w:val="14"/>
                <w:b w:val="1"/>
                <w:bCs w:val="1"/>
                <w:color w:val="auto"/>
              </w:rPr>
              <w:t>Increase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3EF"/>
            </w:tcBorders>
          </w:tcPr>
          <w:p>
            <w:pPr>
              <w:spacing w:after="0"/>
              <w:rPr>
                <w:sz w:val="2"/>
                <w:szCs w:val="2"/>
                <w:color w:val="auto"/>
              </w:rPr>
            </w:pPr>
          </w:p>
        </w:tc>
        <w:tc>
          <w:tcPr>
            <w:tcW w:w="780" w:type="dxa"/>
            <w:vAlign w:val="bottom"/>
            <w:tcBorders>
              <w:top w:val="single" w:sz="8" w:color="auto"/>
              <w:bottom w:val="single" w:sz="8" w:color="DCE3EF"/>
            </w:tcBorders>
          </w:tcPr>
          <w:p>
            <w:pPr>
              <w:spacing w:after="0"/>
              <w:rPr>
                <w:sz w:val="2"/>
                <w:szCs w:val="2"/>
                <w:color w:val="auto"/>
              </w:rPr>
            </w:pPr>
          </w:p>
        </w:tc>
        <w:tc>
          <w:tcPr>
            <w:tcW w:w="2920" w:type="dxa"/>
            <w:vAlign w:val="bottom"/>
            <w:tcBorders>
              <w:bottom w:val="single" w:sz="8" w:color="DCE3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DCE3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3EF"/>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3EF"/>
          </w:tcPr>
          <w:p>
            <w:pPr>
              <w:jc w:val="right"/>
              <w:ind w:right="104"/>
              <w:spacing w:after="0"/>
              <w:rPr>
                <w:sz w:val="20"/>
                <w:szCs w:val="20"/>
                <w:color w:val="auto"/>
              </w:rPr>
            </w:pPr>
            <w:r>
              <w:rPr>
                <w:rFonts w:ascii="Arial" w:cs="Arial" w:eastAsia="Arial" w:hAnsi="Arial"/>
                <w:sz w:val="15"/>
                <w:szCs w:val="15"/>
                <w:color w:val="auto"/>
              </w:rPr>
              <w:t>688.2</w:t>
            </w:r>
          </w:p>
        </w:tc>
        <w:tc>
          <w:tcPr>
            <w:tcW w:w="100" w:type="dxa"/>
            <w:vAlign w:val="bottom"/>
            <w:shd w:val="clear" w:color="auto" w:fill="DCE3EF"/>
          </w:tcPr>
          <w:p>
            <w:pPr>
              <w:spacing w:after="0"/>
              <w:rPr>
                <w:sz w:val="17"/>
                <w:szCs w:val="17"/>
                <w:color w:val="auto"/>
              </w:rPr>
            </w:pPr>
          </w:p>
        </w:tc>
        <w:tc>
          <w:tcPr>
            <w:tcW w:w="440" w:type="dxa"/>
            <w:vAlign w:val="bottom"/>
            <w:shd w:val="clear" w:color="auto" w:fill="DCE3EF"/>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3EF"/>
          </w:tcPr>
          <w:p>
            <w:pPr>
              <w:jc w:val="right"/>
              <w:ind w:right="105"/>
              <w:spacing w:after="0"/>
              <w:rPr>
                <w:sz w:val="20"/>
                <w:szCs w:val="20"/>
                <w:color w:val="auto"/>
              </w:rPr>
            </w:pPr>
            <w:r>
              <w:rPr>
                <w:rFonts w:ascii="Arial" w:cs="Arial" w:eastAsia="Arial" w:hAnsi="Arial"/>
                <w:sz w:val="15"/>
                <w:szCs w:val="15"/>
                <w:color w:val="auto"/>
              </w:rPr>
              <w:t>674.0</w:t>
            </w:r>
          </w:p>
        </w:tc>
        <w:tc>
          <w:tcPr>
            <w:tcW w:w="100" w:type="dxa"/>
            <w:vAlign w:val="bottom"/>
            <w:shd w:val="clear" w:color="auto" w:fill="DCE3EF"/>
          </w:tcPr>
          <w:p>
            <w:pPr>
              <w:spacing w:after="0"/>
              <w:rPr>
                <w:sz w:val="17"/>
                <w:szCs w:val="17"/>
                <w:color w:val="auto"/>
              </w:rPr>
            </w:pPr>
          </w:p>
        </w:tc>
        <w:tc>
          <w:tcPr>
            <w:tcW w:w="720" w:type="dxa"/>
            <w:vAlign w:val="bottom"/>
            <w:shd w:val="clear" w:color="auto" w:fill="DCE2EF"/>
          </w:tcPr>
          <w:p>
            <w:pPr>
              <w:jc w:val="right"/>
              <w:ind w:right="52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14.2</w:t>
            </w:r>
          </w:p>
        </w:tc>
        <w:tc>
          <w:tcPr>
            <w:tcW w:w="560" w:type="dxa"/>
            <w:vAlign w:val="bottom"/>
            <w:shd w:val="clear" w:color="auto" w:fill="DCE3EF"/>
          </w:tcPr>
          <w:p>
            <w:pPr>
              <w:spacing w:after="0"/>
              <w:rPr>
                <w:sz w:val="17"/>
                <w:szCs w:val="17"/>
                <w:color w:val="auto"/>
              </w:rPr>
            </w:pPr>
          </w:p>
        </w:tc>
        <w:tc>
          <w:tcPr>
            <w:tcW w:w="1280" w:type="dxa"/>
            <w:vAlign w:val="bottom"/>
            <w:shd w:val="clear" w:color="auto" w:fill="DCE3EF"/>
          </w:tcPr>
          <w:p>
            <w:pPr>
              <w:jc w:val="right"/>
              <w:ind w:right="603"/>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6.6</w:t>
            </w:r>
          </w:p>
        </w:tc>
        <w:tc>
          <w:tcPr>
            <w:tcW w:w="560" w:type="dxa"/>
            <w:vAlign w:val="bottom"/>
          </w:tcPr>
          <w:p>
            <w:pPr>
              <w:spacing w:after="0"/>
              <w:rPr>
                <w:sz w:val="17"/>
                <w:szCs w:val="17"/>
                <w:color w:val="auto"/>
              </w:rPr>
            </w:pPr>
          </w:p>
        </w:tc>
        <w:tc>
          <w:tcPr>
            <w:tcW w:w="1280" w:type="dxa"/>
            <w:vAlign w:val="bottom"/>
          </w:tcPr>
          <w:p>
            <w:pPr>
              <w:jc w:val="right"/>
              <w:ind w:right="563"/>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7.1 %</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6.3 %</w:t>
            </w:r>
          </w:p>
        </w:tc>
        <w:tc>
          <w:tcPr>
            <w:tcW w:w="100" w:type="dxa"/>
            <w:vAlign w:val="bottom"/>
            <w:shd w:val="clear" w:color="auto" w:fill="DCE2EF"/>
          </w:tcPr>
          <w:p>
            <w:pPr>
              <w:spacing w:after="0"/>
              <w:rPr>
                <w:sz w:val="16"/>
                <w:szCs w:val="16"/>
                <w:color w:val="auto"/>
              </w:rPr>
            </w:pPr>
          </w:p>
        </w:tc>
        <w:tc>
          <w:tcPr>
            <w:tcW w:w="720" w:type="dxa"/>
            <w:vAlign w:val="bottom"/>
            <w:shd w:val="clear" w:color="auto" w:fill="DCE2EF"/>
          </w:tcPr>
          <w:p>
            <w:pPr>
              <w:spacing w:after="0"/>
              <w:rPr>
                <w:sz w:val="16"/>
                <w:szCs w:val="16"/>
                <w:color w:val="auto"/>
              </w:rPr>
            </w:pPr>
          </w:p>
        </w:tc>
        <w:tc>
          <w:tcPr>
            <w:tcW w:w="1600" w:type="dxa"/>
            <w:vAlign w:val="bottom"/>
            <w:gridSpan w:val="2"/>
            <w:shd w:val="clear" w:color="auto" w:fill="DCE2EF"/>
          </w:tcPr>
          <w:p>
            <w:pPr>
              <w:ind w:left="620"/>
              <w:spacing w:after="0"/>
              <w:rPr>
                <w:sz w:val="20"/>
                <w:szCs w:val="20"/>
                <w:color w:val="auto"/>
              </w:rPr>
            </w:pPr>
            <w:r>
              <w:rPr>
                <w:rFonts w:ascii="Arial" w:cs="Arial" w:eastAsia="Arial" w:hAnsi="Arial"/>
                <w:sz w:val="14"/>
                <w:szCs w:val="14"/>
                <w:i w:val="1"/>
                <w:iCs w:val="1"/>
                <w:color w:val="auto"/>
              </w:rPr>
              <w:t>83 bps</w:t>
            </w: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Education revenues increased by $14.2 million, or 2.1%, to $688.2 million during the nine months ended July 31, 2025, as compared to the prior year period. The increase was primarily attributable to net new business and expansion of business with existing customers.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$6.6 million, or 15.6%, during the nine months ended July 31, 2025, as compared to the prior year period. Operating profit margin increased by 83 bps to 7.1% in the nine months ended July 31, 2025, from 6.3% in the nine months ended July 31, 2024. The increase in operating profit margin was primarily attributable to operational efficiencies, particularly in managing overtime, materials and supplies, and general and administrative headcount, partially offset by base wage increases.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8" w:name="page39"/>
    <w:bookmarkEnd w:id="38"/>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Technical Solutions</w:t>
            </w:r>
          </w:p>
        </w:tc>
        <w:tc>
          <w:tcPr>
            <w:tcW w:w="420" w:type="dxa"/>
            <w:vAlign w:val="bottom"/>
          </w:tcPr>
          <w:p>
            <w:pPr>
              <w:spacing w:after="0"/>
              <w:rPr>
                <w:sz w:val="18"/>
                <w:szCs w:val="18"/>
                <w:color w:val="auto"/>
              </w:rPr>
            </w:pPr>
          </w:p>
        </w:tc>
        <w:tc>
          <w:tcPr>
            <w:tcW w:w="3500" w:type="dxa"/>
            <w:vAlign w:val="bottom"/>
            <w:gridSpan w:val="5"/>
            <w:vMerge w:val="restart"/>
          </w:tcPr>
          <w:p>
            <w:pPr>
              <w:ind w:left="460"/>
              <w:spacing w:after="0"/>
              <w:rPr>
                <w:sz w:val="20"/>
                <w:szCs w:val="20"/>
                <w:color w:val="auto"/>
              </w:rPr>
            </w:pPr>
            <w:r>
              <w:rPr>
                <w:rFonts w:ascii="Arial" w:cs="Arial" w:eastAsia="Arial" w:hAnsi="Arial"/>
                <w:sz w:val="15"/>
                <w:szCs w:val="15"/>
                <w:b w:val="1"/>
                <w:bCs w:val="1"/>
                <w:color w:val="auto"/>
              </w:rPr>
              <w:t>Nine Months Ended July 31,</w:t>
            </w: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4"/>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gridSpan w:val="2"/>
          </w:tcPr>
          <w:p>
            <w:pPr>
              <w:jc w:val="right"/>
              <w:ind w:right="94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29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662.0</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551.9</w:t>
            </w:r>
          </w:p>
        </w:tc>
        <w:tc>
          <w:tcPr>
            <w:tcW w:w="100" w:type="dxa"/>
            <w:vAlign w:val="bottom"/>
            <w:shd w:val="clear" w:color="auto" w:fill="DCE2EF"/>
          </w:tcPr>
          <w:p>
            <w:pPr>
              <w:spacing w:after="0"/>
              <w:rPr>
                <w:sz w:val="17"/>
                <w:szCs w:val="17"/>
                <w:color w:val="auto"/>
              </w:rPr>
            </w:pPr>
          </w:p>
        </w:tc>
        <w:tc>
          <w:tcPr>
            <w:tcW w:w="58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110.1</w:t>
            </w:r>
          </w:p>
        </w:tc>
        <w:tc>
          <w:tcPr>
            <w:tcW w:w="148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41.4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jc w:val="right"/>
              <w:ind w:right="346"/>
              <w:spacing w:after="0"/>
              <w:rPr>
                <w:sz w:val="20"/>
                <w:szCs w:val="20"/>
                <w:color w:val="auto"/>
              </w:rPr>
            </w:pPr>
            <w:r>
              <w:rPr>
                <w:rFonts w:ascii="Arial" w:cs="Arial" w:eastAsia="Arial" w:hAnsi="Arial"/>
                <w:sz w:val="15"/>
                <w:szCs w:val="15"/>
                <w:color w:val="auto"/>
              </w:rPr>
              <w:t>8.0</w:t>
            </w:r>
          </w:p>
        </w:tc>
        <w:tc>
          <w:tcPr>
            <w:tcW w:w="1480" w:type="dxa"/>
            <w:vAlign w:val="bottom"/>
          </w:tcPr>
          <w:p>
            <w:pPr>
              <w:jc w:val="right"/>
              <w:ind w:right="563"/>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1540" w:type="dxa"/>
            <w:vAlign w:val="bottom"/>
            <w:shd w:val="clear" w:color="auto" w:fill="DCE2EF"/>
          </w:tcPr>
          <w:p>
            <w:pPr>
              <w:jc w:val="right"/>
              <w:ind w:right="306"/>
              <w:spacing w:after="0"/>
              <w:rPr>
                <w:sz w:val="20"/>
                <w:szCs w:val="20"/>
                <w:color w:val="auto"/>
              </w:rPr>
            </w:pPr>
            <w:r>
              <w:rPr>
                <w:rFonts w:ascii="Arial" w:cs="Arial" w:eastAsia="Arial" w:hAnsi="Arial"/>
                <w:sz w:val="14"/>
                <w:szCs w:val="14"/>
                <w:i w:val="1"/>
                <w:iCs w:val="1"/>
                <w:color w:val="auto"/>
              </w:rPr>
              <w:t>(4) bps</w:t>
            </w: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7"/>
          <w:szCs w:val="17"/>
          <w:color w:val="auto"/>
        </w:rPr>
        <w:t>Technical Solutions revenues increased by $110.1 million, or 20.0%, to $662.0 million during the nine months ended July 31, 2025, as compared to the prior year period. Revenue growth was comprised of organic growth of 10.0% and acquisition growth of 10.0%. The organic revenue increase was primarily driven by higher project revenues due to the higher microgrid systems projects, partially offset by a decrease in electric vehicle charging station revenues. Acquisition growth was driven by a $54.8 million revenue increase from the Quality Uptime and LMC acquisitions.</w:t>
      </w:r>
    </w:p>
    <w:p>
      <w:pPr>
        <w:spacing w:after="0" w:line="32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$8.0 million, or 19.4%, to $49.4 million during the nine months ended July 31, 2025, as compared to the prior year period. Operating profit margin decreased by 4 bps to 7.5% in the nine months ended July 31, 2025, from 7.5% in the nine months ended July 31, 2024. The decrease in operating profit margin was primarily attributable to higher amortization of intangible assets.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Corporate</w:t>
            </w:r>
          </w:p>
        </w:tc>
        <w:tc>
          <w:tcPr>
            <w:tcW w:w="3060" w:type="dxa"/>
            <w:vAlign w:val="bottom"/>
            <w:gridSpan w:val="4"/>
            <w:vMerge w:val="restart"/>
          </w:tcPr>
          <w:p>
            <w:pPr>
              <w:jc w:val="right"/>
              <w:ind w:right="103"/>
              <w:spacing w:after="0"/>
              <w:rPr>
                <w:sz w:val="20"/>
                <w:szCs w:val="20"/>
                <w:color w:val="auto"/>
              </w:rPr>
            </w:pPr>
            <w:r>
              <w:rPr>
                <w:rFonts w:ascii="Arial" w:cs="Arial" w:eastAsia="Arial" w:hAnsi="Arial"/>
                <w:sz w:val="15"/>
                <w:szCs w:val="15"/>
                <w:b w:val="1"/>
                <w:bCs w:val="1"/>
                <w:color w:val="auto"/>
              </w:rPr>
              <w:t>Nine Months Ended July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60" w:type="dxa"/>
            <w:vAlign w:val="bottom"/>
            <w:tcBorders>
              <w:bottom w:val="single" w:sz="8" w:color="auto"/>
            </w:tcBorders>
            <w:gridSpan w:val="4"/>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jc w:val="right"/>
              <w:ind w:right="23"/>
              <w:spacing w:after="0" w:line="135" w:lineRule="exact"/>
              <w:rPr>
                <w:sz w:val="20"/>
                <w:szCs w:val="20"/>
                <w:color w:val="auto"/>
              </w:rPr>
            </w:pPr>
            <w:r>
              <w:rPr>
                <w:rFonts w:ascii="Arial" w:cs="Arial" w:eastAsia="Arial" w:hAnsi="Arial"/>
                <w:sz w:val="15"/>
                <w:szCs w:val="15"/>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23"/>
              <w:spacing w:after="0" w:line="135" w:lineRule="exact"/>
              <w:rPr>
                <w:sz w:val="20"/>
                <w:szCs w:val="20"/>
                <w:color w:val="auto"/>
              </w:rPr>
            </w:pPr>
            <w:r>
              <w:rPr>
                <w:rFonts w:ascii="Arial" w:cs="Arial" w:eastAsia="Arial" w:hAnsi="Arial"/>
                <w:sz w:val="15"/>
                <w:szCs w:val="15"/>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jc w:val="right"/>
              <w:ind w:right="125"/>
              <w:spacing w:after="0" w:line="128" w:lineRule="exact"/>
              <w:rPr>
                <w:sz w:val="20"/>
                <w:szCs w:val="20"/>
                <w:color w:val="auto"/>
              </w:rPr>
            </w:pPr>
            <w:r>
              <w:rPr>
                <w:rFonts w:ascii="Arial" w:cs="Arial" w:eastAsia="Arial" w:hAnsi="Arial"/>
                <w:sz w:val="14"/>
                <w:szCs w:val="14"/>
                <w:b w:val="1"/>
                <w:bCs w:val="1"/>
                <w:color w:val="auto"/>
              </w:rPr>
              <w:t>Decrease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0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 expenses</w:t>
            </w:r>
          </w:p>
        </w:tc>
        <w:tc>
          <w:tcPr>
            <w:tcW w:w="1180" w:type="dxa"/>
            <w:vAlign w:val="bottom"/>
            <w:shd w:val="clear" w:color="auto" w:fill="DCE2EF"/>
          </w:tcPr>
          <w:p>
            <w:pPr>
              <w:jc w:val="right"/>
              <w:ind w:right="100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(251.8)</w:t>
            </w: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jc w:val="right"/>
              <w:ind w:right="9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(285.0)</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jc w:val="right"/>
              <w:ind w:right="58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CE2EF"/>
          </w:tcPr>
          <w:p>
            <w:pPr>
              <w:jc w:val="right"/>
              <w:ind w:right="585"/>
              <w:spacing w:after="0"/>
              <w:rPr>
                <w:sz w:val="20"/>
                <w:szCs w:val="20"/>
                <w:color w:val="auto"/>
              </w:rPr>
            </w:pPr>
            <w:r>
              <w:rPr>
                <w:rFonts w:ascii="Arial" w:cs="Arial" w:eastAsia="Arial" w:hAnsi="Arial"/>
                <w:sz w:val="15"/>
                <w:szCs w:val="15"/>
                <w:color w:val="auto"/>
              </w:rPr>
              <w:t>33.2</w:t>
            </w:r>
          </w:p>
        </w:tc>
        <w:tc>
          <w:tcPr>
            <w:tcW w:w="1280" w:type="dxa"/>
            <w:vAlign w:val="bottom"/>
            <w:shd w:val="clear" w:color="auto" w:fill="DCE2EF"/>
          </w:tcPr>
          <w:p>
            <w:pPr>
              <w:jc w:val="right"/>
              <w:ind w:right="583"/>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242"/>
        <w:spacing w:after="0" w:line="290" w:lineRule="auto"/>
        <w:rPr>
          <w:sz w:val="20"/>
          <w:szCs w:val="20"/>
          <w:color w:val="auto"/>
        </w:rPr>
      </w:pPr>
      <w:r>
        <w:rPr>
          <w:rFonts w:ascii="Arial" w:cs="Arial" w:eastAsia="Arial" w:hAnsi="Arial"/>
          <w:sz w:val="17"/>
          <w:szCs w:val="17"/>
          <w:color w:val="auto"/>
        </w:rPr>
        <w:t>Corporate expenses decreased by $33.2 million, or 11.6%, to $251.8 million during the nine months ended July 31, 2025, as compared to the prior year period. The decrease in corporate expenses was primarily attributable to:</w:t>
      </w:r>
    </w:p>
    <w:p>
      <w:pPr>
        <w:spacing w:after="0" w:line="95" w:lineRule="exact"/>
        <w:rPr>
          <w:sz w:val="20"/>
          <w:szCs w:val="20"/>
          <w:color w:val="auto"/>
        </w:rPr>
      </w:pPr>
    </w:p>
    <w:p>
      <w:pPr>
        <w:ind w:left="620" w:hanging="307"/>
        <w:spacing w:after="0" w:line="290"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absence of an adjustment to the contingent consideration related to the RavenVolt Acquisition as compared to a $36.0 million fair value adjustment to increase the contingent consideration recorded during the three months ended July 31, 2024; and</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$16.8 million decrease in unfavorable self-insurance reserve adjustment as a result of actuarial evaluations completed.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partially offset by:</w:t>
      </w:r>
    </w:p>
    <w:p>
      <w:pPr>
        <w:spacing w:after="0" w:line="165" w:lineRule="exact"/>
        <w:rPr>
          <w:sz w:val="20"/>
          <w:szCs w:val="20"/>
          <w:color w:val="auto"/>
        </w:rPr>
      </w:pPr>
    </w:p>
    <w:p>
      <w:pPr>
        <w:ind w:left="620" w:hanging="307"/>
        <w:spacing w:after="0" w:line="29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$9.7 million increase in compensation and related expenses primarily due to higher salaries and headcount expansion from recent acquisitions; and</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$5.4 million increase in costs associated with systems’ go-live.</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to normal working capital requirements, we anticipate that our short- and long-term cash requirements will include funding legal settlements, insurance claims, dividend payments, capital expenditures, share repurchases, mandatory loan repayments, contingent consideration payments from acquisitions, and systems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 xml:space="preserve">and technology transformation initiatives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We anticipate long-term cash uses may also include strategic acquisitions.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On a long-term basis, we will continue to rely on our Amended Credit Facility for any long-term funding not provided by operating cash flows.</w:t>
      </w:r>
    </w:p>
    <w:p>
      <w:pPr>
        <w:spacing w:after="0" w:line="14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Credit Facility</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consisting of a $900.0 million revolver and an $800.0 million amortizing term loan. In accordance with terms of the Credit Facility, the revolver was reduced to $800.0 million on September 1, 2018. 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w:t>
      </w:r>
    </w:p>
    <w:p>
      <w:pPr>
        <w:spacing w:after="0" w:line="12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July 31, 2025, we were in compliance with these covenants.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three and nine months ended July 31, 2025, we made principal payments under the term loan of $7.5 million and $15.6 million, respectively. At July 31, 2025, the total outstanding borrowings under our Amended Credit Facility in the form of cash borrowings and standby letters of credit were $1.5 billion and $29.7 million, respectively, and our weighted average interest rate on all outstanding borrowings, excluding letters of credit, was 6.09%. At July 31, 2025, we had up to $621.7 million of borrowing capacity.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Reinvestment of Foreign Earnings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IFM Insurance Company</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Share Repurchases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repurchased shares under the share repurchase program during the three and nine months ended July 31, 2025, as summarized below.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share repurchase program may be suspended or discontinued at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any time without prior notice. At July 31, 2025, authorization for $106.1 million of repurchases remained under our share repurchase program.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0" w:type="dxa"/>
            <w:vAlign w:val="bottom"/>
          </w:tcPr>
          <w:p>
            <w:pPr>
              <w:spacing w:after="0"/>
              <w:rPr>
                <w:sz w:val="14"/>
                <w:szCs w:val="14"/>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Three Months Ended</w:t>
            </w:r>
          </w:p>
        </w:tc>
        <w:tc>
          <w:tcPr>
            <w:tcW w:w="2180" w:type="dxa"/>
            <w:vAlign w:val="bottom"/>
            <w:gridSpan w:val="2"/>
          </w:tcPr>
          <w:p>
            <w:pPr>
              <w:jc w:val="right"/>
              <w:spacing w:after="0"/>
              <w:rPr>
                <w:sz w:val="20"/>
                <w:szCs w:val="20"/>
                <w:color w:val="auto"/>
              </w:rPr>
            </w:pPr>
            <w:r>
              <w:rPr>
                <w:rFonts w:ascii="Arial" w:cs="Arial" w:eastAsia="Arial" w:hAnsi="Arial"/>
                <w:sz w:val="15"/>
                <w:szCs w:val="15"/>
                <w:b w:val="1"/>
                <w:bCs w:val="1"/>
                <w:color w:val="auto"/>
              </w:rPr>
              <w:t>Nine Months Ended July 31,</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July 31, 2025</w:t>
            </w:r>
          </w:p>
        </w:tc>
        <w:tc>
          <w:tcPr>
            <w:tcW w:w="500" w:type="dxa"/>
            <w:vAlign w:val="bottom"/>
          </w:tcPr>
          <w:p>
            <w:pPr>
              <w:spacing w:after="0"/>
              <w:rPr>
                <w:sz w:val="17"/>
                <w:szCs w:val="17"/>
                <w:color w:val="auto"/>
              </w:rPr>
            </w:pPr>
          </w:p>
        </w:tc>
        <w:tc>
          <w:tcPr>
            <w:tcW w:w="1680" w:type="dxa"/>
            <w:vAlign w:val="bottom"/>
          </w:tcPr>
          <w:p>
            <w:pPr>
              <w:jc w:val="right"/>
              <w:ind w:right="843"/>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9"/>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220" w:type="dxa"/>
            <w:vAlign w:val="bottom"/>
            <w:tcBorders>
              <w:top w:val="single" w:sz="8" w:color="auto"/>
            </w:tcBorders>
            <w:shd w:val="clear" w:color="auto" w:fill="DCE2EF"/>
          </w:tcPr>
          <w:p>
            <w:pPr>
              <w:spacing w:after="0"/>
              <w:rPr>
                <w:sz w:val="17"/>
                <w:szCs w:val="17"/>
                <w:color w:val="auto"/>
              </w:rPr>
            </w:pPr>
          </w:p>
        </w:tc>
        <w:tc>
          <w:tcPr>
            <w:tcW w:w="19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0.56</w:t>
            </w:r>
          </w:p>
        </w:tc>
        <w:tc>
          <w:tcPr>
            <w:tcW w:w="100" w:type="dxa"/>
            <w:vAlign w:val="bottom"/>
            <w:tcBorders>
              <w:top w:val="single" w:sz="8" w:color="DCE2EF"/>
            </w:tcBorders>
            <w:shd w:val="clear" w:color="auto" w:fill="DCE2EF"/>
          </w:tcPr>
          <w:p>
            <w:pPr>
              <w:spacing w:after="0"/>
              <w:rPr>
                <w:sz w:val="17"/>
                <w:szCs w:val="17"/>
                <w:color w:val="auto"/>
              </w:rPr>
            </w:pPr>
          </w:p>
        </w:tc>
        <w:tc>
          <w:tcPr>
            <w:tcW w:w="500" w:type="dxa"/>
            <w:vAlign w:val="bottom"/>
            <w:tcBorders>
              <w:top w:val="single" w:sz="8" w:color="auto"/>
            </w:tcBorders>
            <w:shd w:val="clear" w:color="auto" w:fill="DCE2EF"/>
          </w:tcPr>
          <w:p>
            <w:pPr>
              <w:spacing w:after="0"/>
              <w:rPr>
                <w:sz w:val="17"/>
                <w:szCs w:val="17"/>
                <w:color w:val="auto"/>
              </w:rPr>
            </w:pPr>
          </w:p>
        </w:tc>
        <w:tc>
          <w:tcPr>
            <w:tcW w:w="16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0.97</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Average price paid per share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48.77</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49.82</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27.1</w:t>
            </w: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3"/>
        <w:spacing w:after="0" w:line="216" w:lineRule="auto"/>
        <w:tabs>
          <w:tab w:leader="none" w:pos="185" w:val="left"/>
        </w:tabs>
        <w:numPr>
          <w:ilvl w:val="0"/>
          <w:numId w:val="23"/>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Cash Flows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58" w:lineRule="exact"/>
        <w:rPr>
          <w:sz w:val="20"/>
          <w:szCs w:val="20"/>
          <w:color w:val="auto"/>
        </w:rPr>
      </w:pPr>
    </w:p>
    <w:p>
      <w:pPr>
        <w:ind w:left="8360"/>
        <w:spacing w:after="0"/>
        <w:rPr>
          <w:sz w:val="20"/>
          <w:szCs w:val="20"/>
          <w:color w:val="auto"/>
        </w:rPr>
      </w:pPr>
      <w:r>
        <w:rPr>
          <w:rFonts w:ascii="Arial" w:cs="Arial" w:eastAsia="Arial" w:hAnsi="Arial"/>
          <w:sz w:val="15"/>
          <w:szCs w:val="15"/>
          <w:b w:val="1"/>
          <w:bCs w:val="1"/>
          <w:color w:val="auto"/>
        </w:rPr>
        <w:t>Nine Months Ended July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3"/>
              <w:spacing w:after="0" w:line="148"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643"/>
              <w:spacing w:after="0" w:line="148" w:lineRule="exact"/>
              <w:rPr>
                <w:sz w:val="20"/>
                <w:szCs w:val="20"/>
                <w:color w:val="auto"/>
              </w:rPr>
            </w:pPr>
            <w:r>
              <w:rPr>
                <w:rFonts w:ascii="Arial" w:cs="Arial" w:eastAsia="Arial" w:hAnsi="Arial"/>
                <w:sz w:val="15"/>
                <w:szCs w:val="15"/>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8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9"/>
        </w:trPr>
        <w:tc>
          <w:tcPr>
            <w:tcW w:w="75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101.0</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196.3</w:t>
            </w:r>
          </w:p>
        </w:tc>
      </w:tr>
      <w:tr>
        <w:trPr>
          <w:trHeight w:val="205"/>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(157.9)</w:t>
            </w:r>
          </w:p>
        </w:tc>
      </w:tr>
      <w:tr>
        <w:trPr>
          <w:trHeight w:val="207"/>
        </w:trPr>
        <w:tc>
          <w:tcPr>
            <w:tcW w:w="75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cash used in financing activities</w:t>
            </w:r>
          </w:p>
        </w:tc>
        <w:tc>
          <w:tcPr>
            <w:tcW w:w="400" w:type="dxa"/>
            <w:vAlign w:val="bottom"/>
            <w:shd w:val="clear" w:color="auto" w:fill="DCE2EF"/>
          </w:tcPr>
          <w:p>
            <w:pPr>
              <w:spacing w:after="0"/>
              <w:rPr>
                <w:sz w:val="18"/>
                <w:szCs w:val="18"/>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(23.0)</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Activities</w:t>
      </w:r>
    </w:p>
    <w:p>
      <w:pPr>
        <w:spacing w:after="0" w:line="163"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Net cash provided by operating activities was $101.0 million and $196.3 million during the nine months ended July 31, 2025, and July 31, 2024, respectively. The decrease was primarily driven by an increase in working capital requirements due to the transition to the Company’s new ERP system for our B&amp;I and M&amp;D segments that temporarily delayed invoicing to certain clients within these industry groups in the first half of 2025. There has been significant improvement in operating cash flows during the third quarter, and we anticipate full normalization in the fourth quarter. In addition, we made a $75.0 million payment for contingent consideration related to the RavenVolt Acquisition, of which $16.0 million was classified as an operating cash outflow during the nine months ended July 31, 2025.</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Investing Activities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decreased by $83.1 million during the nine months ended July 31, 2025, as compared to the prior year period. This quarter’s activity was primarily related to purchases of property, plant and equipment and payment for the LMC Acquisition.</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Financing Activities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Net cash used in financing activities was $ 22.5 million and $23.0 million during the nine months ended July 31, 2025, and July 31, 2024, respectively. This quarter’s activity was primarily related to an increase in share repurchases and a $75.0 million payment for contingent consideration related to the RavenVolt Acquisition, of which $59.0 million was classified as a financing cash outflow during the nine months ended July 31, 2025. This was partially offset by higher net borrowings from our Amended Credit Facility.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For disclosures on contingencies, see Note 10,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2024.</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Recently Issued Accounting Pronouncements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Accounting</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Effective Date/</w:t>
            </w:r>
          </w:p>
        </w:tc>
        <w:tc>
          <w:tcPr>
            <w:tcW w:w="0" w:type="dxa"/>
            <w:vAlign w:val="bottom"/>
          </w:tcPr>
          <w:p>
            <w:pPr>
              <w:spacing w:after="0"/>
              <w:rPr>
                <w:sz w:val="1"/>
                <w:szCs w:val="1"/>
                <w:color w:val="auto"/>
              </w:rPr>
            </w:pPr>
          </w:p>
        </w:tc>
      </w:tr>
      <w:tr>
        <w:trPr>
          <w:trHeight w:val="155"/>
        </w:trPr>
        <w:tc>
          <w:tcPr>
            <w:tcW w:w="130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Topic</w:t>
            </w:r>
          </w:p>
        </w:tc>
        <w:tc>
          <w:tcPr>
            <w:tcW w:w="100" w:type="dxa"/>
            <w:vAlign w:val="bottom"/>
            <w:vMerge w:val="restart"/>
          </w:tcPr>
          <w:p>
            <w:pPr>
              <w:spacing w:after="0"/>
              <w:rPr>
                <w:sz w:val="13"/>
                <w:szCs w:val="13"/>
                <w:color w:val="auto"/>
              </w:rPr>
            </w:pPr>
          </w:p>
        </w:tc>
        <w:tc>
          <w:tcPr>
            <w:tcW w:w="5000" w:type="dxa"/>
            <w:vAlign w:val="bottom"/>
            <w:vMerge w:val="restart"/>
          </w:tcPr>
          <w:p>
            <w:pPr>
              <w:ind w:left="2160"/>
              <w:spacing w:after="0"/>
              <w:rPr>
                <w:sz w:val="20"/>
                <w:szCs w:val="20"/>
                <w:color w:val="auto"/>
              </w:rPr>
            </w:pPr>
            <w:r>
              <w:rPr>
                <w:rFonts w:ascii="Arial" w:cs="Arial" w:eastAsia="Arial" w:hAnsi="Arial"/>
                <w:sz w:val="15"/>
                <w:szCs w:val="15"/>
                <w:b w:val="1"/>
                <w:bCs w:val="1"/>
                <w:color w:val="auto"/>
              </w:rPr>
              <w:t>Summary</w:t>
            </w:r>
          </w:p>
        </w:tc>
        <w:tc>
          <w:tcPr>
            <w:tcW w:w="120" w:type="dxa"/>
            <w:vAlign w:val="bottom"/>
            <w:vMerge w:val="restart"/>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Updates</w:t>
            </w:r>
          </w:p>
        </w:tc>
        <w:tc>
          <w:tcPr>
            <w:tcW w:w="120" w:type="dxa"/>
            <w:vAlign w:val="bottom"/>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0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36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Method of Adoption</w:t>
            </w: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2023-07</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w w:val="99"/>
              </w:rPr>
              <w:t>Segment Reporting (Topic 280):</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2023, improves reportable segment</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Improvements to Reportable</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disclosure requirements, primarily through enhanced disclosures about</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Segment 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significant segment expenses. This standard requires disclosure, on an</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2023, and interim periods</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annual and interim basis, of significant segment expenses that are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regularly provided to the chief operating decision maker (“CODM”) and</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December 15, 2024, with early</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are included within each reported measure of segment profit and loss, as</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well as the total amount of any other items included in segment operating</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results that were not deemed to be significant expenses for separate</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disclosure, along with a qualitative description of the composition of these</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other items. The amended disclosure requirements are required to be</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applied retrospectively. Beginning with the Company’s Form 10-K that will</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be filed for the annual period ending October 31, 2025, this ASU will result</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in expanded disclosures related to each reportable segment, but will have</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no impact on the Company’s financial position or results of operations.</w:t>
            </w:r>
          </w:p>
        </w:tc>
        <w:tc>
          <w:tcPr>
            <w:tcW w:w="1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80" w:type="dxa"/>
            <w:vAlign w:val="bottom"/>
          </w:tcPr>
          <w:p>
            <w:pPr>
              <w:jc w:val="center"/>
              <w:spacing w:after="0" w:line="149" w:lineRule="exact"/>
              <w:rPr>
                <w:sz w:val="20"/>
                <w:szCs w:val="20"/>
                <w:color w:val="auto"/>
              </w:rPr>
            </w:pPr>
            <w:r>
              <w:rPr>
                <w:rFonts w:ascii="Arial" w:cs="Arial" w:eastAsia="Arial" w:hAnsi="Arial"/>
                <w:sz w:val="15"/>
                <w:szCs w:val="15"/>
                <w:color w:val="auto"/>
              </w:rPr>
              <w:t>2023-09</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8"/>
              </w:rPr>
              <w:t>Income Taxes (Topic 740):</w:t>
            </w:r>
          </w:p>
        </w:tc>
        <w:tc>
          <w:tcPr>
            <w:tcW w:w="512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This ASU, issued in December 2023, is intended to enhance the</w:t>
            </w:r>
          </w:p>
        </w:tc>
        <w:tc>
          <w:tcPr>
            <w:tcW w:w="2360" w:type="dxa"/>
            <w:vAlign w:val="bottom"/>
          </w:tcPr>
          <w:p>
            <w:pPr>
              <w:spacing w:after="0" w:line="149"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6" w:lineRule="exact"/>
              <w:rPr>
                <w:sz w:val="20"/>
                <w:szCs w:val="20"/>
                <w:color w:val="auto"/>
              </w:rPr>
            </w:pPr>
            <w:r>
              <w:rPr>
                <w:rFonts w:ascii="Arial" w:cs="Arial" w:eastAsia="Arial" w:hAnsi="Arial"/>
                <w:sz w:val="15"/>
                <w:szCs w:val="15"/>
                <w:color w:val="auto"/>
                <w:w w:val="99"/>
              </w:rPr>
              <w:t>Improvements to Income Tax</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transparency and decision usefulness of income tax disclosures. The</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5"/>
                <w:szCs w:val="15"/>
                <w:color w:val="auto"/>
              </w:rPr>
              <w:t>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amendments in this ASU address investor requests for enhanced income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2024, with early adoption</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tax information primarily through changes to the rate reconciliation and</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income taxes paid information. We are currently evaluating the impact of</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implementing this guidance on our financial statements.</w:t>
            </w: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2024-03</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rPr>
              <w:t>Income Statement Reporting</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2024, is intended to improve financial</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Comprehensive Income Expense</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reporting by requiring public entities to disclose additional information</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Disaggregation 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about specific expense categories in the notes to the financial statements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2026, and interim periods</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5"/>
                <w:szCs w:val="15"/>
                <w:color w:val="auto"/>
              </w:rPr>
              <w:t>(Subtopic 220-40): Disaggregation</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at interim and annual reporting periods. We are currently evaluating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1" w:lineRule="exact"/>
              <w:rPr>
                <w:sz w:val="20"/>
                <w:szCs w:val="20"/>
                <w:color w:val="auto"/>
              </w:rPr>
            </w:pPr>
            <w:r>
              <w:rPr>
                <w:rFonts w:ascii="Arial" w:cs="Arial" w:eastAsia="Arial" w:hAnsi="Arial"/>
                <w:sz w:val="15"/>
                <w:szCs w:val="15"/>
                <w:color w:val="auto"/>
              </w:rPr>
              <w:t>of Income Statement Expenses</w:t>
            </w: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impact of implementing this guidance on our financial statements.</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0046AD"/>
        </w:rPr>
        <w:t>ITEM 3. QUANTITATIVE AND QUALITATIVE DISCLOSURES ABOUT MARKET RISK.</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There are no material changes related to market risk from the disclosures in our Annual Report on Form 10-K for the year ended October 31, 2024.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 Disclosure Controls and Procedures.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 Changes in Internal Control Over Financial Reporting.</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and key boundary systems for the Education, Business &amp; Industry, and Manufacturing &amp; Distribution industry groups that has materially affected, or is reasonably likely to materially affect, our internal control over financial reporting. The new ERP system and key boundary systems for these industry groups is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controls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There were no other changes in our internal control over financial reporting during the third quarter of 2025 identified in connection with the evaluation required by Rules 13a-15(d) and 15d-15(d) of the Exchange Act that has materially affected, or is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PART II.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LEGAL PROCEEDINGS.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 discussion of material developments in our litigation matters occurring in the period covered by this report is found in Note 10, “Commitments and Contingencies,” to the unaudited Consolidated Financial Statements in this Form 10-Q.</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1A. RISK FACTORS.</w:t>
      </w:r>
    </w:p>
    <w:p>
      <w:pPr>
        <w:spacing w:after="0" w:line="15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7"/>
          <w:szCs w:val="17"/>
          <w:color w:val="auto"/>
        </w:rPr>
        <w:t>There have been no material changes to the risk factors identified in our Annual Report on Form 10-K for the year ended October 31, 2024, in response to Item 1A., “Risk Factors,” of Part I of the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 Repurchases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Effective December 13, 2023, our Board of Directors expanded our existing share repurchase program by an additional $150.0 million. Share repurchases may take place on the open market or otherwise, and all or part of</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3" w:name="page44"/>
    <w:bookmarkEnd w:id="43"/>
    <w:p>
      <w:pPr>
        <w:jc w:val="both"/>
        <w:ind w:right="100"/>
        <w:spacing w:after="0" w:line="265" w:lineRule="auto"/>
        <w:rPr>
          <w:sz w:val="20"/>
          <w:szCs w:val="20"/>
          <w:color w:val="auto"/>
        </w:rPr>
      </w:pPr>
      <w:r>
        <w:rPr>
          <w:rFonts w:ascii="Arial" w:cs="Arial" w:eastAsia="Arial" w:hAnsi="Arial"/>
          <w:sz w:val="17"/>
          <w:szCs w:val="17"/>
          <w:color w:val="auto"/>
        </w:rPr>
        <w:t>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for the months indicated, our purchases of common stock in the third quarter of fiscal year 2025:</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Total Number of Shares</w:t>
            </w:r>
          </w:p>
        </w:tc>
        <w:tc>
          <w:tcPr>
            <w:tcW w:w="200" w:type="dxa"/>
            <w:vAlign w:val="bottom"/>
          </w:tcPr>
          <w:p>
            <w:pPr>
              <w:spacing w:after="0"/>
              <w:rPr>
                <w:sz w:val="14"/>
                <w:szCs w:val="14"/>
                <w:color w:val="auto"/>
              </w:rPr>
            </w:pPr>
          </w:p>
        </w:tc>
        <w:tc>
          <w:tcPr>
            <w:tcW w:w="188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Average Price Paid per</w:t>
            </w:r>
          </w:p>
        </w:tc>
        <w:tc>
          <w:tcPr>
            <w:tcW w:w="1980" w:type="dxa"/>
            <w:vAlign w:val="bottom"/>
          </w:tcPr>
          <w:p>
            <w:pPr>
              <w:jc w:val="right"/>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Approximate Dolla</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9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Purchased as Part of</w:t>
            </w:r>
          </w:p>
        </w:tc>
        <w:tc>
          <w:tcPr>
            <w:tcW w:w="12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of Shares that May</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2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4"/>
                <w:szCs w:val="14"/>
                <w:i w:val="1"/>
                <w:iCs w:val="1"/>
                <w:color w:val="auto"/>
                <w:w w:val="96"/>
              </w:rPr>
              <w:t>(in millions, except per share amounts)</w:t>
            </w:r>
          </w:p>
        </w:tc>
        <w:tc>
          <w:tcPr>
            <w:tcW w:w="2100" w:type="dxa"/>
            <w:vAlign w:val="bottom"/>
            <w:gridSpan w:val="2"/>
          </w:tcPr>
          <w:p>
            <w:pPr>
              <w:jc w:val="right"/>
              <w:ind w:right="120"/>
              <w:spacing w:after="0" w:line="135" w:lineRule="exact"/>
              <w:rPr>
                <w:sz w:val="20"/>
                <w:szCs w:val="20"/>
                <w:color w:val="auto"/>
              </w:rPr>
            </w:pPr>
            <w:r>
              <w:rPr>
                <w:rFonts w:ascii="Arial" w:cs="Arial" w:eastAsia="Arial" w:hAnsi="Arial"/>
                <w:sz w:val="15"/>
                <w:szCs w:val="15"/>
                <w:b w:val="1"/>
                <w:bCs w:val="1"/>
                <w:color w:val="auto"/>
              </w:rPr>
              <w:t>Purchased</w:t>
            </w:r>
          </w:p>
        </w:tc>
        <w:tc>
          <w:tcPr>
            <w:tcW w:w="200" w:type="dxa"/>
            <w:vAlign w:val="bottom"/>
          </w:tcPr>
          <w:p>
            <w:pPr>
              <w:spacing w:after="0"/>
              <w:rPr>
                <w:sz w:val="13"/>
                <w:szCs w:val="13"/>
                <w:color w:val="auto"/>
              </w:rPr>
            </w:pPr>
          </w:p>
        </w:tc>
        <w:tc>
          <w:tcPr>
            <w:tcW w:w="188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color w:val="auto"/>
              </w:rPr>
              <w:t xml:space="preserve">Share </w:t>
            </w:r>
            <w:r>
              <w:rPr>
                <w:rFonts w:ascii="Arial" w:cs="Arial" w:eastAsia="Arial" w:hAnsi="Arial"/>
                <w:sz w:val="15"/>
                <w:szCs w:val="15"/>
                <w:b w:val="1"/>
                <w:bCs w:val="1"/>
                <w:color w:val="auto"/>
                <w:vertAlign w:val="superscript"/>
              </w:rPr>
              <w:t>(1)</w:t>
            </w:r>
          </w:p>
        </w:tc>
        <w:tc>
          <w:tcPr>
            <w:tcW w:w="19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Publicly Announced Plan</w:t>
            </w:r>
          </w:p>
        </w:tc>
        <w:tc>
          <w:tcPr>
            <w:tcW w:w="120" w:type="dxa"/>
            <w:vAlign w:val="bottom"/>
          </w:tcPr>
          <w:p>
            <w:pPr>
              <w:spacing w:after="0"/>
              <w:rPr>
                <w:sz w:val="13"/>
                <w:szCs w:val="13"/>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Purchased Under t</w:t>
            </w:r>
          </w:p>
        </w:tc>
        <w:tc>
          <w:tcPr>
            <w:tcW w:w="0" w:type="dxa"/>
            <w:vAlign w:val="bottom"/>
          </w:tcPr>
          <w:p>
            <w:pPr>
              <w:spacing w:after="0"/>
              <w:rPr>
                <w:sz w:val="1"/>
                <w:szCs w:val="1"/>
                <w:color w:val="auto"/>
              </w:rPr>
            </w:pPr>
          </w:p>
        </w:tc>
      </w:tr>
      <w:tr>
        <w:trPr>
          <w:trHeight w:val="32"/>
        </w:trPr>
        <w:tc>
          <w:tcPr>
            <w:tcW w:w="70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shd w:val="clear" w:color="auto" w:fill="DCE2EF"/>
          </w:tcPr>
          <w:p>
            <w:pPr>
              <w:spacing w:after="0"/>
              <w:rPr>
                <w:sz w:val="16"/>
                <w:szCs w:val="16"/>
                <w:color w:val="auto"/>
              </w:rPr>
            </w:pPr>
          </w:p>
        </w:tc>
        <w:tc>
          <w:tcPr>
            <w:tcW w:w="226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b w:val="1"/>
                <w:bCs w:val="1"/>
                <w:color w:val="auto"/>
              </w:rPr>
              <w:t>Period</w:t>
            </w: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5"/>
                <w:szCs w:val="15"/>
                <w:color w:val="auto"/>
              </w:rPr>
              <w:t>5/1/2025 – 5/31/2025</w:t>
            </w:r>
          </w:p>
        </w:tc>
        <w:tc>
          <w:tcPr>
            <w:tcW w:w="2100" w:type="dxa"/>
            <w:vAlign w:val="bottom"/>
            <w:gridSpan w:val="2"/>
          </w:tcPr>
          <w:p>
            <w:pPr>
              <w:ind w:left="17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00" w:type="dxa"/>
            <w:vAlign w:val="bottom"/>
            <w:shd w:val="clear" w:color="auto" w:fill="DCE2EF"/>
          </w:tcPr>
          <w:p>
            <w:pPr>
              <w:spacing w:after="0"/>
              <w:rPr>
                <w:sz w:val="18"/>
                <w:szCs w:val="18"/>
                <w:color w:val="auto"/>
              </w:rPr>
            </w:pPr>
          </w:p>
        </w:tc>
        <w:tc>
          <w:tcPr>
            <w:tcW w:w="226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6/1/2025– 6/30/2025</w:t>
            </w:r>
          </w:p>
        </w:tc>
        <w:tc>
          <w:tcPr>
            <w:tcW w:w="2100" w:type="dxa"/>
            <w:vAlign w:val="bottom"/>
            <w:gridSpan w:val="2"/>
            <w:shd w:val="clear" w:color="auto" w:fill="DCE2EF"/>
          </w:tcPr>
          <w:p>
            <w:pPr>
              <w:ind w:left="1760"/>
              <w:spacing w:after="0"/>
              <w:rPr>
                <w:sz w:val="20"/>
                <w:szCs w:val="20"/>
                <w:color w:val="auto"/>
              </w:rPr>
            </w:pPr>
            <w:r>
              <w:rPr>
                <w:rFonts w:ascii="Arial" w:cs="Arial" w:eastAsia="Arial" w:hAnsi="Arial"/>
                <w:sz w:val="15"/>
                <w:szCs w:val="15"/>
                <w:color w:val="auto"/>
              </w:rPr>
              <w:t>—</w:t>
            </w: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8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2"/>
            <w:shd w:val="clear" w:color="auto" w:fill="DCE2EF"/>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00" w:type="dxa"/>
            <w:vAlign w:val="bottom"/>
            <w:tcBorders>
              <w:bottom w:val="single" w:sz="8" w:color="DCE2EF"/>
            </w:tcBorders>
          </w:tcPr>
          <w:p>
            <w:pPr>
              <w:spacing w:after="0"/>
              <w:rPr>
                <w:sz w:val="17"/>
                <w:szCs w:val="17"/>
                <w:color w:val="auto"/>
              </w:rPr>
            </w:pPr>
          </w:p>
        </w:tc>
        <w:tc>
          <w:tcPr>
            <w:tcW w:w="2260" w:type="dxa"/>
            <w:vAlign w:val="bottom"/>
            <w:tcBorders>
              <w:bottom w:val="single" w:sz="8" w:color="DCE2EF"/>
            </w:tcBorders>
            <w:gridSpan w:val="2"/>
          </w:tcPr>
          <w:p>
            <w:pPr>
              <w:jc w:val="right"/>
              <w:ind w:right="120"/>
              <w:spacing w:after="0"/>
              <w:rPr>
                <w:sz w:val="20"/>
                <w:szCs w:val="20"/>
                <w:color w:val="auto"/>
              </w:rPr>
            </w:pPr>
            <w:r>
              <w:rPr>
                <w:rFonts w:ascii="Arial" w:cs="Arial" w:eastAsia="Arial" w:hAnsi="Arial"/>
                <w:sz w:val="15"/>
                <w:szCs w:val="15"/>
                <w:color w:val="auto"/>
              </w:rPr>
              <w:t>7/1/2025 – 7/31/2025</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48.77</w:t>
            </w:r>
          </w:p>
        </w:tc>
        <w:tc>
          <w:tcPr>
            <w:tcW w:w="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0.56</w:t>
            </w:r>
          </w:p>
        </w:tc>
        <w:tc>
          <w:tcPr>
            <w:tcW w:w="1600" w:type="dxa"/>
            <w:vAlign w:val="bottom"/>
            <w:tcBorders>
              <w:bottom w:val="single" w:sz="8" w:color="DCE2EF"/>
            </w:tcBorders>
            <w:gridSpan w:val="2"/>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700" w:type="dxa"/>
            <w:vAlign w:val="bottom"/>
            <w:tcBorders>
              <w:bottom w:val="single" w:sz="8" w:color="DCE2EF"/>
            </w:tcBorders>
            <w:shd w:val="clear" w:color="auto" w:fill="DCE2EF"/>
          </w:tcPr>
          <w:p>
            <w:pPr>
              <w:spacing w:after="0"/>
              <w:rPr>
                <w:sz w:val="19"/>
                <w:szCs w:val="19"/>
                <w:color w:val="auto"/>
              </w:rPr>
            </w:pPr>
          </w:p>
        </w:tc>
        <w:tc>
          <w:tcPr>
            <w:tcW w:w="2260" w:type="dxa"/>
            <w:vAlign w:val="bottom"/>
            <w:tcBorders>
              <w:bottom w:val="single" w:sz="8" w:color="DCE2EF"/>
            </w:tcBorders>
            <w:gridSpan w:val="2"/>
            <w:shd w:val="clear" w:color="auto" w:fill="DCE2EF"/>
          </w:tcPr>
          <w:p>
            <w:pPr>
              <w:jc w:val="right"/>
              <w:ind w:right="120"/>
              <w:spacing w:after="0"/>
              <w:rPr>
                <w:sz w:val="20"/>
                <w:szCs w:val="20"/>
                <w:color w:val="auto"/>
              </w:rPr>
            </w:pPr>
            <w:r>
              <w:rPr>
                <w:rFonts w:ascii="Arial" w:cs="Arial" w:eastAsia="Arial" w:hAnsi="Arial"/>
                <w:sz w:val="15"/>
                <w:szCs w:val="15"/>
                <w:b w:val="1"/>
                <w:bCs w:val="1"/>
                <w:color w:val="auto"/>
              </w:rPr>
              <w:t>Total</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0.56</w:t>
            </w:r>
          </w:p>
        </w:tc>
        <w:tc>
          <w:tcPr>
            <w:tcW w:w="100" w:type="dxa"/>
            <w:vAlign w:val="bottom"/>
            <w:tcBorders>
              <w:bottom w:val="single" w:sz="8" w:color="auto"/>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CE2EF"/>
          </w:tcPr>
          <w:p>
            <w:pPr>
              <w:jc w:val="right"/>
              <w:ind w:right="6"/>
              <w:spacing w:after="0"/>
              <w:rPr>
                <w:sz w:val="20"/>
                <w:szCs w:val="20"/>
                <w:color w:val="auto"/>
              </w:rPr>
            </w:pPr>
            <w:r>
              <w:rPr>
                <w:rFonts w:ascii="Arial" w:cs="Arial" w:eastAsia="Arial" w:hAnsi="Arial"/>
                <w:sz w:val="15"/>
                <w:szCs w:val="15"/>
                <w:color w:val="auto"/>
              </w:rPr>
              <w:t>48.77</w:t>
            </w:r>
          </w:p>
        </w:tc>
        <w:tc>
          <w:tcPr>
            <w:tcW w:w="80" w:type="dxa"/>
            <w:vAlign w:val="bottom"/>
            <w:tcBorders>
              <w:bottom w:val="single" w:sz="8" w:color="auto"/>
            </w:tcBorders>
            <w:shd w:val="clear" w:color="auto" w:fill="DCE2EF"/>
          </w:tcPr>
          <w:p>
            <w:pPr>
              <w:spacing w:after="0"/>
              <w:rPr>
                <w:sz w:val="19"/>
                <w:szCs w:val="19"/>
                <w:color w:val="auto"/>
              </w:rPr>
            </w:pPr>
          </w:p>
        </w:tc>
        <w:tc>
          <w:tcPr>
            <w:tcW w:w="1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0.56</w:t>
            </w:r>
          </w:p>
        </w:tc>
        <w:tc>
          <w:tcPr>
            <w:tcW w:w="120" w:type="dxa"/>
            <w:vAlign w:val="bottom"/>
            <w:tcBorders>
              <w:bottom w:val="single" w:sz="8" w:color="DCE2EF"/>
            </w:tcBorders>
            <w:shd w:val="clear" w:color="auto" w:fill="DCE2EF"/>
          </w:tcPr>
          <w:p>
            <w:pPr>
              <w:spacing w:after="0"/>
              <w:rPr>
                <w:sz w:val="19"/>
                <w:szCs w:val="19"/>
                <w:color w:val="auto"/>
              </w:rPr>
            </w:pPr>
          </w:p>
        </w:tc>
        <w:tc>
          <w:tcPr>
            <w:tcW w:w="14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DCE2EF"/>
            </w:tcBorders>
          </w:tcPr>
          <w:p>
            <w:pPr>
              <w:spacing w:after="0" w:line="20" w:lineRule="exact"/>
              <w:rPr>
                <w:sz w:val="1"/>
                <w:szCs w:val="1"/>
                <w:color w:val="auto"/>
              </w:rPr>
            </w:pPr>
          </w:p>
        </w:tc>
        <w:tc>
          <w:tcPr>
            <w:tcW w:w="214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8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bottom w:val="single" w:sz="8" w:color="auto"/>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60" w:right="100" w:hanging="2"/>
        <w:spacing w:after="0" w:line="216"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3. DEFAULTS UPON SENIOR SECURITIES.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MINE SAFETY DISCLOSURES.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Trading Arrangements</w:t>
      </w:r>
    </w:p>
    <w:p>
      <w:pPr>
        <w:spacing w:after="0" w:line="167"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During the three months ended July 31, 2025,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46925" cy="990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6925" cy="990600"/>
                    </a:xfrm>
                    <a:prstGeom prst="rect">
                      <a:avLst/>
                    </a:prstGeom>
                    <a:noFill/>
                  </pic:spPr>
                </pic:pic>
              </a:graphicData>
            </a:graphic>
          </wp:anchor>
        </w:drawing>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Trading Arrangements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Action</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Date of Action</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Rule 10b5-1 Trading</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Aggregate Number</w:t>
            </w:r>
          </w:p>
        </w:tc>
        <w:tc>
          <w:tcPr>
            <w:tcW w:w="1900" w:type="dxa"/>
            <w:vAlign w:val="bottom"/>
            <w:tcBorders>
              <w:top w:val="single" w:sz="8" w:color="auto"/>
            </w:tcBorders>
          </w:tcPr>
          <w:p>
            <w:pPr>
              <w:ind w:left="680"/>
              <w:spacing w:after="0"/>
              <w:rPr>
                <w:sz w:val="20"/>
                <w:szCs w:val="20"/>
                <w:color w:val="auto"/>
              </w:rPr>
            </w:pPr>
            <w:r>
              <w:rPr>
                <w:rFonts w:ascii="Arial" w:cs="Arial" w:eastAsia="Arial" w:hAnsi="Arial"/>
                <w:sz w:val="14"/>
                <w:szCs w:val="14"/>
                <w:color w:val="auto"/>
              </w:rPr>
              <w:t>Duration</w:t>
            </w:r>
          </w:p>
        </w:tc>
      </w:tr>
      <w:tr>
        <w:trPr>
          <w:trHeight w:val="193"/>
        </w:trPr>
        <w:tc>
          <w:tcPr>
            <w:tcW w:w="1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96"/>
              </w:rPr>
              <w:t>Arrangement</w:t>
            </w:r>
            <w:r>
              <w:rPr>
                <w:rFonts w:ascii="Arial" w:cs="Arial" w:eastAsia="Arial" w:hAnsi="Arial"/>
                <w:sz w:val="22"/>
                <w:szCs w:val="22"/>
                <w:color w:val="auto"/>
                <w:w w:val="96"/>
                <w:vertAlign w:val="superscript"/>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Trading</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900" w:type="dxa"/>
            <w:vAlign w:val="bottom"/>
          </w:tcPr>
          <w:p>
            <w:pPr>
              <w:spacing w:after="0"/>
              <w:rPr>
                <w:sz w:val="16"/>
                <w:szCs w:val="16"/>
                <w:color w:val="auto"/>
              </w:rPr>
            </w:pP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Purchased</w:t>
            </w:r>
          </w:p>
        </w:tc>
        <w:tc>
          <w:tcPr>
            <w:tcW w:w="1900" w:type="dxa"/>
            <w:vAlign w:val="bottom"/>
            <w:tcBorders>
              <w:bottom w:val="single" w:sz="8" w:color="auto"/>
            </w:tcBorders>
          </w:tcPr>
          <w:p>
            <w:pPr>
              <w:spacing w:after="0"/>
              <w:rPr>
                <w:sz w:val="16"/>
                <w:szCs w:val="16"/>
                <w:color w:val="auto"/>
              </w:rPr>
            </w:pPr>
          </w:p>
        </w:tc>
      </w:tr>
      <w:tr>
        <w:trPr>
          <w:trHeight w:val="183"/>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Raul Valentin, Executive Vice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July 15, 2025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1,639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0"/>
                <w:szCs w:val="20"/>
                <w:color w:val="auto"/>
              </w:rPr>
            </w:pPr>
            <w:r>
              <w:rPr>
                <w:rFonts w:ascii="Arial" w:cs="Arial" w:eastAsia="Arial" w:hAnsi="Arial"/>
                <w:sz w:val="14"/>
                <w:szCs w:val="14"/>
                <w:color w:val="auto"/>
              </w:rPr>
              <w:t>From October 14, 2025, until</w:t>
            </w:r>
          </w:p>
        </w:tc>
      </w:tr>
      <w:tr>
        <w:trPr>
          <w:trHeight w:val="168"/>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President and Chief Human</w:t>
            </w: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common stock</w:t>
            </w: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the earlier of (i) the date when</w:t>
            </w:r>
          </w:p>
        </w:tc>
      </w:tr>
      <w:tr>
        <w:trPr>
          <w:trHeight w:val="168"/>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Resources Officer</w:t>
            </w: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all the shares under the plan</w:t>
            </w: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are sold and (ii) April 13, 2026</w:t>
            </w:r>
          </w:p>
        </w:tc>
      </w:tr>
    </w:tbl>
    <w:p>
      <w:pPr>
        <w:spacing w:after="0" w:line="283" w:lineRule="exact"/>
        <w:rPr>
          <w:sz w:val="20"/>
          <w:szCs w:val="20"/>
          <w:color w:val="auto"/>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Intended to satisfy the affirmative defense conditions of Rule 10b5-1(c).</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1240" w:type="dxa"/>
            <w:vAlign w:val="bottom"/>
            <w:gridSpan w:val="4"/>
          </w:tcPr>
          <w:p>
            <w:pPr>
              <w:spacing w:after="0"/>
              <w:rPr>
                <w:sz w:val="20"/>
                <w:szCs w:val="20"/>
                <w:color w:val="auto"/>
              </w:rPr>
            </w:pPr>
            <w:r>
              <w:rPr>
                <w:rFonts w:ascii="Arial" w:cs="Arial" w:eastAsia="Arial" w:hAnsi="Arial"/>
                <w:sz w:val="17"/>
                <w:szCs w:val="17"/>
                <w:b w:val="1"/>
                <w:bCs w:val="1"/>
                <w:color w:val="0046AD"/>
              </w:rPr>
              <w:t>ITEM 6. EXHIBITS.</w:t>
            </w:r>
          </w:p>
        </w:tc>
      </w:tr>
      <w:tr>
        <w:trPr>
          <w:trHeight w:val="351"/>
        </w:trPr>
        <w:tc>
          <w:tcPr>
            <w:tcW w:w="11240" w:type="dxa"/>
            <w:vAlign w:val="bottom"/>
            <w:gridSpan w:val="4"/>
          </w:tcPr>
          <w:p>
            <w:pPr>
              <w:ind w:left="620"/>
              <w:spacing w:after="0"/>
              <w:rPr>
                <w:sz w:val="20"/>
                <w:szCs w:val="20"/>
                <w:color w:val="auto"/>
              </w:rPr>
            </w:pPr>
            <w:r>
              <w:rPr>
                <w:rFonts w:ascii="Arial" w:cs="Arial" w:eastAsia="Arial" w:hAnsi="Arial"/>
                <w:sz w:val="17"/>
                <w:szCs w:val="17"/>
                <w:color w:val="auto"/>
              </w:rPr>
              <w:t>(a) Exhibits</w:t>
            </w:r>
          </w:p>
        </w:tc>
      </w:tr>
      <w:tr>
        <w:trPr>
          <w:trHeight w:val="178"/>
        </w:trPr>
        <w:tc>
          <w:tcPr>
            <w:tcW w:w="13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6"/>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b w:val="1"/>
                <w:bCs w:val="1"/>
                <w:color w:val="auto"/>
              </w:rPr>
              <w:t>Exhibit No.</w:t>
            </w:r>
          </w:p>
        </w:tc>
        <w:tc>
          <w:tcPr>
            <w:tcW w:w="9860" w:type="dxa"/>
            <w:vAlign w:val="bottom"/>
            <w:gridSpan w:val="3"/>
            <w:shd w:val="clear" w:color="auto" w:fill="DCE2EF"/>
          </w:tcPr>
          <w:p>
            <w:pPr>
              <w:ind w:left="4220"/>
              <w:spacing w:after="0"/>
              <w:rPr>
                <w:sz w:val="20"/>
                <w:szCs w:val="20"/>
                <w:color w:val="auto"/>
              </w:rPr>
            </w:pPr>
            <w:r>
              <w:rPr>
                <w:rFonts w:ascii="Arial" w:cs="Arial" w:eastAsia="Arial" w:hAnsi="Arial"/>
                <w:sz w:val="15"/>
                <w:szCs w:val="15"/>
                <w:b w:val="1"/>
                <w:bCs w:val="1"/>
                <w:color w:val="auto"/>
              </w:rPr>
              <w:t>Exhibit Description</w:t>
            </w: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31.1†</w:t>
            </w:r>
          </w:p>
        </w:tc>
        <w:tc>
          <w:tcPr>
            <w:tcW w:w="9860" w:type="dxa"/>
            <w:vAlign w:val="bottom"/>
            <w:gridSpan w:val="3"/>
          </w:tcPr>
          <w:p>
            <w:pPr>
              <w:spacing w:after="0" w:line="168" w:lineRule="exact"/>
              <w:rPr>
                <w:sz w:val="20"/>
                <w:szCs w:val="20"/>
                <w:color w:val="auto"/>
              </w:rPr>
            </w:pPr>
            <w:r>
              <w:rPr>
                <w:rFonts w:ascii="Arial" w:cs="Arial" w:eastAsia="Arial" w:hAnsi="Arial"/>
                <w:sz w:val="15"/>
                <w:szCs w:val="15"/>
                <w:color w:val="0000FF"/>
              </w:rPr>
              <w:t>Certification of Principal Executive Officer pursuant to Section 302 of the Sarbanes-Oxley Act of 2002</w:t>
            </w:r>
          </w:p>
        </w:tc>
      </w:tr>
      <w:tr>
        <w:trPr>
          <w:trHeight w:val="44"/>
        </w:trPr>
        <w:tc>
          <w:tcPr>
            <w:tcW w:w="1380" w:type="dxa"/>
            <w:vAlign w:val="bottom"/>
          </w:tcPr>
          <w:p>
            <w:pPr>
              <w:spacing w:after="0"/>
              <w:rPr>
                <w:sz w:val="3"/>
                <w:szCs w:val="3"/>
                <w:color w:val="auto"/>
              </w:rPr>
            </w:pPr>
          </w:p>
        </w:tc>
        <w:tc>
          <w:tcPr>
            <w:tcW w:w="6920" w:type="dxa"/>
            <w:vAlign w:val="bottom"/>
            <w:tcBorders>
              <w:top w:val="single" w:sz="8" w:color="0000FF"/>
            </w:tcBorders>
          </w:tcPr>
          <w:p>
            <w:pPr>
              <w:spacing w:after="0"/>
              <w:rPr>
                <w:sz w:val="3"/>
                <w:szCs w:val="3"/>
                <w:color w:val="auto"/>
              </w:rPr>
            </w:pPr>
          </w:p>
        </w:tc>
        <w:tc>
          <w:tcPr>
            <w:tcW w:w="13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168"/>
        </w:trPr>
        <w:tc>
          <w:tcPr>
            <w:tcW w:w="138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31.2†</w:t>
            </w:r>
          </w:p>
        </w:tc>
        <w:tc>
          <w:tcPr>
            <w:tcW w:w="9860" w:type="dxa"/>
            <w:vAlign w:val="bottom"/>
            <w:gridSpan w:val="3"/>
            <w:shd w:val="clear" w:color="auto" w:fill="DCE2EF"/>
          </w:tcPr>
          <w:p>
            <w:pPr>
              <w:spacing w:after="0" w:line="168" w:lineRule="exact"/>
              <w:rPr>
                <w:sz w:val="20"/>
                <w:szCs w:val="20"/>
                <w:color w:val="auto"/>
              </w:rPr>
            </w:pPr>
            <w:r>
              <w:rPr>
                <w:rFonts w:ascii="Arial" w:cs="Arial" w:eastAsia="Arial" w:hAnsi="Arial"/>
                <w:sz w:val="15"/>
                <w:szCs w:val="15"/>
                <w:color w:val="0000FF"/>
              </w:rPr>
              <w:t>Certification of Principal Financial Officer pursuant to Section 302 of the Sarbanes-Oxley Act of 2002</w:t>
            </w:r>
          </w:p>
        </w:tc>
      </w:tr>
      <w:tr>
        <w:trPr>
          <w:trHeight w:val="39"/>
        </w:trPr>
        <w:tc>
          <w:tcPr>
            <w:tcW w:w="1380" w:type="dxa"/>
            <w:vAlign w:val="bottom"/>
            <w:shd w:val="clear" w:color="auto" w:fill="DCE2EF"/>
          </w:tcPr>
          <w:p>
            <w:pPr>
              <w:spacing w:after="0"/>
              <w:rPr>
                <w:sz w:val="3"/>
                <w:szCs w:val="3"/>
                <w:color w:val="auto"/>
              </w:rPr>
            </w:pPr>
          </w:p>
        </w:tc>
        <w:tc>
          <w:tcPr>
            <w:tcW w:w="6920" w:type="dxa"/>
            <w:vAlign w:val="bottom"/>
            <w:tcBorders>
              <w:right w:val="single" w:sz="8" w:color="DCE2EF"/>
            </w:tcBorders>
            <w:shd w:val="clear" w:color="auto" w:fill="0000FF"/>
          </w:tcPr>
          <w:p>
            <w:pPr>
              <w:spacing w:after="0"/>
              <w:rPr>
                <w:sz w:val="3"/>
                <w:szCs w:val="3"/>
                <w:color w:val="auto"/>
              </w:rPr>
            </w:pPr>
          </w:p>
        </w:tc>
        <w:tc>
          <w:tcPr>
            <w:tcW w:w="1300" w:type="dxa"/>
            <w:vAlign w:val="bottom"/>
            <w:shd w:val="clear" w:color="auto" w:fill="DCE2EF"/>
          </w:tcPr>
          <w:p>
            <w:pPr>
              <w:spacing w:after="0"/>
              <w:rPr>
                <w:sz w:val="3"/>
                <w:szCs w:val="3"/>
                <w:color w:val="auto"/>
              </w:rPr>
            </w:pPr>
          </w:p>
        </w:tc>
        <w:tc>
          <w:tcPr>
            <w:tcW w:w="1640" w:type="dxa"/>
            <w:vAlign w:val="bottom"/>
            <w:shd w:val="clear" w:color="auto" w:fill="DCE2EF"/>
          </w:tcPr>
          <w:p>
            <w:pPr>
              <w:spacing w:after="0"/>
              <w:rPr>
                <w:sz w:val="3"/>
                <w:szCs w:val="3"/>
                <w:color w:val="auto"/>
              </w:rPr>
            </w:pP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32‡</w:t>
            </w:r>
          </w:p>
        </w:tc>
        <w:tc>
          <w:tcPr>
            <w:tcW w:w="9860" w:type="dxa"/>
            <w:vAlign w:val="bottom"/>
            <w:gridSpan w:val="3"/>
          </w:tcPr>
          <w:p>
            <w:pPr>
              <w:spacing w:after="0" w:line="168" w:lineRule="exact"/>
              <w:rPr>
                <w:sz w:val="20"/>
                <w:szCs w:val="20"/>
                <w:color w:val="auto"/>
              </w:rPr>
            </w:pPr>
            <w:r>
              <w:rPr>
                <w:rFonts w:ascii="Arial" w:cs="Arial" w:eastAsia="Arial" w:hAnsi="Arial"/>
                <w:sz w:val="15"/>
                <w:szCs w:val="15"/>
                <w:color w:val="0000FF"/>
              </w:rPr>
              <w:t>Certification pursuant to 18 U.S.C. Section 1350, as adopted pursuant to Section 906 of the Sarbanes-Oxley Act of 2002</w:t>
            </w:r>
          </w:p>
        </w:tc>
      </w:tr>
      <w:tr>
        <w:trPr>
          <w:trHeight w:val="29"/>
        </w:trPr>
        <w:tc>
          <w:tcPr>
            <w:tcW w:w="1380" w:type="dxa"/>
            <w:vAlign w:val="bottom"/>
          </w:tcPr>
          <w:p>
            <w:pPr>
              <w:spacing w:after="0"/>
              <w:rPr>
                <w:sz w:val="2"/>
                <w:szCs w:val="2"/>
                <w:color w:val="auto"/>
              </w:rPr>
            </w:pPr>
          </w:p>
        </w:tc>
        <w:tc>
          <w:tcPr>
            <w:tcW w:w="6920" w:type="dxa"/>
            <w:vAlign w:val="bottom"/>
            <w:tcBorders>
              <w:right w:val="single" w:sz="8" w:color="0000FF"/>
            </w:tcBorders>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640" w:type="dxa"/>
            <w:vAlign w:val="bottom"/>
          </w:tcPr>
          <w:p>
            <w:pPr>
              <w:spacing w:after="0"/>
              <w:rPr>
                <w:sz w:val="2"/>
                <w:szCs w:val="2"/>
                <w:color w:val="auto"/>
              </w:rPr>
            </w:pPr>
          </w:p>
        </w:tc>
      </w:tr>
      <w:tr>
        <w:trPr>
          <w:trHeight w:val="165"/>
        </w:trPr>
        <w:tc>
          <w:tcPr>
            <w:tcW w:w="1380" w:type="dxa"/>
            <w:vAlign w:val="bottom"/>
            <w:shd w:val="clear" w:color="auto" w:fill="DCE2EF"/>
          </w:tcPr>
          <w:p>
            <w:pPr>
              <w:ind w:left="20"/>
              <w:spacing w:after="0" w:line="165" w:lineRule="exact"/>
              <w:rPr>
                <w:sz w:val="20"/>
                <w:szCs w:val="20"/>
                <w:color w:val="auto"/>
              </w:rPr>
            </w:pPr>
            <w:r>
              <w:rPr>
                <w:rFonts w:ascii="Arial" w:cs="Arial" w:eastAsia="Arial" w:hAnsi="Arial"/>
                <w:sz w:val="15"/>
                <w:szCs w:val="15"/>
                <w:color w:val="auto"/>
              </w:rPr>
              <w:t>101.INS†</w:t>
            </w:r>
          </w:p>
        </w:tc>
        <w:tc>
          <w:tcPr>
            <w:tcW w:w="9860" w:type="dxa"/>
            <w:vAlign w:val="bottom"/>
            <w:gridSpan w:val="3"/>
            <w:shd w:val="clear" w:color="auto" w:fill="DCE2EF"/>
          </w:tcPr>
          <w:p>
            <w:pPr>
              <w:spacing w:after="0" w:line="165" w:lineRule="exact"/>
              <w:rPr>
                <w:sz w:val="20"/>
                <w:szCs w:val="20"/>
                <w:color w:val="auto"/>
              </w:rPr>
            </w:pPr>
            <w:r>
              <w:rPr>
                <w:rFonts w:ascii="Arial" w:cs="Arial" w:eastAsia="Arial" w:hAnsi="Arial"/>
                <w:sz w:val="15"/>
                <w:szCs w:val="15"/>
                <w:color w:val="auto"/>
              </w:rPr>
              <w:t>Inline XBRL Instance Document (the instance document does not appear in the Interactive Data File because its XBRL tags are embedded</w:t>
            </w:r>
          </w:p>
        </w:tc>
      </w:tr>
      <w:tr>
        <w:trPr>
          <w:trHeight w:val="206"/>
        </w:trPr>
        <w:tc>
          <w:tcPr>
            <w:tcW w:w="1380" w:type="dxa"/>
            <w:vAlign w:val="bottom"/>
            <w:shd w:val="clear" w:color="auto" w:fill="DCE2EF"/>
          </w:tcPr>
          <w:p>
            <w:pPr>
              <w:spacing w:after="0"/>
              <w:rPr>
                <w:sz w:val="17"/>
                <w:szCs w:val="17"/>
                <w:color w:val="auto"/>
              </w:rPr>
            </w:pPr>
          </w:p>
        </w:tc>
        <w:tc>
          <w:tcPr>
            <w:tcW w:w="9860" w:type="dxa"/>
            <w:vAlign w:val="bottom"/>
            <w:gridSpan w:val="3"/>
            <w:shd w:val="clear" w:color="auto" w:fill="DCE2EF"/>
          </w:tcPr>
          <w:p>
            <w:pPr>
              <w:spacing w:after="0"/>
              <w:rPr>
                <w:sz w:val="20"/>
                <w:szCs w:val="20"/>
                <w:color w:val="auto"/>
              </w:rPr>
            </w:pPr>
            <w:r>
              <w:rPr>
                <w:rFonts w:ascii="Arial" w:cs="Arial" w:eastAsia="Arial" w:hAnsi="Arial"/>
                <w:sz w:val="15"/>
                <w:szCs w:val="15"/>
                <w:color w:val="auto"/>
              </w:rPr>
              <w:t>within the Inline XBRL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101.SCH†</w:t>
            </w:r>
          </w:p>
        </w:tc>
        <w:tc>
          <w:tcPr>
            <w:tcW w:w="9860" w:type="dxa"/>
            <w:vAlign w:val="bottom"/>
            <w:gridSpan w:val="3"/>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101.CAL†</w:t>
            </w:r>
          </w:p>
        </w:tc>
        <w:tc>
          <w:tcPr>
            <w:tcW w:w="9860" w:type="dxa"/>
            <w:vAlign w:val="bottom"/>
            <w:gridSpan w:val="3"/>
            <w:shd w:val="clear" w:color="auto" w:fill="DCE2EF"/>
          </w:tcPr>
          <w:p>
            <w:pPr>
              <w:spacing w:after="0"/>
              <w:rPr>
                <w:sz w:val="20"/>
                <w:szCs w:val="20"/>
                <w:color w:val="auto"/>
              </w:rPr>
            </w:pPr>
            <w:r>
              <w:rPr>
                <w:rFonts w:ascii="Arial" w:cs="Arial" w:eastAsia="Arial" w:hAnsi="Arial"/>
                <w:sz w:val="15"/>
                <w:szCs w:val="15"/>
                <w:color w:val="auto"/>
              </w:rPr>
              <w:t>Inline XBRL Taxonomy Calculation Linkbase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101.DEF†</w:t>
            </w:r>
          </w:p>
        </w:tc>
        <w:tc>
          <w:tcPr>
            <w:tcW w:w="9860" w:type="dxa"/>
            <w:vAlign w:val="bottom"/>
            <w:gridSpan w:val="3"/>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101.LAB†</w:t>
            </w:r>
          </w:p>
        </w:tc>
        <w:tc>
          <w:tcPr>
            <w:tcW w:w="9860" w:type="dxa"/>
            <w:vAlign w:val="bottom"/>
            <w:gridSpan w:val="3"/>
            <w:shd w:val="clear" w:color="auto" w:fill="DCE2EF"/>
          </w:tcPr>
          <w:p>
            <w:pPr>
              <w:spacing w:after="0"/>
              <w:rPr>
                <w:sz w:val="20"/>
                <w:szCs w:val="20"/>
                <w:color w:val="auto"/>
              </w:rPr>
            </w:pPr>
            <w:r>
              <w:rPr>
                <w:rFonts w:ascii="Arial" w:cs="Arial" w:eastAsia="Arial" w:hAnsi="Arial"/>
                <w:sz w:val="15"/>
                <w:szCs w:val="15"/>
                <w:color w:val="auto"/>
              </w:rPr>
              <w:t>Inline XBRL Taxonomy Label Linkbase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101.PRE†</w:t>
            </w:r>
          </w:p>
        </w:tc>
        <w:tc>
          <w:tcPr>
            <w:tcW w:w="9860" w:type="dxa"/>
            <w:vAlign w:val="bottom"/>
            <w:gridSpan w:val="3"/>
          </w:tcPr>
          <w:p>
            <w:pPr>
              <w:spacing w:after="0"/>
              <w:rPr>
                <w:sz w:val="20"/>
                <w:szCs w:val="20"/>
                <w:color w:val="auto"/>
              </w:rPr>
            </w:pPr>
            <w:r>
              <w:rPr>
                <w:rFonts w:ascii="Arial" w:cs="Arial" w:eastAsia="Arial" w:hAnsi="Arial"/>
                <w:sz w:val="15"/>
                <w:szCs w:val="15"/>
                <w:color w:val="auto"/>
              </w:rPr>
              <w:t>Inline XBRL Presentation Linkbase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104†</w:t>
            </w:r>
          </w:p>
        </w:tc>
        <w:tc>
          <w:tcPr>
            <w:tcW w:w="9860" w:type="dxa"/>
            <w:vAlign w:val="bottom"/>
            <w:gridSpan w:val="3"/>
            <w:shd w:val="clear" w:color="auto" w:fill="DCE2EF"/>
          </w:tcPr>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r>
    </w:tbl>
    <w:p>
      <w:pPr>
        <w:spacing w:after="0" w:line="271" w:lineRule="exact"/>
        <w:rPr>
          <w:sz w:val="20"/>
          <w:szCs w:val="20"/>
          <w:color w:val="auto"/>
        </w:rPr>
      </w:pPr>
    </w:p>
    <w:p>
      <w:pPr>
        <w:ind w:left="720" w:hanging="648"/>
        <w:spacing w:after="0"/>
        <w:tabs>
          <w:tab w:leader="none" w:pos="7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contract, or arrangement.</w:t>
      </w:r>
    </w:p>
    <w:p>
      <w:pPr>
        <w:spacing w:after="0" w:line="47" w:lineRule="exact"/>
        <w:rPr>
          <w:sz w:val="20"/>
          <w:szCs w:val="20"/>
          <w:color w:val="auto"/>
        </w:rPr>
      </w:pPr>
    </w:p>
    <w:p>
      <w:pPr>
        <w:ind w:left="720" w:hanging="648"/>
        <w:spacing w:after="0"/>
        <w:tabs>
          <w:tab w:leader="none" w:pos="7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Indicates filed herewith.</w:t>
      </w:r>
    </w:p>
    <w:p>
      <w:pPr>
        <w:spacing w:after="0" w:line="85" w:lineRule="exact"/>
        <w:rPr>
          <w:sz w:val="20"/>
          <w:szCs w:val="20"/>
          <w:color w:val="auto"/>
        </w:rPr>
      </w:pPr>
    </w:p>
    <w:p>
      <w:pPr>
        <w:ind w:left="720" w:hanging="648"/>
        <w:spacing w:after="0"/>
        <w:tabs>
          <w:tab w:leader="none" w:pos="7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ABM Industries Incorporated</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5"/>
          <w:szCs w:val="15"/>
          <w:u w:val="single" w:color="auto"/>
          <w:color w:val="auto"/>
        </w:rPr>
        <w:t>September 5, 2025</w:t>
      </w:r>
      <w:r>
        <w:rPr>
          <w:sz w:val="20"/>
          <w:szCs w:val="20"/>
          <w:color w:val="auto"/>
        </w:rPr>
        <w:tab/>
      </w:r>
      <w:r>
        <w:rPr>
          <w:rFonts w:ascii="Arial" w:cs="Arial" w:eastAsia="Arial" w:hAnsi="Arial"/>
          <w:sz w:val="15"/>
          <w:szCs w:val="15"/>
          <w:u w:val="single" w:color="auto"/>
          <w:color w:val="auto"/>
        </w:rPr>
        <w:t>/s/ David M. Orr</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David M. Orr</w:t>
      </w:r>
    </w:p>
    <w:p>
      <w:pPr>
        <w:ind w:left="6440"/>
        <w:spacing w:after="0" w:line="215" w:lineRule="auto"/>
        <w:rPr>
          <w:sz w:val="20"/>
          <w:szCs w:val="20"/>
          <w:color w:val="auto"/>
        </w:rPr>
      </w:pPr>
      <w:r>
        <w:rPr>
          <w:rFonts w:ascii="Arial" w:cs="Arial" w:eastAsia="Arial" w:hAnsi="Arial"/>
          <w:sz w:val="15"/>
          <w:szCs w:val="15"/>
          <w:color w:val="auto"/>
        </w:rPr>
        <w:t>Executive Vice President and Chief Financial Officer</w:t>
      </w:r>
    </w:p>
    <w:p>
      <w:pPr>
        <w:ind w:left="644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5"/>
          <w:szCs w:val="15"/>
          <w:u w:val="single" w:color="auto"/>
          <w:color w:val="auto"/>
        </w:rPr>
        <w:t>September 5, 2025</w:t>
      </w:r>
      <w:r>
        <w:rPr>
          <w:sz w:val="20"/>
          <w:szCs w:val="20"/>
          <w:color w:val="auto"/>
        </w:rPr>
        <w:tab/>
      </w:r>
      <w:r>
        <w:rPr>
          <w:rFonts w:ascii="Arial" w:cs="Arial" w:eastAsia="Arial" w:hAnsi="Arial"/>
          <w:sz w:val="15"/>
          <w:szCs w:val="15"/>
          <w:u w:val="single" w:color="auto"/>
          <w:color w:val="auto"/>
        </w:rPr>
        <w:t>/s/ Dean A. Chin</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Dean A. Chin</w:t>
      </w:r>
    </w:p>
    <w:p>
      <w:pPr>
        <w:ind w:left="6440"/>
        <w:spacing w:after="0" w:line="215" w:lineRule="auto"/>
        <w:rPr>
          <w:sz w:val="20"/>
          <w:szCs w:val="20"/>
          <w:color w:val="auto"/>
        </w:rPr>
      </w:pPr>
      <w:r>
        <w:rPr>
          <w:rFonts w:ascii="Arial" w:cs="Arial" w:eastAsia="Arial" w:hAnsi="Arial"/>
          <w:sz w:val="15"/>
          <w:szCs w:val="15"/>
          <w:color w:val="auto"/>
        </w:rPr>
        <w:t>Senior Vice President, Chief Accounting Officer, Corporate Controller</w:t>
      </w:r>
    </w:p>
    <w:p>
      <w:pPr>
        <w:ind w:left="6440"/>
        <w:spacing w:after="0" w:line="215" w:lineRule="auto"/>
        <w:rPr>
          <w:sz w:val="20"/>
          <w:szCs w:val="20"/>
          <w:color w:val="auto"/>
        </w:rPr>
      </w:pPr>
      <w:r>
        <w:rPr>
          <w:rFonts w:ascii="Arial" w:cs="Arial" w:eastAsia="Arial" w:hAnsi="Arial"/>
          <w:sz w:val="15"/>
          <w:szCs w:val="15"/>
          <w:color w:val="auto"/>
        </w:rPr>
        <w:t>and Treasurer</w:t>
      </w:r>
    </w:p>
    <w:p>
      <w:pPr>
        <w:ind w:left="6440"/>
        <w:spacing w:after="0"/>
        <w:rPr>
          <w:sz w:val="20"/>
          <w:szCs w:val="20"/>
          <w:color w:val="auto"/>
        </w:rPr>
      </w:pPr>
      <w:r>
        <w:rPr>
          <w:rFonts w:ascii="Arial" w:cs="Arial" w:eastAsia="Arial" w:hAnsi="Arial"/>
          <w:sz w:val="15"/>
          <w:szCs w:val="15"/>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04"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EXHIBIT 31.1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jc w:val="center"/>
        <w:spacing w:after="0" w:line="221" w:lineRule="auto"/>
        <w:rPr>
          <w:sz w:val="20"/>
          <w:szCs w:val="20"/>
          <w:color w:val="auto"/>
        </w:rPr>
      </w:pPr>
      <w:r>
        <w:rPr>
          <w:rFonts w:ascii="Arial" w:cs="Arial" w:eastAsia="Arial" w:hAnsi="Arial"/>
          <w:sz w:val="17"/>
          <w:szCs w:val="17"/>
          <w:b w:val="1"/>
          <w:bCs w:val="1"/>
          <w:color w:val="auto"/>
        </w:rPr>
        <w:t>PURSUANT TO SECURITIES EXCHANGE ACT OF 1934</w:t>
      </w: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 Scott Salmirs, certify that:</w:t>
      </w:r>
    </w:p>
    <w:p>
      <w:pPr>
        <w:spacing w:after="0" w:line="178" w:lineRule="exact"/>
        <w:rPr>
          <w:sz w:val="20"/>
          <w:szCs w:val="20"/>
          <w:color w:val="auto"/>
        </w:rPr>
      </w:pPr>
    </w:p>
    <w:p>
      <w:pPr>
        <w:ind w:left="320" w:hanging="317"/>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ABM Industries Incorporated;</w:t>
      </w:r>
    </w:p>
    <w:p>
      <w:pPr>
        <w:spacing w:after="0" w:line="191" w:lineRule="exact"/>
        <w:rPr>
          <w:rFonts w:ascii="Arial" w:cs="Arial" w:eastAsia="Arial" w:hAnsi="Arial"/>
          <w:sz w:val="17"/>
          <w:szCs w:val="17"/>
          <w:color w:val="auto"/>
        </w:rPr>
      </w:pPr>
    </w:p>
    <w:p>
      <w:pPr>
        <w:jc w:val="both"/>
        <w:ind w:left="320" w:hanging="317"/>
        <w:spacing w:after="0" w:line="229" w:lineRule="auto"/>
        <w:tabs>
          <w:tab w:leader="none" w:pos="33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320" w:hanging="317"/>
        <w:spacing w:after="0" w:line="242" w:lineRule="auto"/>
        <w:tabs>
          <w:tab w:leader="none" w:pos="3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320" w:hanging="317"/>
        <w:spacing w:after="0" w:line="223" w:lineRule="auto"/>
        <w:tabs>
          <w:tab w:leader="none" w:pos="33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2" w:lineRule="exact"/>
        <w:rPr>
          <w:rFonts w:ascii="Arial" w:cs="Arial" w:eastAsia="Arial" w:hAnsi="Arial"/>
          <w:sz w:val="17"/>
          <w:szCs w:val="17"/>
          <w:color w:val="auto"/>
        </w:rPr>
      </w:pPr>
    </w:p>
    <w:p>
      <w:pPr>
        <w:jc w:val="both"/>
        <w:ind w:left="620" w:hanging="307"/>
        <w:spacing w:after="0" w:line="234" w:lineRule="auto"/>
        <w:tabs>
          <w:tab w:leader="none" w:pos="7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jc w:val="both"/>
        <w:ind w:left="620" w:hanging="307"/>
        <w:spacing w:after="0" w:line="234" w:lineRule="auto"/>
        <w:tabs>
          <w:tab w:leader="none" w:pos="687"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620" w:hanging="307"/>
        <w:spacing w:after="0" w:line="258" w:lineRule="auto"/>
        <w:tabs>
          <w:tab w:leader="none" w:pos="677"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7"/>
          <w:szCs w:val="17"/>
          <w:color w:val="auto"/>
        </w:rPr>
      </w:pPr>
    </w:p>
    <w:p>
      <w:pPr>
        <w:jc w:val="both"/>
        <w:ind w:left="620" w:hanging="307"/>
        <w:spacing w:after="0" w:line="234" w:lineRule="auto"/>
        <w:tabs>
          <w:tab w:leader="none" w:pos="712"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320" w:hanging="317"/>
        <w:spacing w:after="0" w:line="242" w:lineRule="auto"/>
        <w:tabs>
          <w:tab w:leader="none" w:pos="3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620" w:hanging="307"/>
        <w:spacing w:after="0" w:line="242" w:lineRule="auto"/>
        <w:tabs>
          <w:tab w:leader="none" w:pos="764"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20" w:hanging="307"/>
        <w:spacing w:after="0" w:line="258" w:lineRule="auto"/>
        <w:tabs>
          <w:tab w:leader="none" w:pos="687"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September 5, 2025</w:t>
      </w:r>
    </w:p>
    <w:p>
      <w:pPr>
        <w:ind w:left="4020"/>
        <w:spacing w:after="0" w:line="221" w:lineRule="auto"/>
        <w:rPr>
          <w:sz w:val="20"/>
          <w:szCs w:val="20"/>
          <w:color w:val="auto"/>
        </w:rPr>
      </w:pPr>
      <w:r>
        <w:rPr>
          <w:rFonts w:ascii="Arial" w:cs="Arial" w:eastAsia="Arial" w:hAnsi="Arial"/>
          <w:sz w:val="17"/>
          <w:szCs w:val="17"/>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-113030</wp:posOffset>
            </wp:positionV>
            <wp:extent cx="727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6" w:lineRule="auto"/>
        <w:rPr>
          <w:sz w:val="20"/>
          <w:szCs w:val="20"/>
          <w:color w:val="auto"/>
        </w:rPr>
      </w:pPr>
      <w:r>
        <w:rPr>
          <w:rFonts w:ascii="Arial" w:cs="Arial" w:eastAsia="Arial" w:hAnsi="Arial"/>
          <w:sz w:val="17"/>
          <w:szCs w:val="17"/>
          <w:color w:val="auto"/>
        </w:rPr>
        <w:t>Chief Executive Officer</w:t>
      </w:r>
    </w:p>
    <w:p>
      <w:pPr>
        <w:ind w:left="40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1"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EXHIBIT 31.2</w:t>
      </w:r>
    </w:p>
    <w:p>
      <w:pPr>
        <w:jc w:val="center"/>
        <w:spacing w:after="0" w:line="205" w:lineRule="auto"/>
        <w:rPr>
          <w:sz w:val="20"/>
          <w:szCs w:val="20"/>
          <w:color w:val="auto"/>
        </w:rPr>
      </w:pPr>
      <w:r>
        <w:rPr>
          <w:rFonts w:ascii="Arial" w:cs="Arial" w:eastAsia="Arial" w:hAnsi="Arial"/>
          <w:sz w:val="17"/>
          <w:szCs w:val="17"/>
          <w:b w:val="1"/>
          <w:bCs w:val="1"/>
          <w:color w:val="auto"/>
        </w:rPr>
        <w:t>CERTIFICATION OF CHIEF FINANCIAL OFFICER</w:t>
      </w:r>
    </w:p>
    <w:p>
      <w:pPr>
        <w:jc w:val="center"/>
        <w:spacing w:after="0" w:line="222" w:lineRule="auto"/>
        <w:rPr>
          <w:sz w:val="20"/>
          <w:szCs w:val="20"/>
          <w:color w:val="auto"/>
        </w:rPr>
      </w:pPr>
      <w:r>
        <w:rPr>
          <w:rFonts w:ascii="Arial" w:cs="Arial" w:eastAsia="Arial" w:hAnsi="Arial"/>
          <w:sz w:val="17"/>
          <w:szCs w:val="17"/>
          <w:b w:val="1"/>
          <w:bCs w:val="1"/>
          <w:color w:val="auto"/>
        </w:rPr>
        <w:t>PURSUANT TO SECURITIES EXCHANGE ACT OF 1934</w:t>
      </w: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 David M. Orr, certify that:</w:t>
      </w:r>
    </w:p>
    <w:p>
      <w:pPr>
        <w:spacing w:after="0" w:line="178"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ABM Industries Incorporated;</w:t>
      </w:r>
    </w:p>
    <w:p>
      <w:pPr>
        <w:spacing w:after="0" w:line="191" w:lineRule="exact"/>
        <w:rPr>
          <w:rFonts w:ascii="Arial" w:cs="Arial" w:eastAsia="Arial" w:hAnsi="Arial"/>
          <w:sz w:val="17"/>
          <w:szCs w:val="17"/>
          <w:color w:val="auto"/>
        </w:rPr>
      </w:pPr>
    </w:p>
    <w:p>
      <w:pPr>
        <w:jc w:val="both"/>
        <w:ind w:left="320" w:hanging="317"/>
        <w:spacing w:after="0" w:line="229" w:lineRule="auto"/>
        <w:tabs>
          <w:tab w:leader="none" w:pos="33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320" w:hanging="317"/>
        <w:spacing w:after="0" w:line="242" w:lineRule="auto"/>
        <w:tabs>
          <w:tab w:leader="none" w:pos="36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320" w:hanging="317"/>
        <w:spacing w:after="0" w:line="223" w:lineRule="auto"/>
        <w:tabs>
          <w:tab w:leader="none" w:pos="33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2" w:lineRule="exact"/>
        <w:rPr>
          <w:rFonts w:ascii="Arial" w:cs="Arial" w:eastAsia="Arial" w:hAnsi="Arial"/>
          <w:sz w:val="17"/>
          <w:szCs w:val="17"/>
          <w:color w:val="auto"/>
        </w:rPr>
      </w:pPr>
    </w:p>
    <w:p>
      <w:pPr>
        <w:jc w:val="both"/>
        <w:ind w:left="620" w:hanging="307"/>
        <w:spacing w:after="0" w:line="234" w:lineRule="auto"/>
        <w:tabs>
          <w:tab w:leader="none" w:pos="7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jc w:val="both"/>
        <w:ind w:left="620" w:hanging="307"/>
        <w:spacing w:after="0" w:line="234" w:lineRule="auto"/>
        <w:tabs>
          <w:tab w:leader="none" w:pos="6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620" w:hanging="307"/>
        <w:spacing w:after="0" w:line="242" w:lineRule="auto"/>
        <w:tabs>
          <w:tab w:leader="none" w:pos="677"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7"/>
          <w:szCs w:val="17"/>
          <w:color w:val="auto"/>
        </w:rPr>
      </w:pPr>
    </w:p>
    <w:p>
      <w:pPr>
        <w:jc w:val="both"/>
        <w:ind w:left="620" w:hanging="307"/>
        <w:spacing w:after="0" w:line="229" w:lineRule="auto"/>
        <w:tabs>
          <w:tab w:leader="none" w:pos="712"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7"/>
          <w:szCs w:val="17"/>
          <w:color w:val="auto"/>
        </w:rPr>
      </w:pPr>
    </w:p>
    <w:p>
      <w:pPr>
        <w:ind w:left="320" w:hanging="317"/>
        <w:spacing w:after="0" w:line="242" w:lineRule="auto"/>
        <w:tabs>
          <w:tab w:leader="none" w:pos="35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20" w:hanging="307"/>
        <w:spacing w:after="0" w:line="258" w:lineRule="auto"/>
        <w:tabs>
          <w:tab w:leader="none" w:pos="764"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7"/>
          <w:szCs w:val="17"/>
          <w:color w:val="auto"/>
        </w:rPr>
      </w:pPr>
    </w:p>
    <w:p>
      <w:pPr>
        <w:ind w:left="620" w:hanging="307"/>
        <w:spacing w:after="0" w:line="242" w:lineRule="auto"/>
        <w:tabs>
          <w:tab w:leader="none" w:pos="6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September 5, 2025</w:t>
      </w:r>
    </w:p>
    <w:p>
      <w:pPr>
        <w:ind w:left="4020"/>
        <w:spacing w:after="0" w:line="205" w:lineRule="auto"/>
        <w:rPr>
          <w:sz w:val="20"/>
          <w:szCs w:val="20"/>
          <w:color w:val="auto"/>
        </w:rPr>
      </w:pPr>
      <w:r>
        <w:rPr>
          <w:rFonts w:ascii="Arial" w:cs="Arial" w:eastAsia="Arial" w:hAnsi="Arial"/>
          <w:sz w:val="17"/>
          <w:szCs w:val="17"/>
          <w:color w:val="auto"/>
        </w:rPr>
        <w:t>David M.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-104775</wp:posOffset>
            </wp:positionV>
            <wp:extent cx="727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22" w:lineRule="auto"/>
        <w:rPr>
          <w:sz w:val="20"/>
          <w:szCs w:val="20"/>
          <w:color w:val="auto"/>
        </w:rPr>
      </w:pPr>
      <w:r>
        <w:rPr>
          <w:rFonts w:ascii="Arial" w:cs="Arial" w:eastAsia="Arial" w:hAnsi="Arial"/>
          <w:sz w:val="17"/>
          <w:szCs w:val="17"/>
          <w:color w:val="auto"/>
        </w:rPr>
        <w:t>Chief Financial Officer</w:t>
      </w:r>
    </w:p>
    <w:p>
      <w:pPr>
        <w:ind w:left="40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7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jc w:val="center"/>
        <w:spacing w:after="0" w:line="221" w:lineRule="auto"/>
        <w:rPr>
          <w:sz w:val="20"/>
          <w:szCs w:val="20"/>
          <w:color w:val="auto"/>
        </w:rPr>
      </w:pPr>
      <w:r>
        <w:rPr>
          <w:rFonts w:ascii="Arial" w:cs="Arial" w:eastAsia="Arial" w:hAnsi="Arial"/>
          <w:sz w:val="17"/>
          <w:szCs w:val="17"/>
          <w:b w:val="1"/>
          <w:bCs w:val="1"/>
          <w:color w:val="auto"/>
        </w:rPr>
        <w:t>RULE 13a-14(b) OR 15d-14(b) AND</w:t>
      </w:r>
    </w:p>
    <w:p>
      <w:pPr>
        <w:jc w:val="center"/>
        <w:spacing w:after="0" w:line="206" w:lineRule="auto"/>
        <w:rPr>
          <w:sz w:val="20"/>
          <w:szCs w:val="20"/>
          <w:color w:val="auto"/>
        </w:rPr>
      </w:pPr>
      <w:r>
        <w:rPr>
          <w:rFonts w:ascii="Arial" w:cs="Arial" w:eastAsia="Arial" w:hAnsi="Arial"/>
          <w:sz w:val="17"/>
          <w:szCs w:val="17"/>
          <w:b w:val="1"/>
          <w:bCs w:val="1"/>
          <w:color w:val="auto"/>
        </w:rPr>
        <w:t>18 U.S.C. SECTION 1350,</w:t>
      </w:r>
    </w:p>
    <w:p>
      <w:pPr>
        <w:jc w:val="center"/>
        <w:spacing w:after="0" w:line="206"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In connection with the Quarterly Report of ABM Industries Incorporated (the “Company”) for the quarter ended July 31, 2025, as filed with the Securities and Exchange Commission on the date hereof (the “Report”), Scott Salmirs, Chief Executive Officer of the Company, and David M. Orr, Chief Financial Officer of the Company, each certifies for the purpose of complying with Rule 13a-14(b) or Rule 15d-14(b) of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Exchange Act of 1934, as amended (the “Exchange Act”), and Section 1350 of Chapter 63 of Title 18 of the United States Code, that:</w:t>
      </w:r>
    </w:p>
    <w:p>
      <w:pPr>
        <w:spacing w:after="0" w:line="111" w:lineRule="exact"/>
        <w:rPr>
          <w:sz w:val="20"/>
          <w:szCs w:val="20"/>
          <w:color w:val="auto"/>
        </w:rPr>
      </w:pPr>
    </w:p>
    <w:p>
      <w:pPr>
        <w:ind w:left="1000" w:hanging="378"/>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26" w:lineRule="exact"/>
        <w:rPr>
          <w:rFonts w:ascii="Arial" w:cs="Arial" w:eastAsia="Arial" w:hAnsi="Arial"/>
          <w:sz w:val="17"/>
          <w:szCs w:val="17"/>
          <w:color w:val="auto"/>
        </w:rPr>
      </w:pPr>
    </w:p>
    <w:p>
      <w:pPr>
        <w:ind w:left="1240" w:hanging="618"/>
        <w:spacing w:after="0" w:line="258" w:lineRule="auto"/>
        <w:tabs>
          <w:tab w:leader="none" w:pos="10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September 5, 2025</w:t>
      </w:r>
    </w:p>
    <w:p>
      <w:pPr>
        <w:ind w:left="4020"/>
        <w:spacing w:after="0" w:line="221" w:lineRule="auto"/>
        <w:rPr>
          <w:sz w:val="20"/>
          <w:szCs w:val="20"/>
          <w:color w:val="auto"/>
        </w:rPr>
      </w:pPr>
      <w:r>
        <w:rPr>
          <w:rFonts w:ascii="Arial" w:cs="Arial" w:eastAsia="Arial" w:hAnsi="Arial"/>
          <w:sz w:val="17"/>
          <w:szCs w:val="17"/>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-113030</wp:posOffset>
            </wp:positionV>
            <wp:extent cx="727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6" w:lineRule="auto"/>
        <w:rPr>
          <w:sz w:val="20"/>
          <w:szCs w:val="20"/>
          <w:color w:val="auto"/>
        </w:rPr>
      </w:pPr>
      <w:r>
        <w:rPr>
          <w:rFonts w:ascii="Arial" w:cs="Arial" w:eastAsia="Arial" w:hAnsi="Arial"/>
          <w:sz w:val="17"/>
          <w:szCs w:val="17"/>
          <w:color w:val="auto"/>
        </w:rPr>
        <w:t>Chief Executive Officer</w:t>
      </w:r>
    </w:p>
    <w:p>
      <w:pPr>
        <w:ind w:left="40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-6350</wp:posOffset>
            </wp:positionV>
            <wp:extent cx="7277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7" w:lineRule="auto"/>
        <w:rPr>
          <w:sz w:val="20"/>
          <w:szCs w:val="20"/>
          <w:color w:val="auto"/>
        </w:rPr>
      </w:pPr>
      <w:r>
        <w:rPr>
          <w:rFonts w:ascii="Arial" w:cs="Arial" w:eastAsia="Arial" w:hAnsi="Arial"/>
          <w:sz w:val="17"/>
          <w:szCs w:val="17"/>
          <w:color w:val="auto"/>
        </w:rPr>
        <w:t>David M. Orr</w:t>
      </w:r>
    </w:p>
    <w:p>
      <w:pPr>
        <w:ind w:left="402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0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2025-09-05T09:18:59Z</dcterms:created>
  <dcterms:modified xsi:type="dcterms:W3CDTF">2025-09-05T09:18:59Z</dcterms:modified>
</cp:coreProperties>
</file>