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179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1796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McConnell Sarah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551 FIFTH AVENUE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02/01/2010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243"/>
        <w:spacing w:after="0"/>
        <w:rPr>
          <w:sz w:val="20"/>
          <w:szCs w:val="20"/>
          <w:color w:val="auto"/>
        </w:rPr>
      </w:pPr>
      <w:r>
        <w:rPr>
          <w:rFonts w:ascii="Arial" w:cs="Arial" w:eastAsia="Arial" w:hAnsi="Arial"/>
          <w:sz w:val="16"/>
          <w:szCs w:val="16"/>
          <w:color w:val="0000FF"/>
        </w:rPr>
        <w:t>SVP/GEN. COUNSEL/CORP. SECTY.</w:t>
      </w:r>
    </w:p>
    <w:p>
      <w:pPr>
        <w:spacing w:after="0" w:line="429" w:lineRule="exact"/>
        <w:rPr>
          <w:sz w:val="24"/>
          <w:szCs w:val="24"/>
          <w:color w:val="auto"/>
        </w:rPr>
      </w:pPr>
    </w:p>
    <w:p>
      <w:pPr>
        <w:sectPr>
          <w:pgSz w:w="11900" w:h="16838" w:orient="portrait"/>
          <w:cols w:equalWidth="0" w:num="3">
            <w:col w:w="3360" w:space="720"/>
            <w:col w:w="3400" w:space="577"/>
            <w:col w:w="3423"/>
          </w:cols>
          <w:pgMar w:left="240" w:top="226" w:right="17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6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740" w:type="dxa"/>
            <w:vAlign w:val="bottom"/>
            <w:gridSpan w:val="7"/>
          </w:tcPr>
          <w:p>
            <w:pPr>
              <w:ind w:left="38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10176</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32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5"/>
                <w:szCs w:val="15"/>
                <w:color w:val="auto"/>
              </w:rPr>
            </w:pP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20"/>
              <w:spacing w:after="0" w:line="135" w:lineRule="exact"/>
              <w:rPr>
                <w:sz w:val="20"/>
                <w:szCs w:val="20"/>
                <w:color w:val="auto"/>
              </w:rPr>
            </w:pPr>
            <w:r>
              <w:rPr>
                <w:rFonts w:ascii="Arial" w:cs="Arial" w:eastAsia="Arial" w:hAnsi="Arial"/>
                <w:sz w:val="12"/>
                <w:szCs w:val="12"/>
                <w:b w:val="1"/>
                <w:bCs w:val="1"/>
                <w:color w:val="auto"/>
                <w:w w:val="93"/>
              </w:rPr>
              <w:t>(A) or</w:t>
            </w:r>
          </w:p>
        </w:tc>
        <w:tc>
          <w:tcPr>
            <w:tcW w:w="760" w:type="dxa"/>
            <w:vAlign w:val="bottom"/>
            <w:gridSpan w:val="2"/>
            <w:vMerge w:val="restart"/>
          </w:tcPr>
          <w:p>
            <w:pPr>
              <w:jc w:val="right"/>
              <w:ind w:right="21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4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00"/>
              <w:spacing w:after="0"/>
              <w:rPr>
                <w:sz w:val="20"/>
                <w:szCs w:val="20"/>
                <w:color w:val="auto"/>
              </w:rPr>
            </w:pPr>
            <w:r>
              <w:rPr>
                <w:rFonts w:ascii="Arial" w:cs="Arial" w:eastAsia="Arial" w:hAnsi="Arial"/>
                <w:sz w:val="18"/>
                <w:szCs w:val="18"/>
                <w:color w:val="0000FF"/>
              </w:rPr>
              <w:t>02/01/2010</w:t>
            </w:r>
          </w:p>
        </w:tc>
        <w:tc>
          <w:tcPr>
            <w:tcW w:w="8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20"/>
              <w:spacing w:after="0" w:line="324" w:lineRule="exact"/>
              <w:rPr>
                <w:sz w:val="20"/>
                <w:szCs w:val="20"/>
                <w:color w:val="auto"/>
              </w:rPr>
            </w:pPr>
            <w:r>
              <w:rPr>
                <w:rFonts w:ascii="Arial" w:cs="Arial" w:eastAsia="Arial" w:hAnsi="Arial"/>
                <w:sz w:val="35"/>
                <w:szCs w:val="35"/>
                <w:color w:val="0000FF"/>
                <w:w w:val="76"/>
                <w:vertAlign w:val="subscript"/>
              </w:rPr>
              <w:t>54</w:t>
            </w:r>
            <w:r>
              <w:rPr>
                <w:rFonts w:ascii="Arial" w:cs="Arial" w:eastAsia="Arial" w:hAnsi="Arial"/>
                <w:sz w:val="11"/>
                <w:szCs w:val="11"/>
                <w:color w:val="008000"/>
                <w:w w:val="76"/>
              </w:rPr>
              <w:t>(1)</w:t>
            </w:r>
          </w:p>
        </w:tc>
        <w:tc>
          <w:tcPr>
            <w:tcW w:w="6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A</w:t>
            </w:r>
          </w:p>
        </w:tc>
        <w:tc>
          <w:tcPr>
            <w:tcW w:w="76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19.6</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12,681</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0" w:type="dxa"/>
            <w:vAlign w:val="bottom"/>
            <w:gridSpan w:val="11"/>
          </w:tcPr>
          <w:p>
            <w:pPr>
              <w:jc w:val="right"/>
              <w:ind w:right="21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8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Dividend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6"/>
                <w:szCs w:val="16"/>
                <w:color w:val="auto"/>
              </w:rPr>
            </w:pPr>
          </w:p>
        </w:tc>
        <w:tc>
          <w:tcPr>
            <w:tcW w:w="540" w:type="dxa"/>
            <w:vAlign w:val="bottom"/>
            <w:vMerge w:val="restart"/>
          </w:tcPr>
          <w:p>
            <w:pPr>
              <w:ind w:left="40"/>
              <w:spacing w:after="0"/>
              <w:rPr>
                <w:sz w:val="20"/>
                <w:szCs w:val="20"/>
                <w:color w:val="auto"/>
              </w:rPr>
            </w:pPr>
            <w:r>
              <w:rPr>
                <w:rFonts w:ascii="Arial" w:cs="Arial" w:eastAsia="Arial" w:hAnsi="Arial"/>
                <w:sz w:val="11"/>
                <w:szCs w:val="11"/>
                <w:color w:val="008000"/>
              </w:rPr>
              <w:t>(3)</w:t>
            </w:r>
          </w:p>
        </w:tc>
        <w:tc>
          <w:tcPr>
            <w:tcW w:w="640" w:type="dxa"/>
            <w:vAlign w:val="bottom"/>
            <w:vMerge w:val="restart"/>
          </w:tcPr>
          <w:p>
            <w:pPr>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0000FF"/>
              </w:rPr>
              <w:t>19</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w w:val="97"/>
              </w:rPr>
              <w:t>Equivalent</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02/01/2010</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860" w:type="dxa"/>
            <w:vAlign w:val="bottom"/>
            <w:vMerge w:val="restart"/>
          </w:tcPr>
          <w:p>
            <w:pPr>
              <w:ind w:left="240"/>
              <w:spacing w:after="0" w:line="149" w:lineRule="exact"/>
              <w:rPr>
                <w:sz w:val="20"/>
                <w:szCs w:val="20"/>
                <w:color w:val="auto"/>
              </w:rPr>
            </w:pPr>
            <w:r>
              <w:rPr>
                <w:rFonts w:ascii="Arial" w:cs="Arial" w:eastAsia="Arial" w:hAnsi="Arial"/>
                <w:sz w:val="14"/>
                <w:szCs w:val="14"/>
                <w:color w:val="0000FF"/>
              </w:rPr>
              <w:t>19</w:t>
            </w: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vMerge w:val="restart"/>
          </w:tcPr>
          <w:p>
            <w:pPr>
              <w:ind w:left="420"/>
              <w:spacing w:after="0" w:line="149" w:lineRule="exact"/>
              <w:rPr>
                <w:sz w:val="20"/>
                <w:szCs w:val="20"/>
                <w:color w:val="auto"/>
              </w:rPr>
            </w:pPr>
            <w:r>
              <w:rPr>
                <w:rFonts w:ascii="Arial" w:cs="Arial" w:eastAsia="Arial" w:hAnsi="Arial"/>
                <w:sz w:val="14"/>
                <w:szCs w:val="14"/>
                <w:color w:val="0000FF"/>
              </w:rPr>
              <w:t>19</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vMerge w:val="restart"/>
          </w:tcPr>
          <w:p>
            <w:pPr>
              <w:ind w:left="10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Rights</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5,633 RSUs and DERS relating to the RSUs, adjusted to reflect the cumulative effect of fractional shares, and 2,618 performance shares earned but not vested with respect to performance shares granted on 1/12/2009 and DERs related thereto.</w:t>
      </w:r>
    </w:p>
    <w:p>
      <w:pPr>
        <w:spacing w:after="0" w:line="30" w:lineRule="exact"/>
        <w:rPr>
          <w:rFonts w:ascii="Arial" w:cs="Arial" w:eastAsia="Arial" w:hAnsi="Arial"/>
          <w:sz w:val="14"/>
          <w:szCs w:val="14"/>
          <w:color w:val="008000"/>
        </w:rPr>
      </w:pPr>
    </w:p>
    <w:p>
      <w:pPr>
        <w:ind w:left="40" w:right="1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DERs accrued on the performance shares granted on 1/8/2008 under the 2006 Equity Incentive Plan. DERs vest in the same manner as the performance shares to which they relate. Each DER is the economic equivalent of one share of ABM common stock.</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02/03/2010</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3554"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2019-12-17T04:35:43Z</dcterms:created>
  <dcterms:modified xsi:type="dcterms:W3CDTF">2019-12-17T04:35:43Z</dcterms:modified>
</cp:coreProperties>
</file>