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4" w:lineRule="exact"/>
        <w:rPr>
          <w:sz w:val="24"/>
          <w:szCs w:val="24"/>
          <w:color w:val="auto"/>
        </w:rPr>
      </w:pPr>
    </w:p>
    <w:p>
      <w:pPr>
        <w:ind w:left="3480"/>
        <w:spacing w:after="0"/>
        <w:rPr>
          <w:sz w:val="20"/>
          <w:szCs w:val="20"/>
          <w:color w:val="auto"/>
        </w:rPr>
      </w:pPr>
      <w:r>
        <w:rPr>
          <w:rFonts w:ascii="Courier New" w:cs="Courier New" w:eastAsia="Courier New" w:hAnsi="Courier New"/>
          <w:sz w:val="17"/>
          <w:szCs w:val="17"/>
          <w:color w:val="auto"/>
        </w:rPr>
        <w:t>UNITED STATES</w:t>
      </w:r>
    </w:p>
    <w:p>
      <w:pPr>
        <w:spacing w:after="0" w:line="4" w:lineRule="exact"/>
        <w:rPr>
          <w:sz w:val="24"/>
          <w:szCs w:val="24"/>
          <w:color w:val="auto"/>
        </w:rPr>
      </w:pPr>
    </w:p>
    <w:p>
      <w:pPr>
        <w:ind w:left="236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4" w:lineRule="exact"/>
        <w:rPr>
          <w:sz w:val="24"/>
          <w:szCs w:val="24"/>
          <w:color w:val="auto"/>
        </w:rPr>
      </w:pPr>
    </w:p>
    <w:p>
      <w:pPr>
        <w:ind w:left="2960"/>
        <w:spacing w:after="0"/>
        <w:rPr>
          <w:sz w:val="20"/>
          <w:szCs w:val="20"/>
          <w:color w:val="auto"/>
        </w:rPr>
      </w:pPr>
      <w:r>
        <w:rPr>
          <w:rFonts w:ascii="Courier New" w:cs="Courier New" w:eastAsia="Courier New" w:hAnsi="Courier New"/>
          <w:sz w:val="17"/>
          <w:szCs w:val="17"/>
          <w:color w:val="auto"/>
        </w:rPr>
        <w:t>WASHINGTON, D. C. 20549</w:t>
      </w:r>
    </w:p>
    <w:p>
      <w:pPr>
        <w:spacing w:after="0" w:line="200" w:lineRule="exact"/>
        <w:rPr>
          <w:sz w:val="24"/>
          <w:szCs w:val="24"/>
          <w:color w:val="auto"/>
        </w:rPr>
      </w:pPr>
    </w:p>
    <w:p>
      <w:pPr>
        <w:ind w:left="3680"/>
        <w:spacing w:after="0"/>
        <w:rPr>
          <w:sz w:val="20"/>
          <w:szCs w:val="20"/>
          <w:color w:val="auto"/>
        </w:rPr>
      </w:pPr>
      <w:r>
        <w:rPr>
          <w:rFonts w:ascii="Courier New" w:cs="Courier New" w:eastAsia="Courier New" w:hAnsi="Courier New"/>
          <w:sz w:val="17"/>
          <w:szCs w:val="17"/>
          <w:color w:val="auto"/>
        </w:rPr>
        <w:t>FORM 10-Q</w:t>
      </w:r>
    </w:p>
    <w:p>
      <w:pPr>
        <w:spacing w:after="0" w:line="200"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(Mark One)</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X QUARTERLY REPORT PURSUANT TO SECTION 13 or 15(d) OF THE SECURITIES</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EXCHANGE ACT OF 1934</w:t>
      </w:r>
    </w:p>
    <w:p>
      <w:pPr>
        <w:spacing w:after="0" w:line="200"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For the quarterly period ended APRIL 30, 1999</w:t>
      </w:r>
    </w:p>
    <w:p>
      <w:pPr>
        <w:spacing w:after="0" w:line="200"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OR</w:t>
      </w:r>
    </w:p>
    <w:p>
      <w:pPr>
        <w:spacing w:after="0" w:line="200"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___ TRANSITION REPORT PURSUANT TO SECTION 13 or 15(d) OF THE SECURITIES</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EXCHANGE ACT OF 1934</w:t>
      </w:r>
    </w:p>
    <w:p>
      <w:pPr>
        <w:spacing w:after="0" w:line="200" w:lineRule="exact"/>
        <w:rPr>
          <w:sz w:val="24"/>
          <w:szCs w:val="24"/>
          <w:color w:val="auto"/>
        </w:rPr>
      </w:pPr>
    </w:p>
    <w:p>
      <w:pPr>
        <w:ind w:left="1440"/>
        <w:spacing w:after="0"/>
        <w:rPr>
          <w:sz w:val="20"/>
          <w:szCs w:val="20"/>
          <w:color w:val="auto"/>
        </w:rPr>
      </w:pPr>
      <w:r>
        <w:rPr>
          <w:rFonts w:ascii="Courier New" w:cs="Courier New" w:eastAsia="Courier New" w:hAnsi="Courier New"/>
          <w:sz w:val="17"/>
          <w:szCs w:val="17"/>
          <w:color w:val="auto"/>
        </w:rPr>
        <w:t>For the transition period from ________ to _________</w:t>
      </w:r>
    </w:p>
    <w:p>
      <w:pPr>
        <w:spacing w:after="0" w:line="200"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Commission file Number 1-8929</w:t>
      </w:r>
    </w:p>
    <w:p>
      <w:pPr>
        <w:spacing w:after="0" w:line="200" w:lineRule="exact"/>
        <w:rPr>
          <w:sz w:val="24"/>
          <w:szCs w:val="24"/>
          <w:color w:val="auto"/>
        </w:rPr>
      </w:pPr>
    </w:p>
    <w:p>
      <w:pPr>
        <w:ind w:left="2760"/>
        <w:spacing w:after="0"/>
        <w:rPr>
          <w:sz w:val="20"/>
          <w:szCs w:val="20"/>
          <w:color w:val="auto"/>
        </w:rPr>
      </w:pPr>
      <w:r>
        <w:rPr>
          <w:rFonts w:ascii="Courier New" w:cs="Courier New" w:eastAsia="Courier New" w:hAnsi="Courier New"/>
          <w:sz w:val="17"/>
          <w:szCs w:val="17"/>
          <w:color w:val="auto"/>
        </w:rPr>
        <w:t>ABM INDUSTRIES INCORPORATED</w:t>
      </w:r>
    </w:p>
    <w:p>
      <w:pPr>
        <w:spacing w:after="0" w:line="4" w:lineRule="exact"/>
        <w:rPr>
          <w:sz w:val="24"/>
          <w:szCs w:val="24"/>
          <w:color w:val="auto"/>
        </w:rPr>
      </w:pPr>
    </w:p>
    <w:p>
      <w:pPr>
        <w:ind w:left="200" w:hanging="195"/>
        <w:spacing w:after="0"/>
        <w:tabs>
          <w:tab w:leader="none" w:pos="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134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(Exact name of registrant as specified in its charter)</w:t>
      </w:r>
    </w:p>
    <w:p>
      <w:pPr>
        <w:spacing w:after="0" w:line="396" w:lineRule="exact"/>
        <w:rPr>
          <w:sz w:val="24"/>
          <w:szCs w:val="24"/>
          <w:color w:val="auto"/>
        </w:rPr>
      </w:pPr>
    </w:p>
    <w:tbl>
      <w:tblPr>
        <w:tblLayout w:type="fixed"/>
        <w:tblInd w:w="1020" w:type="dxa"/>
        <w:tblCellMar>
          <w:top w:w="0" w:type="dxa"/>
          <w:left w:w="0" w:type="dxa"/>
          <w:bottom w:w="0" w:type="dxa"/>
          <w:right w:w="0" w:type="dxa"/>
        </w:tblCellMar>
      </w:tblPr>
      <w:tr>
        <w:trPr>
          <w:trHeight w:val="193"/>
        </w:trPr>
        <w:tc>
          <w:tcPr>
            <w:tcW w:w="2960" w:type="dxa"/>
            <w:vAlign w:val="bottom"/>
          </w:tcPr>
          <w:p>
            <w:pPr>
              <w:spacing w:after="0"/>
              <w:rPr>
                <w:sz w:val="20"/>
                <w:szCs w:val="20"/>
                <w:color w:val="auto"/>
              </w:rPr>
            </w:pPr>
            <w:r>
              <w:rPr>
                <w:rFonts w:ascii="Courier New" w:cs="Courier New" w:eastAsia="Courier New" w:hAnsi="Courier New"/>
                <w:sz w:val="17"/>
                <w:szCs w:val="17"/>
                <w:color w:val="auto"/>
              </w:rPr>
              <w:t>DELAWARE</w:t>
            </w:r>
          </w:p>
        </w:tc>
        <w:tc>
          <w:tcPr>
            <w:tcW w:w="3160" w:type="dxa"/>
            <w:vAlign w:val="bottom"/>
          </w:tcPr>
          <w:p>
            <w:pPr>
              <w:jc w:val="right"/>
              <w:spacing w:after="0"/>
              <w:rPr>
                <w:sz w:val="20"/>
                <w:szCs w:val="20"/>
                <w:color w:val="auto"/>
              </w:rPr>
            </w:pPr>
            <w:r>
              <w:rPr>
                <w:rFonts w:ascii="Courier New" w:cs="Courier New" w:eastAsia="Courier New" w:hAnsi="Courier New"/>
                <w:sz w:val="17"/>
                <w:szCs w:val="17"/>
                <w:color w:val="auto"/>
              </w:rPr>
              <w:t>94-1369354</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389" w:lineRule="exact"/>
        <w:rPr>
          <w:sz w:val="24"/>
          <w:szCs w:val="24"/>
          <w:color w:val="auto"/>
        </w:rPr>
      </w:pPr>
    </w:p>
    <w:p>
      <w:pPr>
        <w:ind w:left="200" w:right="2559" w:hanging="101"/>
        <w:spacing w:after="0" w:line="241" w:lineRule="auto"/>
        <w:rPr>
          <w:sz w:val="20"/>
          <w:szCs w:val="20"/>
          <w:color w:val="auto"/>
        </w:rPr>
      </w:pPr>
      <w:r>
        <w:rPr>
          <w:rFonts w:ascii="Courier New" w:cs="Courier New" w:eastAsia="Courier New" w:hAnsi="Courier New"/>
          <w:sz w:val="17"/>
          <w:szCs w:val="17"/>
          <w:color w:val="auto"/>
        </w:rPr>
        <w:t>(State or other jurisdiction of</w:t>
      </w:r>
      <w:r>
        <w:rPr>
          <w:sz w:val="20"/>
          <w:szCs w:val="20"/>
          <w:color w:val="auto"/>
        </w:rPr>
        <w:t xml:space="preserve"> </w:t>
      </w:r>
      <w:r>
        <w:rPr>
          <w:rFonts w:ascii="Courier New" w:cs="Courier New" w:eastAsia="Courier New" w:hAnsi="Courier New"/>
          <w:sz w:val="17"/>
          <w:szCs w:val="17"/>
          <w:color w:val="auto"/>
        </w:rPr>
        <w:t>(IRS Employer incorporation or organization) Identification No.)</w:t>
      </w:r>
    </w:p>
    <w:p>
      <w:pPr>
        <w:spacing w:after="0" w:line="200" w:lineRule="exact"/>
        <w:rPr>
          <w:sz w:val="24"/>
          <w:szCs w:val="24"/>
          <w:color w:val="auto"/>
        </w:rPr>
      </w:pPr>
    </w:p>
    <w:p>
      <w:pPr>
        <w:spacing w:after="0" w:line="390"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160 PACIFIC AVENUE SUITE 222, SAN FRANCISCO, CALIFORNIA 94111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4"/>
          <w:szCs w:val="24"/>
          <w:color w:val="auto"/>
        </w:rPr>
      </w:pPr>
    </w:p>
    <w:p>
      <w:pPr>
        <w:ind w:left="620"/>
        <w:spacing w:after="0"/>
        <w:tabs>
          <w:tab w:leader="none" w:pos="6520" w:val="left"/>
        </w:tabs>
        <w:rPr>
          <w:sz w:val="20"/>
          <w:szCs w:val="20"/>
          <w:color w:val="auto"/>
        </w:rPr>
      </w:pPr>
      <w:r>
        <w:rPr>
          <w:rFonts w:ascii="Courier New" w:cs="Courier New" w:eastAsia="Courier New" w:hAnsi="Courier New"/>
          <w:sz w:val="17"/>
          <w:szCs w:val="17"/>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245" w:right="1440" w:bottom="1440" w:gutter="0" w:footer="0" w:header="0"/>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415/733-4000</w:t>
      </w:r>
    </w:p>
    <w:p>
      <w:pPr>
        <w:spacing w:after="0" w:line="200" w:lineRule="exact"/>
        <w:rPr>
          <w:sz w:val="24"/>
          <w:szCs w:val="24"/>
          <w:color w:val="auto"/>
        </w:rPr>
      </w:pPr>
    </w:p>
    <w:p>
      <w:pPr>
        <w:sectPr>
          <w:pgSz w:w="11900" w:h="16838" w:orient="portrait"/>
          <w:cols w:equalWidth="0" w:num="2">
            <w:col w:w="5200" w:space="720"/>
            <w:col w:w="4299"/>
          </w:cols>
          <w:pgMar w:left="240" w:top="245" w:right="1440" w:bottom="1440" w:gutter="0" w:footer="0" w:header="0"/>
          <w:type w:val="continuous"/>
        </w:sectPr>
      </w:pPr>
    </w:p>
    <w:p>
      <w:pPr>
        <w:spacing w:after="0" w:line="11" w:lineRule="exact"/>
        <w:rPr>
          <w:sz w:val="24"/>
          <w:szCs w:val="24"/>
          <w:color w:val="auto"/>
        </w:rPr>
      </w:pPr>
    </w:p>
    <w:p>
      <w:pPr>
        <w:jc w:val="both"/>
        <w:ind w:right="2059"/>
        <w:spacing w:after="0" w:line="244"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such shorter period that the registrant was required to file such reports), and (2) has been subject to such filing requirements for the past 90 days. Yes [X] No [ ]</w:t>
      </w:r>
    </w:p>
    <w:p>
      <w:pPr>
        <w:spacing w:after="0" w:line="197"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Number of shares of Common Stock outstanding as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June 1, 1999: 22,125,574</w:t>
      </w:r>
    </w:p>
    <w:p>
      <w:pPr>
        <w:sectPr>
          <w:pgSz w:w="11900" w:h="16838" w:orient="portrait"/>
          <w:cols w:equalWidth="0" w:num="1">
            <w:col w:w="10219"/>
          </w:cols>
          <w:pgMar w:left="240" w:top="245"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7"/>
          <w:szCs w:val="17"/>
          <w:color w:val="auto"/>
        </w:rPr>
        <w:t>2</w:t>
      </w:r>
    </w:p>
    <w:p>
      <w:pPr>
        <w:spacing w:after="0" w:line="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ABM INDUSTRIES INCORPORATED</w:t>
      </w:r>
    </w:p>
    <w:p>
      <w:pPr>
        <w:spacing w:after="0" w:line="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FORM 10-Q</w:t>
      </w:r>
    </w:p>
    <w:p>
      <w:pPr>
        <w:spacing w:after="0" w:line="4"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FOR THE THREE MONTHS AND SIX MONTHS ENDED APRIL 30, 1999</w:t>
      </w:r>
    </w:p>
    <w:p>
      <w:pPr>
        <w:spacing w:after="0" w:line="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60" w:type="dxa"/>
            <w:vAlign w:val="bottom"/>
          </w:tcPr>
          <w:p>
            <w:pPr>
              <w:spacing w:after="0"/>
              <w:rPr>
                <w:sz w:val="20"/>
                <w:szCs w:val="20"/>
                <w:color w:val="auto"/>
              </w:rPr>
            </w:pPr>
            <w:r>
              <w:rPr>
                <w:rFonts w:ascii="Courier New" w:cs="Courier New" w:eastAsia="Courier New" w:hAnsi="Courier New"/>
                <w:sz w:val="17"/>
                <w:szCs w:val="17"/>
                <w:color w:val="auto"/>
              </w:rPr>
              <w:t>PART I</w:t>
            </w:r>
          </w:p>
        </w:tc>
        <w:tc>
          <w:tcPr>
            <w:tcW w:w="7100" w:type="dxa"/>
            <w:vAlign w:val="bottom"/>
          </w:tcPr>
          <w:p>
            <w:pPr>
              <w:spacing w:after="0"/>
              <w:rPr>
                <w:sz w:val="16"/>
                <w:szCs w:val="16"/>
                <w:color w:val="auto"/>
              </w:rPr>
            </w:pPr>
          </w:p>
        </w:tc>
        <w:tc>
          <w:tcPr>
            <w:tcW w:w="620" w:type="dxa"/>
            <w:vAlign w:val="bottom"/>
          </w:tcPr>
          <w:p>
            <w:pPr>
              <w:jc w:val="right"/>
              <w:ind w:right="135"/>
              <w:spacing w:after="0"/>
              <w:rPr>
                <w:sz w:val="20"/>
                <w:szCs w:val="20"/>
                <w:color w:val="auto"/>
              </w:rPr>
            </w:pPr>
            <w:r>
              <w:rPr>
                <w:rFonts w:ascii="Courier New" w:cs="Courier New" w:eastAsia="Courier New" w:hAnsi="Courier New"/>
                <w:sz w:val="17"/>
                <w:szCs w:val="17"/>
                <w:color w:val="auto"/>
                <w:w w:val="93"/>
              </w:rPr>
              <w:t>PAGE</w:t>
            </w:r>
          </w:p>
        </w:tc>
      </w:tr>
      <w:tr>
        <w:trPr>
          <w:trHeight w:val="196"/>
        </w:trPr>
        <w:tc>
          <w:tcPr>
            <w:tcW w:w="786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7860" w:type="dxa"/>
            <w:vAlign w:val="bottom"/>
            <w:gridSpan w:val="2"/>
          </w:tcPr>
          <w:p>
            <w:pPr>
              <w:spacing w:after="0"/>
              <w:rPr>
                <w:sz w:val="20"/>
                <w:szCs w:val="20"/>
                <w:color w:val="auto"/>
              </w:rPr>
            </w:pPr>
            <w:r>
              <w:rPr>
                <w:rFonts w:ascii="Courier New" w:cs="Courier New" w:eastAsia="Courier New" w:hAnsi="Courier New"/>
                <w:sz w:val="17"/>
                <w:szCs w:val="17"/>
                <w:color w:val="auto"/>
                <w:w w:val="97"/>
              </w:rPr>
              <w:t>Item 1   Condensed Consolidated Financial Statements...........................</w:t>
            </w:r>
          </w:p>
        </w:tc>
        <w:tc>
          <w:tcPr>
            <w:tcW w:w="6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w:t>
            </w:r>
          </w:p>
        </w:tc>
      </w:tr>
      <w:tr>
        <w:trPr>
          <w:trHeight w:val="196"/>
        </w:trPr>
        <w:tc>
          <w:tcPr>
            <w:tcW w:w="760" w:type="dxa"/>
            <w:vAlign w:val="bottom"/>
          </w:tcPr>
          <w:p>
            <w:pPr>
              <w:spacing w:after="0"/>
              <w:rPr>
                <w:sz w:val="17"/>
                <w:szCs w:val="17"/>
                <w:color w:val="auto"/>
              </w:rPr>
            </w:pPr>
          </w:p>
        </w:tc>
        <w:tc>
          <w:tcPr>
            <w:tcW w:w="7100" w:type="dxa"/>
            <w:vAlign w:val="bottom"/>
          </w:tcPr>
          <w:p>
            <w:pPr>
              <w:jc w:val="right"/>
              <w:ind w:right="3175"/>
              <w:spacing w:after="0"/>
              <w:rPr>
                <w:sz w:val="20"/>
                <w:szCs w:val="20"/>
                <w:color w:val="auto"/>
              </w:rPr>
            </w:pPr>
            <w:r>
              <w:rPr>
                <w:rFonts w:ascii="Courier New" w:cs="Courier New" w:eastAsia="Courier New" w:hAnsi="Courier New"/>
                <w:sz w:val="17"/>
                <w:szCs w:val="17"/>
                <w:color w:val="auto"/>
              </w:rPr>
              <w:t>Notes to the Condensed Consolidated</w:t>
            </w:r>
          </w:p>
        </w:tc>
        <w:tc>
          <w:tcPr>
            <w:tcW w:w="62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100" w:type="dxa"/>
            <w:vAlign w:val="bottom"/>
          </w:tcPr>
          <w:p>
            <w:pPr>
              <w:jc w:val="right"/>
              <w:spacing w:after="0"/>
              <w:rPr>
                <w:sz w:val="20"/>
                <w:szCs w:val="20"/>
                <w:color w:val="auto"/>
              </w:rPr>
            </w:pPr>
            <w:r>
              <w:rPr>
                <w:rFonts w:ascii="Courier New" w:cs="Courier New" w:eastAsia="Courier New" w:hAnsi="Courier New"/>
                <w:sz w:val="17"/>
                <w:szCs w:val="17"/>
                <w:color w:val="auto"/>
              </w:rPr>
              <w:t>Financial Statements................................................</w:t>
            </w:r>
          </w:p>
        </w:tc>
        <w:tc>
          <w:tcPr>
            <w:tcW w:w="6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7</w:t>
            </w:r>
          </w:p>
        </w:tc>
      </w:tr>
      <w:tr>
        <w:trPr>
          <w:trHeight w:val="196"/>
        </w:trPr>
        <w:tc>
          <w:tcPr>
            <w:tcW w:w="7860" w:type="dxa"/>
            <w:vAlign w:val="bottom"/>
            <w:gridSpan w:val="2"/>
          </w:tcPr>
          <w:p>
            <w:pPr>
              <w:spacing w:after="0"/>
              <w:rPr>
                <w:sz w:val="20"/>
                <w:szCs w:val="20"/>
                <w:color w:val="auto"/>
              </w:rPr>
            </w:pPr>
            <w:r>
              <w:rPr>
                <w:rFonts w:ascii="Courier New" w:cs="Courier New" w:eastAsia="Courier New" w:hAnsi="Courier New"/>
                <w:sz w:val="17"/>
                <w:szCs w:val="17"/>
                <w:color w:val="auto"/>
              </w:rPr>
              <w:t>Item 2   Management's Discussion and Analysis of Financial</w:t>
            </w:r>
          </w:p>
        </w:tc>
        <w:tc>
          <w:tcPr>
            <w:tcW w:w="62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100" w:type="dxa"/>
            <w:vAlign w:val="bottom"/>
          </w:tcPr>
          <w:p>
            <w:pPr>
              <w:jc w:val="right"/>
              <w:spacing w:after="0"/>
              <w:rPr>
                <w:sz w:val="20"/>
                <w:szCs w:val="20"/>
                <w:color w:val="auto"/>
              </w:rPr>
            </w:pPr>
            <w:r>
              <w:rPr>
                <w:rFonts w:ascii="Courier New" w:cs="Courier New" w:eastAsia="Courier New" w:hAnsi="Courier New"/>
                <w:sz w:val="17"/>
                <w:szCs w:val="17"/>
                <w:color w:val="auto"/>
              </w:rPr>
              <w:t>Condition and Results of Operations..................................</w:t>
            </w:r>
          </w:p>
        </w:tc>
        <w:tc>
          <w:tcPr>
            <w:tcW w:w="6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9</w:t>
            </w:r>
          </w:p>
        </w:tc>
      </w:tr>
      <w:tr>
        <w:trPr>
          <w:trHeight w:val="196"/>
        </w:trPr>
        <w:tc>
          <w:tcPr>
            <w:tcW w:w="760" w:type="dxa"/>
            <w:vAlign w:val="bottom"/>
          </w:tcPr>
          <w:p>
            <w:pPr>
              <w:spacing w:after="0"/>
              <w:rPr>
                <w:sz w:val="20"/>
                <w:szCs w:val="20"/>
                <w:color w:val="auto"/>
              </w:rPr>
            </w:pPr>
            <w:r>
              <w:rPr>
                <w:rFonts w:ascii="Courier New" w:cs="Courier New" w:eastAsia="Courier New" w:hAnsi="Courier New"/>
                <w:sz w:val="17"/>
                <w:szCs w:val="17"/>
                <w:color w:val="auto"/>
              </w:rPr>
              <w:t>Item 3</w:t>
            </w:r>
          </w:p>
        </w:tc>
        <w:tc>
          <w:tcPr>
            <w:tcW w:w="7100" w:type="dxa"/>
            <w:vAlign w:val="bottom"/>
          </w:tcPr>
          <w:p>
            <w:pPr>
              <w:jc w:val="right"/>
              <w:ind w:right="2775"/>
              <w:spacing w:after="0"/>
              <w:rPr>
                <w:sz w:val="20"/>
                <w:szCs w:val="20"/>
                <w:color w:val="auto"/>
              </w:rPr>
            </w:pPr>
            <w:r>
              <w:rPr>
                <w:rFonts w:ascii="Courier New" w:cs="Courier New" w:eastAsia="Courier New" w:hAnsi="Courier New"/>
                <w:sz w:val="17"/>
                <w:szCs w:val="17"/>
                <w:color w:val="auto"/>
              </w:rPr>
              <w:t>Qualitative and Quantitative Disclosures</w:t>
            </w:r>
          </w:p>
        </w:tc>
        <w:tc>
          <w:tcPr>
            <w:tcW w:w="62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7100" w:type="dxa"/>
            <w:vAlign w:val="bottom"/>
          </w:tcPr>
          <w:p>
            <w:pPr>
              <w:jc w:val="right"/>
              <w:spacing w:after="0"/>
              <w:rPr>
                <w:sz w:val="20"/>
                <w:szCs w:val="20"/>
                <w:color w:val="auto"/>
              </w:rPr>
            </w:pPr>
            <w:r>
              <w:rPr>
                <w:rFonts w:ascii="Courier New" w:cs="Courier New" w:eastAsia="Courier New" w:hAnsi="Courier New"/>
                <w:sz w:val="17"/>
                <w:szCs w:val="17"/>
                <w:color w:val="auto"/>
              </w:rPr>
              <w:t>About Market Risk...................................................</w:t>
            </w:r>
          </w:p>
        </w:tc>
        <w:tc>
          <w:tcPr>
            <w:tcW w:w="6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20</w:t>
            </w:r>
          </w:p>
        </w:tc>
      </w:tr>
      <w:tr>
        <w:trPr>
          <w:trHeight w:val="392"/>
        </w:trPr>
        <w:tc>
          <w:tcPr>
            <w:tcW w:w="7860" w:type="dxa"/>
            <w:vAlign w:val="bottom"/>
            <w:gridSpan w:val="2"/>
          </w:tcPr>
          <w:p>
            <w:pPr>
              <w:spacing w:after="0"/>
              <w:rPr>
                <w:sz w:val="20"/>
                <w:szCs w:val="20"/>
                <w:color w:val="auto"/>
              </w:rPr>
            </w:pPr>
            <w:r>
              <w:rPr>
                <w:rFonts w:ascii="Courier New" w:cs="Courier New" w:eastAsia="Courier New" w:hAnsi="Courier New"/>
                <w:sz w:val="17"/>
                <w:szCs w:val="17"/>
                <w:color w:val="auto"/>
              </w:rPr>
              <w:t>PART II</w:t>
            </w:r>
          </w:p>
        </w:tc>
        <w:tc>
          <w:tcPr>
            <w:tcW w:w="620" w:type="dxa"/>
            <w:vAlign w:val="bottom"/>
          </w:tcPr>
          <w:p>
            <w:pPr>
              <w:spacing w:after="0"/>
              <w:rPr>
                <w:sz w:val="24"/>
                <w:szCs w:val="24"/>
                <w:color w:val="auto"/>
              </w:rPr>
            </w:pPr>
          </w:p>
        </w:tc>
      </w:tr>
      <w:tr>
        <w:trPr>
          <w:trHeight w:val="196"/>
        </w:trPr>
        <w:tc>
          <w:tcPr>
            <w:tcW w:w="7860" w:type="dxa"/>
            <w:vAlign w:val="bottom"/>
            <w:gridSpan w:val="2"/>
          </w:tcPr>
          <w:p>
            <w:pPr>
              <w:spacing w:after="0"/>
              <w:rPr>
                <w:sz w:val="20"/>
                <w:szCs w:val="20"/>
                <w:color w:val="auto"/>
              </w:rPr>
            </w:pPr>
            <w:r>
              <w:rPr>
                <w:rFonts w:ascii="Courier New" w:cs="Courier New" w:eastAsia="Courier New" w:hAnsi="Courier New"/>
                <w:sz w:val="17"/>
                <w:szCs w:val="17"/>
                <w:color w:val="auto"/>
              </w:rPr>
              <w:t>- -------</w:t>
            </w:r>
          </w:p>
        </w:tc>
        <w:tc>
          <w:tcPr>
            <w:tcW w:w="620" w:type="dxa"/>
            <w:vAlign w:val="bottom"/>
          </w:tcPr>
          <w:p>
            <w:pPr>
              <w:spacing w:after="0"/>
              <w:rPr>
                <w:sz w:val="17"/>
                <w:szCs w:val="17"/>
                <w:color w:val="auto"/>
              </w:rPr>
            </w:pPr>
          </w:p>
        </w:tc>
      </w:tr>
      <w:tr>
        <w:trPr>
          <w:trHeight w:val="392"/>
        </w:trPr>
        <w:tc>
          <w:tcPr>
            <w:tcW w:w="760" w:type="dxa"/>
            <w:vAlign w:val="bottom"/>
          </w:tcPr>
          <w:p>
            <w:pPr>
              <w:spacing w:after="0"/>
              <w:rPr>
                <w:sz w:val="20"/>
                <w:szCs w:val="20"/>
                <w:color w:val="auto"/>
              </w:rPr>
            </w:pPr>
            <w:r>
              <w:rPr>
                <w:rFonts w:ascii="Courier New" w:cs="Courier New" w:eastAsia="Courier New" w:hAnsi="Courier New"/>
                <w:sz w:val="17"/>
                <w:szCs w:val="17"/>
                <w:color w:val="auto"/>
              </w:rPr>
              <w:t>Item 4</w:t>
            </w:r>
          </w:p>
        </w:tc>
        <w:tc>
          <w:tcPr>
            <w:tcW w:w="7100" w:type="dxa"/>
            <w:vAlign w:val="bottom"/>
          </w:tcPr>
          <w:p>
            <w:pPr>
              <w:jc w:val="right"/>
              <w:spacing w:after="0"/>
              <w:rPr>
                <w:sz w:val="20"/>
                <w:szCs w:val="20"/>
                <w:color w:val="auto"/>
              </w:rPr>
            </w:pPr>
            <w:r>
              <w:rPr>
                <w:rFonts w:ascii="Courier New" w:cs="Courier New" w:eastAsia="Courier New" w:hAnsi="Courier New"/>
                <w:sz w:val="17"/>
                <w:szCs w:val="17"/>
                <w:color w:val="auto"/>
              </w:rPr>
              <w:t>Submission of Matters to a Vote of Stockholders......................</w:t>
            </w:r>
          </w:p>
        </w:tc>
        <w:tc>
          <w:tcPr>
            <w:tcW w:w="6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20</w:t>
            </w:r>
          </w:p>
        </w:tc>
      </w:tr>
      <w:tr>
        <w:trPr>
          <w:trHeight w:val="196"/>
        </w:trPr>
        <w:tc>
          <w:tcPr>
            <w:tcW w:w="760" w:type="dxa"/>
            <w:vAlign w:val="bottom"/>
          </w:tcPr>
          <w:p>
            <w:pPr>
              <w:spacing w:after="0"/>
              <w:rPr>
                <w:sz w:val="20"/>
                <w:szCs w:val="20"/>
                <w:color w:val="auto"/>
              </w:rPr>
            </w:pPr>
            <w:r>
              <w:rPr>
                <w:rFonts w:ascii="Courier New" w:cs="Courier New" w:eastAsia="Courier New" w:hAnsi="Courier New"/>
                <w:sz w:val="17"/>
                <w:szCs w:val="17"/>
                <w:color w:val="auto"/>
              </w:rPr>
              <w:t>Item 6</w:t>
            </w:r>
          </w:p>
        </w:tc>
        <w:tc>
          <w:tcPr>
            <w:tcW w:w="7100" w:type="dxa"/>
            <w:vAlign w:val="bottom"/>
          </w:tcPr>
          <w:p>
            <w:pPr>
              <w:jc w:val="right"/>
              <w:spacing w:after="0"/>
              <w:rPr>
                <w:sz w:val="20"/>
                <w:szCs w:val="20"/>
                <w:color w:val="auto"/>
              </w:rPr>
            </w:pPr>
            <w:r>
              <w:rPr>
                <w:rFonts w:ascii="Courier New" w:cs="Courier New" w:eastAsia="Courier New" w:hAnsi="Courier New"/>
                <w:sz w:val="17"/>
                <w:szCs w:val="17"/>
                <w:color w:val="auto"/>
              </w:rPr>
              <w:t>Exhibits and Reports on Form 8-K.....................................</w:t>
            </w:r>
          </w:p>
        </w:tc>
        <w:tc>
          <w:tcPr>
            <w:tcW w:w="62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22</w:t>
            </w: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311"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3</w:t>
      </w:r>
    </w:p>
    <w:p>
      <w:pPr>
        <w:spacing w:after="0" w:line="4"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200"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6"/>
          <w:szCs w:val="16"/>
          <w:color w:val="auto"/>
        </w:rPr>
        <w:t>Condensed Consolidated Financial Statements</w:t>
      </w:r>
    </w:p>
    <w:p>
      <w:pPr>
        <w:spacing w:after="0" w:line="200"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ABM INDUSTRIES INCORPORATED AND SUBSIDIARIES</w:t>
      </w:r>
    </w:p>
    <w:p>
      <w:pPr>
        <w:spacing w:after="0" w:line="4" w:lineRule="exact"/>
        <w:rPr>
          <w:sz w:val="20"/>
          <w:szCs w:val="20"/>
          <w:color w:val="auto"/>
        </w:rPr>
      </w:pPr>
    </w:p>
    <w:p>
      <w:pPr>
        <w:ind w:left="2240"/>
        <w:spacing w:after="0"/>
        <w:rPr>
          <w:sz w:val="20"/>
          <w:szCs w:val="20"/>
          <w:color w:val="auto"/>
        </w:rPr>
      </w:pPr>
      <w:r>
        <w:rPr>
          <w:rFonts w:ascii="Courier New" w:cs="Courier New" w:eastAsia="Courier New" w:hAnsi="Courier New"/>
          <w:sz w:val="17"/>
          <w:szCs w:val="17"/>
          <w:color w:val="auto"/>
        </w:rPr>
        <w:t>CONDENSED CONSOLIDATED BALANCE SHEETS</w:t>
      </w:r>
    </w:p>
    <w:p>
      <w:pPr>
        <w:spacing w:after="0" w:line="4" w:lineRule="exact"/>
        <w:rPr>
          <w:sz w:val="20"/>
          <w:szCs w:val="20"/>
          <w:color w:val="auto"/>
        </w:rPr>
      </w:pPr>
    </w:p>
    <w:p>
      <w:pPr>
        <w:ind w:left="2360"/>
        <w:spacing w:after="0"/>
        <w:rPr>
          <w:sz w:val="20"/>
          <w:szCs w:val="20"/>
          <w:color w:val="auto"/>
        </w:rPr>
      </w:pPr>
      <w:r>
        <w:rPr>
          <w:rFonts w:ascii="Courier New" w:cs="Courier New" w:eastAsia="Courier New" w:hAnsi="Courier New"/>
          <w:sz w:val="17"/>
          <w:szCs w:val="17"/>
          <w:color w:val="auto"/>
        </w:rPr>
        <w:t>(in thousands except share amounts)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p>
      <w:pPr>
        <w:ind w:left="6020"/>
        <w:spacing w:after="0"/>
        <w:tabs>
          <w:tab w:leader="none" w:pos="8140" w:val="left"/>
        </w:tabs>
        <w:rPr>
          <w:sz w:val="20"/>
          <w:szCs w:val="20"/>
          <w:color w:val="auto"/>
        </w:rPr>
      </w:pPr>
      <w:r>
        <w:rPr>
          <w:rFonts w:ascii="Courier New" w:cs="Courier New" w:eastAsia="Courier New" w:hAnsi="Courier New"/>
          <w:sz w:val="17"/>
          <w:szCs w:val="17"/>
          <w:color w:val="auto"/>
        </w:rPr>
        <w:t>OCTOBER 31,</w:t>
      </w:r>
      <w:r>
        <w:rPr>
          <w:sz w:val="20"/>
          <w:szCs w:val="20"/>
          <w:color w:val="auto"/>
        </w:rPr>
        <w:tab/>
      </w:r>
      <w:r>
        <w:rPr>
          <w:rFonts w:ascii="Courier New" w:cs="Courier New" w:eastAsia="Courier New" w:hAnsi="Courier New"/>
          <w:sz w:val="17"/>
          <w:szCs w:val="17"/>
          <w:color w:val="auto"/>
        </w:rPr>
        <w:t>APRIL 30,</w:t>
      </w:r>
    </w:p>
    <w:p>
      <w:pPr>
        <w:spacing w:after="0" w:line="4" w:lineRule="exact"/>
        <w:rPr>
          <w:sz w:val="20"/>
          <w:szCs w:val="20"/>
          <w:color w:val="auto"/>
        </w:rPr>
      </w:pPr>
    </w:p>
    <w:p>
      <w:pPr>
        <w:spacing w:after="0"/>
        <w:tabs>
          <w:tab w:leader="none" w:pos="6320" w:val="left"/>
          <w:tab w:leader="none" w:pos="8360" w:val="left"/>
        </w:tabs>
        <w:rPr>
          <w:sz w:val="20"/>
          <w:szCs w:val="20"/>
          <w:color w:val="auto"/>
        </w:rPr>
      </w:pPr>
      <w:r>
        <w:rPr>
          <w:rFonts w:ascii="Courier New" w:cs="Courier New" w:eastAsia="Courier New" w:hAnsi="Courier New"/>
          <w:sz w:val="17"/>
          <w:szCs w:val="17"/>
          <w:color w:val="auto"/>
        </w:rPr>
        <w:t>ASSETS:</w:t>
      </w:r>
      <w:r>
        <w:rPr>
          <w:sz w:val="20"/>
          <w:szCs w:val="20"/>
          <w:color w:val="auto"/>
        </w:rPr>
        <w:tab/>
      </w:r>
      <w:r>
        <w:rPr>
          <w:rFonts w:ascii="Courier New" w:cs="Courier New" w:eastAsia="Courier New" w:hAnsi="Courier New"/>
          <w:sz w:val="17"/>
          <w:szCs w:val="17"/>
          <w:color w:val="auto"/>
        </w:rPr>
        <w:t>1998</w:t>
      </w:r>
      <w:r>
        <w:rPr>
          <w:sz w:val="20"/>
          <w:szCs w:val="20"/>
          <w:color w:val="auto"/>
        </w:rPr>
        <w:tab/>
      </w:r>
      <w:r>
        <w:rPr>
          <w:rFonts w:ascii="Courier New" w:cs="Courier New" w:eastAsia="Courier New" w:hAnsi="Courier New"/>
          <w:sz w:val="16"/>
          <w:szCs w:val="16"/>
          <w:color w:val="auto"/>
        </w:rPr>
        <w:t>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30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226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96"/>
        </w:trPr>
        <w:tc>
          <w:tcPr>
            <w:tcW w:w="5300" w:type="dxa"/>
            <w:vAlign w:val="bottom"/>
          </w:tcPr>
          <w:p>
            <w:pPr>
              <w:ind w:left="320"/>
              <w:spacing w:after="0"/>
              <w:rPr>
                <w:sz w:val="20"/>
                <w:szCs w:val="20"/>
                <w:color w:val="auto"/>
              </w:rPr>
            </w:pPr>
            <w:r>
              <w:rPr>
                <w:rFonts w:ascii="Courier New" w:cs="Courier New" w:eastAsia="Courier New" w:hAnsi="Courier New"/>
                <w:sz w:val="17"/>
                <w:szCs w:val="17"/>
                <w:color w:val="auto"/>
              </w:rPr>
              <w:t>Cash and cash equivalents</w:t>
            </w:r>
          </w:p>
        </w:tc>
        <w:tc>
          <w:tcPr>
            <w:tcW w:w="226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  1,844</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  1,878</w:t>
            </w:r>
          </w:p>
        </w:tc>
      </w:tr>
      <w:tr>
        <w:trPr>
          <w:trHeight w:val="196"/>
        </w:trPr>
        <w:tc>
          <w:tcPr>
            <w:tcW w:w="5300" w:type="dxa"/>
            <w:vAlign w:val="bottom"/>
          </w:tcPr>
          <w:p>
            <w:pPr>
              <w:ind w:left="320"/>
              <w:spacing w:after="0"/>
              <w:rPr>
                <w:sz w:val="20"/>
                <w:szCs w:val="20"/>
                <w:color w:val="auto"/>
              </w:rPr>
            </w:pPr>
            <w:r>
              <w:rPr>
                <w:rFonts w:ascii="Courier New" w:cs="Courier New" w:eastAsia="Courier New" w:hAnsi="Courier New"/>
                <w:sz w:val="17"/>
                <w:szCs w:val="17"/>
                <w:color w:val="auto"/>
              </w:rPr>
              <w:t>Accounts receivable, net</w:t>
            </w:r>
          </w:p>
        </w:tc>
        <w:tc>
          <w:tcPr>
            <w:tcW w:w="226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260,549</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267,827</w:t>
            </w:r>
          </w:p>
        </w:tc>
      </w:tr>
      <w:tr>
        <w:trPr>
          <w:trHeight w:val="196"/>
        </w:trPr>
        <w:tc>
          <w:tcPr>
            <w:tcW w:w="5300" w:type="dxa"/>
            <w:vAlign w:val="bottom"/>
          </w:tcPr>
          <w:p>
            <w:pPr>
              <w:ind w:left="320"/>
              <w:spacing w:after="0"/>
              <w:rPr>
                <w:sz w:val="20"/>
                <w:szCs w:val="20"/>
                <w:color w:val="auto"/>
              </w:rPr>
            </w:pPr>
            <w:r>
              <w:rPr>
                <w:rFonts w:ascii="Courier New" w:cs="Courier New" w:eastAsia="Courier New" w:hAnsi="Courier New"/>
                <w:sz w:val="17"/>
                <w:szCs w:val="17"/>
                <w:color w:val="auto"/>
              </w:rPr>
              <w:t>Inventories</w:t>
            </w:r>
          </w:p>
        </w:tc>
        <w:tc>
          <w:tcPr>
            <w:tcW w:w="226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22,965</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22,709</w:t>
            </w:r>
          </w:p>
        </w:tc>
      </w:tr>
      <w:tr>
        <w:trPr>
          <w:trHeight w:val="196"/>
        </w:trPr>
        <w:tc>
          <w:tcPr>
            <w:tcW w:w="5300" w:type="dxa"/>
            <w:vAlign w:val="bottom"/>
          </w:tcPr>
          <w:p>
            <w:pPr>
              <w:ind w:left="320"/>
              <w:spacing w:after="0"/>
              <w:rPr>
                <w:sz w:val="20"/>
                <w:szCs w:val="20"/>
                <w:color w:val="auto"/>
              </w:rPr>
            </w:pPr>
            <w:r>
              <w:rPr>
                <w:rFonts w:ascii="Courier New" w:cs="Courier New" w:eastAsia="Courier New" w:hAnsi="Courier New"/>
                <w:sz w:val="17"/>
                <w:szCs w:val="17"/>
                <w:color w:val="auto"/>
              </w:rPr>
              <w:t>Deferred income taxes</w:t>
            </w:r>
          </w:p>
        </w:tc>
        <w:tc>
          <w:tcPr>
            <w:tcW w:w="226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10,505</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13,570</w:t>
            </w:r>
          </w:p>
        </w:tc>
      </w:tr>
      <w:tr>
        <w:trPr>
          <w:trHeight w:val="196"/>
        </w:trPr>
        <w:tc>
          <w:tcPr>
            <w:tcW w:w="5300" w:type="dxa"/>
            <w:vAlign w:val="bottom"/>
          </w:tcPr>
          <w:p>
            <w:pPr>
              <w:ind w:left="320"/>
              <w:spacing w:after="0"/>
              <w:rPr>
                <w:sz w:val="20"/>
                <w:szCs w:val="20"/>
                <w:color w:val="auto"/>
              </w:rPr>
            </w:pPr>
            <w:r>
              <w:rPr>
                <w:rFonts w:ascii="Courier New" w:cs="Courier New" w:eastAsia="Courier New" w:hAnsi="Courier New"/>
                <w:sz w:val="17"/>
                <w:szCs w:val="17"/>
                <w:color w:val="auto"/>
              </w:rPr>
              <w:t>Prepaid expenses and other current assets</w:t>
            </w:r>
          </w:p>
        </w:tc>
        <w:tc>
          <w:tcPr>
            <w:tcW w:w="226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28,445</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30,160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620" w:type="dxa"/>
        <w:tblCellMar>
          <w:top w:w="0" w:type="dxa"/>
          <w:left w:w="0" w:type="dxa"/>
          <w:bottom w:w="0" w:type="dxa"/>
          <w:right w:w="0" w:type="dxa"/>
        </w:tblCellMar>
      </w:tblPr>
      <w:tr>
        <w:trPr>
          <w:trHeight w:val="193"/>
        </w:trPr>
        <w:tc>
          <w:tcPr>
            <w:tcW w:w="3820" w:type="dxa"/>
            <w:vAlign w:val="bottom"/>
          </w:tcPr>
          <w:p>
            <w:pPr>
              <w:spacing w:after="0"/>
              <w:rPr>
                <w:sz w:val="20"/>
                <w:szCs w:val="20"/>
                <w:color w:val="auto"/>
              </w:rPr>
            </w:pPr>
            <w:r>
              <w:rPr>
                <w:rFonts w:ascii="Courier New" w:cs="Courier New" w:eastAsia="Courier New" w:hAnsi="Courier New"/>
                <w:sz w:val="17"/>
                <w:szCs w:val="17"/>
                <w:color w:val="auto"/>
              </w:rPr>
              <w:t>Total current assets</w:t>
            </w:r>
          </w:p>
        </w:tc>
        <w:tc>
          <w:tcPr>
            <w:tcW w:w="316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324,308</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336,144</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60" w:type="dxa"/>
            <w:vAlign w:val="bottom"/>
          </w:tcPr>
          <w:p>
            <w:pPr>
              <w:spacing w:after="0"/>
              <w:rPr>
                <w:sz w:val="20"/>
                <w:szCs w:val="20"/>
                <w:color w:val="auto"/>
              </w:rPr>
            </w:pPr>
            <w:r>
              <w:rPr>
                <w:rFonts w:ascii="Courier New" w:cs="Courier New" w:eastAsia="Courier New" w:hAnsi="Courier New"/>
                <w:sz w:val="17"/>
                <w:szCs w:val="17"/>
                <w:color w:val="auto"/>
              </w:rPr>
              <w:t>INVESTMENTS AND LONG-TERM RECEIVABLES</w:t>
            </w:r>
          </w:p>
        </w:tc>
        <w:tc>
          <w:tcPr>
            <w:tcW w:w="2500" w:type="dxa"/>
            <w:vAlign w:val="bottom"/>
          </w:tcPr>
          <w:p>
            <w:pPr>
              <w:jc w:val="right"/>
              <w:ind w:right="635"/>
              <w:spacing w:after="0"/>
              <w:rPr>
                <w:sz w:val="20"/>
                <w:szCs w:val="20"/>
                <w:color w:val="auto"/>
              </w:rPr>
            </w:pPr>
            <w:r>
              <w:rPr>
                <w:rFonts w:ascii="Courier New" w:cs="Courier New" w:eastAsia="Courier New" w:hAnsi="Courier New"/>
                <w:sz w:val="17"/>
                <w:szCs w:val="17"/>
                <w:color w:val="auto"/>
              </w:rPr>
              <w:t>12,405</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13,464</w:t>
            </w:r>
          </w:p>
        </w:tc>
      </w:tr>
      <w:tr>
        <w:trPr>
          <w:trHeight w:val="392"/>
        </w:trPr>
        <w:tc>
          <w:tcPr>
            <w:tcW w:w="5160" w:type="dxa"/>
            <w:vAlign w:val="bottom"/>
          </w:tcPr>
          <w:p>
            <w:pPr>
              <w:spacing w:after="0"/>
              <w:rPr>
                <w:sz w:val="20"/>
                <w:szCs w:val="20"/>
                <w:color w:val="auto"/>
              </w:rPr>
            </w:pPr>
            <w:r>
              <w:rPr>
                <w:rFonts w:ascii="Courier New" w:cs="Courier New" w:eastAsia="Courier New" w:hAnsi="Courier New"/>
                <w:sz w:val="17"/>
                <w:szCs w:val="17"/>
                <w:color w:val="auto"/>
              </w:rPr>
              <w:t>PROPERTY, PLANT AND EQUIPMENT, AT COST:</w:t>
            </w:r>
          </w:p>
        </w:tc>
        <w:tc>
          <w:tcPr>
            <w:tcW w:w="25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6"/>
        </w:trPr>
        <w:tc>
          <w:tcPr>
            <w:tcW w:w="5160" w:type="dxa"/>
            <w:vAlign w:val="bottom"/>
          </w:tcPr>
          <w:p>
            <w:pPr>
              <w:ind w:left="320"/>
              <w:spacing w:after="0"/>
              <w:rPr>
                <w:sz w:val="20"/>
                <w:szCs w:val="20"/>
                <w:color w:val="auto"/>
              </w:rPr>
            </w:pPr>
            <w:r>
              <w:rPr>
                <w:rFonts w:ascii="Courier New" w:cs="Courier New" w:eastAsia="Courier New" w:hAnsi="Courier New"/>
                <w:sz w:val="17"/>
                <w:szCs w:val="17"/>
                <w:color w:val="auto"/>
              </w:rPr>
              <w:t>Land and buildings</w:t>
            </w:r>
          </w:p>
        </w:tc>
        <w:tc>
          <w:tcPr>
            <w:tcW w:w="2500" w:type="dxa"/>
            <w:vAlign w:val="bottom"/>
          </w:tcPr>
          <w:p>
            <w:pPr>
              <w:jc w:val="right"/>
              <w:ind w:right="635"/>
              <w:spacing w:after="0"/>
              <w:rPr>
                <w:sz w:val="20"/>
                <w:szCs w:val="20"/>
                <w:color w:val="auto"/>
              </w:rPr>
            </w:pPr>
            <w:r>
              <w:rPr>
                <w:rFonts w:ascii="Courier New" w:cs="Courier New" w:eastAsia="Courier New" w:hAnsi="Courier New"/>
                <w:sz w:val="17"/>
                <w:szCs w:val="17"/>
                <w:color w:val="auto"/>
              </w:rPr>
              <w:t>4,802</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4,487</w:t>
            </w:r>
          </w:p>
        </w:tc>
      </w:tr>
      <w:tr>
        <w:trPr>
          <w:trHeight w:val="196"/>
        </w:trPr>
        <w:tc>
          <w:tcPr>
            <w:tcW w:w="5160" w:type="dxa"/>
            <w:vAlign w:val="bottom"/>
          </w:tcPr>
          <w:p>
            <w:pPr>
              <w:ind w:left="320"/>
              <w:spacing w:after="0"/>
              <w:rPr>
                <w:sz w:val="20"/>
                <w:szCs w:val="20"/>
                <w:color w:val="auto"/>
              </w:rPr>
            </w:pPr>
            <w:r>
              <w:rPr>
                <w:rFonts w:ascii="Courier New" w:cs="Courier New" w:eastAsia="Courier New" w:hAnsi="Courier New"/>
                <w:sz w:val="17"/>
                <w:szCs w:val="17"/>
                <w:color w:val="auto"/>
              </w:rPr>
              <w:t>Transportation equipment</w:t>
            </w:r>
          </w:p>
        </w:tc>
        <w:tc>
          <w:tcPr>
            <w:tcW w:w="2500" w:type="dxa"/>
            <w:vAlign w:val="bottom"/>
          </w:tcPr>
          <w:p>
            <w:pPr>
              <w:jc w:val="right"/>
              <w:ind w:right="635"/>
              <w:spacing w:after="0"/>
              <w:rPr>
                <w:sz w:val="20"/>
                <w:szCs w:val="20"/>
                <w:color w:val="auto"/>
              </w:rPr>
            </w:pPr>
            <w:r>
              <w:rPr>
                <w:rFonts w:ascii="Courier New" w:cs="Courier New" w:eastAsia="Courier New" w:hAnsi="Courier New"/>
                <w:sz w:val="17"/>
                <w:szCs w:val="17"/>
                <w:color w:val="auto"/>
              </w:rPr>
              <w:t>11,633</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12,919</w:t>
            </w:r>
          </w:p>
        </w:tc>
      </w:tr>
      <w:tr>
        <w:trPr>
          <w:trHeight w:val="196"/>
        </w:trPr>
        <w:tc>
          <w:tcPr>
            <w:tcW w:w="5160" w:type="dxa"/>
            <w:vAlign w:val="bottom"/>
          </w:tcPr>
          <w:p>
            <w:pPr>
              <w:ind w:left="320"/>
              <w:spacing w:after="0"/>
              <w:rPr>
                <w:sz w:val="20"/>
                <w:szCs w:val="20"/>
                <w:color w:val="auto"/>
              </w:rPr>
            </w:pPr>
            <w:r>
              <w:rPr>
                <w:rFonts w:ascii="Courier New" w:cs="Courier New" w:eastAsia="Courier New" w:hAnsi="Courier New"/>
                <w:sz w:val="17"/>
                <w:szCs w:val="17"/>
                <w:color w:val="auto"/>
              </w:rPr>
              <w:t>Machinery and other equipment</w:t>
            </w:r>
          </w:p>
        </w:tc>
        <w:tc>
          <w:tcPr>
            <w:tcW w:w="2500" w:type="dxa"/>
            <w:vAlign w:val="bottom"/>
          </w:tcPr>
          <w:p>
            <w:pPr>
              <w:jc w:val="right"/>
              <w:ind w:right="635"/>
              <w:spacing w:after="0"/>
              <w:rPr>
                <w:sz w:val="20"/>
                <w:szCs w:val="20"/>
                <w:color w:val="auto"/>
              </w:rPr>
            </w:pPr>
            <w:r>
              <w:rPr>
                <w:rFonts w:ascii="Courier New" w:cs="Courier New" w:eastAsia="Courier New" w:hAnsi="Courier New"/>
                <w:sz w:val="17"/>
                <w:szCs w:val="17"/>
                <w:color w:val="auto"/>
              </w:rPr>
              <w:t>51,528</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57,410</w:t>
            </w:r>
          </w:p>
        </w:tc>
      </w:tr>
      <w:tr>
        <w:trPr>
          <w:trHeight w:val="196"/>
        </w:trPr>
        <w:tc>
          <w:tcPr>
            <w:tcW w:w="5160" w:type="dxa"/>
            <w:vAlign w:val="bottom"/>
          </w:tcPr>
          <w:p>
            <w:pPr>
              <w:ind w:left="320"/>
              <w:spacing w:after="0"/>
              <w:rPr>
                <w:sz w:val="20"/>
                <w:szCs w:val="20"/>
                <w:color w:val="auto"/>
              </w:rPr>
            </w:pPr>
            <w:r>
              <w:rPr>
                <w:rFonts w:ascii="Courier New" w:cs="Courier New" w:eastAsia="Courier New" w:hAnsi="Courier New"/>
                <w:sz w:val="17"/>
                <w:szCs w:val="17"/>
                <w:color w:val="auto"/>
              </w:rPr>
              <w:t>Leasehold improvements</w:t>
            </w:r>
          </w:p>
        </w:tc>
        <w:tc>
          <w:tcPr>
            <w:tcW w:w="2500" w:type="dxa"/>
            <w:vAlign w:val="bottom"/>
          </w:tcPr>
          <w:p>
            <w:pPr>
              <w:jc w:val="right"/>
              <w:ind w:right="635"/>
              <w:spacing w:after="0"/>
              <w:rPr>
                <w:sz w:val="20"/>
                <w:szCs w:val="20"/>
                <w:color w:val="auto"/>
              </w:rPr>
            </w:pPr>
            <w:r>
              <w:rPr>
                <w:rFonts w:ascii="Courier New" w:cs="Courier New" w:eastAsia="Courier New" w:hAnsi="Courier New"/>
                <w:sz w:val="17"/>
                <w:szCs w:val="17"/>
                <w:color w:val="auto"/>
              </w:rPr>
              <w:t>13,096</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14,229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20" w:type="dxa"/>
            <w:vAlign w:val="bottom"/>
          </w:tcPr>
          <w:p>
            <w:pPr>
              <w:spacing w:after="0"/>
              <w:rPr>
                <w:sz w:val="16"/>
                <w:szCs w:val="16"/>
                <w:color w:val="auto"/>
              </w:rPr>
            </w:pPr>
          </w:p>
        </w:tc>
        <w:tc>
          <w:tcPr>
            <w:tcW w:w="2140" w:type="dxa"/>
            <w:vAlign w:val="bottom"/>
          </w:tcPr>
          <w:p>
            <w:pPr>
              <w:jc w:val="right"/>
              <w:ind w:right="635"/>
              <w:spacing w:after="0"/>
              <w:rPr>
                <w:sz w:val="20"/>
                <w:szCs w:val="20"/>
                <w:color w:val="auto"/>
              </w:rPr>
            </w:pPr>
            <w:r>
              <w:rPr>
                <w:rFonts w:ascii="Courier New" w:cs="Courier New" w:eastAsia="Courier New" w:hAnsi="Courier New"/>
                <w:sz w:val="17"/>
                <w:szCs w:val="17"/>
                <w:color w:val="auto"/>
              </w:rPr>
              <w:t>81,059</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89,045</w:t>
            </w:r>
          </w:p>
        </w:tc>
      </w:tr>
      <w:tr>
        <w:trPr>
          <w:trHeight w:val="196"/>
        </w:trPr>
        <w:tc>
          <w:tcPr>
            <w:tcW w:w="5520" w:type="dxa"/>
            <w:vAlign w:val="bottom"/>
          </w:tcPr>
          <w:p>
            <w:pPr>
              <w:spacing w:after="0"/>
              <w:rPr>
                <w:sz w:val="20"/>
                <w:szCs w:val="20"/>
                <w:color w:val="auto"/>
              </w:rPr>
            </w:pPr>
            <w:r>
              <w:rPr>
                <w:rFonts w:ascii="Courier New" w:cs="Courier New" w:eastAsia="Courier New" w:hAnsi="Courier New"/>
                <w:sz w:val="17"/>
                <w:szCs w:val="17"/>
                <w:color w:val="auto"/>
              </w:rPr>
              <w:t>Less accumulated depreciation and amortization</w:t>
            </w:r>
          </w:p>
        </w:tc>
        <w:tc>
          <w:tcPr>
            <w:tcW w:w="2140" w:type="dxa"/>
            <w:vAlign w:val="bottom"/>
          </w:tcPr>
          <w:p>
            <w:pPr>
              <w:jc w:val="right"/>
              <w:ind w:right="635"/>
              <w:spacing w:after="0"/>
              <w:rPr>
                <w:sz w:val="20"/>
                <w:szCs w:val="20"/>
                <w:color w:val="auto"/>
              </w:rPr>
            </w:pPr>
            <w:r>
              <w:rPr>
                <w:rFonts w:ascii="Courier New" w:cs="Courier New" w:eastAsia="Courier New" w:hAnsi="Courier New"/>
                <w:sz w:val="17"/>
                <w:szCs w:val="17"/>
                <w:color w:val="auto"/>
              </w:rPr>
              <w:t>53,752</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58,540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900" w:type="dxa"/>
            <w:vAlign w:val="bottom"/>
          </w:tcPr>
          <w:p>
            <w:pPr>
              <w:spacing w:after="0"/>
              <w:rPr>
                <w:sz w:val="20"/>
                <w:szCs w:val="20"/>
                <w:color w:val="auto"/>
              </w:rPr>
            </w:pPr>
            <w:r>
              <w:rPr>
                <w:rFonts w:ascii="Courier New" w:cs="Courier New" w:eastAsia="Courier New" w:hAnsi="Courier New"/>
                <w:sz w:val="17"/>
                <w:szCs w:val="17"/>
                <w:color w:val="auto"/>
              </w:rPr>
              <w:t>Property, plant and equipment, net</w:t>
            </w:r>
          </w:p>
        </w:tc>
        <w:tc>
          <w:tcPr>
            <w:tcW w:w="2760" w:type="dxa"/>
            <w:vAlign w:val="bottom"/>
          </w:tcPr>
          <w:p>
            <w:pPr>
              <w:jc w:val="right"/>
              <w:ind w:right="635"/>
              <w:spacing w:after="0"/>
              <w:rPr>
                <w:sz w:val="20"/>
                <w:szCs w:val="20"/>
                <w:color w:val="auto"/>
              </w:rPr>
            </w:pPr>
            <w:r>
              <w:rPr>
                <w:rFonts w:ascii="Courier New" w:cs="Courier New" w:eastAsia="Courier New" w:hAnsi="Courier New"/>
                <w:sz w:val="17"/>
                <w:szCs w:val="17"/>
                <w:color w:val="auto"/>
              </w:rPr>
              <w:t>27,307</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30,505</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280" w:type="dxa"/>
            <w:vAlign w:val="bottom"/>
          </w:tcPr>
          <w:p>
            <w:pPr>
              <w:spacing w:after="0"/>
              <w:rPr>
                <w:sz w:val="20"/>
                <w:szCs w:val="20"/>
                <w:color w:val="auto"/>
              </w:rPr>
            </w:pPr>
            <w:r>
              <w:rPr>
                <w:rFonts w:ascii="Courier New" w:cs="Courier New" w:eastAsia="Courier New" w:hAnsi="Courier New"/>
                <w:sz w:val="17"/>
                <w:szCs w:val="17"/>
                <w:color w:val="auto"/>
              </w:rPr>
              <w:t>INTANGIBLE ASSETS - NET</w:t>
            </w:r>
          </w:p>
        </w:tc>
        <w:tc>
          <w:tcPr>
            <w:tcW w:w="332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102,776</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106,049</w:t>
            </w:r>
          </w:p>
        </w:tc>
      </w:tr>
      <w:tr>
        <w:trPr>
          <w:trHeight w:val="196"/>
        </w:trPr>
        <w:tc>
          <w:tcPr>
            <w:tcW w:w="428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332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27,509</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28,269</w:t>
            </w:r>
          </w:p>
        </w:tc>
      </w:tr>
      <w:tr>
        <w:trPr>
          <w:trHeight w:val="196"/>
        </w:trPr>
        <w:tc>
          <w:tcPr>
            <w:tcW w:w="428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332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7,058</w:t>
            </w:r>
          </w:p>
        </w:tc>
        <w:tc>
          <w:tcPr>
            <w:tcW w:w="1380" w:type="dxa"/>
            <w:vAlign w:val="bottom"/>
          </w:tcPr>
          <w:p>
            <w:pPr>
              <w:jc w:val="right"/>
              <w:spacing w:after="0"/>
              <w:rPr>
                <w:sz w:val="20"/>
                <w:szCs w:val="20"/>
                <w:color w:val="auto"/>
              </w:rPr>
            </w:pPr>
            <w:r>
              <w:rPr>
                <w:rFonts w:ascii="Courier New" w:cs="Courier New" w:eastAsia="Courier New" w:hAnsi="Courier New"/>
                <w:sz w:val="17"/>
                <w:szCs w:val="17"/>
                <w:color w:val="auto"/>
              </w:rPr>
              <w:t>7,928</w:t>
            </w:r>
          </w:p>
        </w:tc>
      </w:tr>
    </w:tbl>
    <w:p>
      <w:pPr>
        <w:spacing w:after="0" w:line="4" w:lineRule="exact"/>
        <w:rPr>
          <w:sz w:val="20"/>
          <w:szCs w:val="20"/>
          <w:color w:val="auto"/>
        </w:rPr>
      </w:pPr>
    </w:p>
    <w:p>
      <w:pPr>
        <w:ind w:left="200" w:hanging="195"/>
        <w:spacing w:after="0"/>
        <w:tabs>
          <w:tab w:leader="none" w:pos="2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61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$501,363$522,359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392" w:lineRule="exact"/>
        <w:rPr>
          <w:sz w:val="20"/>
          <w:szCs w:val="20"/>
          <w:color w:val="auto"/>
        </w:rPr>
      </w:pPr>
    </w:p>
    <w:p>
      <w:pPr>
        <w:ind w:left="7040"/>
        <w:spacing w:after="0"/>
        <w:rPr>
          <w:sz w:val="20"/>
          <w:szCs w:val="20"/>
          <w:color w:val="auto"/>
        </w:rPr>
      </w:pPr>
      <w:r>
        <w:rPr>
          <w:rFonts w:ascii="Courier New" w:cs="Courier New" w:eastAsia="Courier New" w:hAnsi="Courier New"/>
          <w:sz w:val="17"/>
          <w:szCs w:val="17"/>
          <w:color w:val="auto"/>
        </w:rPr>
        <w:t>(Continued)</w:t>
      </w:r>
    </w:p>
    <w:p>
      <w:pPr>
        <w:spacing w:after="0" w:line="200" w:lineRule="exact"/>
        <w:rPr>
          <w:sz w:val="20"/>
          <w:szCs w:val="20"/>
          <w:color w:val="auto"/>
        </w:rPr>
      </w:pPr>
    </w:p>
    <w:p>
      <w:pPr>
        <w:spacing w:after="0" w:line="392"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311"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7"/>
          <w:szCs w:val="17"/>
          <w:color w:val="auto"/>
        </w:rPr>
        <w:t>4</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ABM INDUSTRIES INCORPORATED AND SUBSIDIARIES</w:t>
      </w:r>
    </w:p>
    <w:p>
      <w:pPr>
        <w:spacing w:after="0" w:line="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CONDENSED CONSOLIDATED BALANCE SHEETS</w:t>
      </w:r>
    </w:p>
    <w:p>
      <w:pPr>
        <w:spacing w:after="0" w:line="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(in thousands except share amounts)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6220"/>
        <w:spacing w:after="0"/>
        <w:tabs>
          <w:tab w:leader="none" w:pos="7940" w:val="left"/>
        </w:tabs>
        <w:rPr>
          <w:sz w:val="20"/>
          <w:szCs w:val="20"/>
          <w:color w:val="auto"/>
        </w:rPr>
      </w:pPr>
      <w:r>
        <w:rPr>
          <w:rFonts w:ascii="Courier New" w:cs="Courier New" w:eastAsia="Courier New" w:hAnsi="Courier New"/>
          <w:sz w:val="17"/>
          <w:szCs w:val="17"/>
          <w:color w:val="auto"/>
        </w:rPr>
        <w:t>OCTOBER 31,</w:t>
      </w:r>
      <w:r>
        <w:rPr>
          <w:sz w:val="20"/>
          <w:szCs w:val="20"/>
          <w:color w:val="auto"/>
        </w:rPr>
        <w:tab/>
      </w:r>
      <w:r>
        <w:rPr>
          <w:rFonts w:ascii="Courier New" w:cs="Courier New" w:eastAsia="Courier New" w:hAnsi="Courier New"/>
          <w:sz w:val="17"/>
          <w:szCs w:val="17"/>
          <w:color w:val="auto"/>
        </w:rPr>
        <w:t>APRIL 30,</w:t>
      </w:r>
    </w:p>
    <w:p>
      <w:pPr>
        <w:spacing w:after="0" w:line="4" w:lineRule="exact"/>
        <w:rPr>
          <w:sz w:val="20"/>
          <w:szCs w:val="20"/>
          <w:color w:val="auto"/>
        </w:rPr>
      </w:pPr>
    </w:p>
    <w:p>
      <w:pPr>
        <w:spacing w:after="0"/>
        <w:tabs>
          <w:tab w:leader="none" w:pos="6520" w:val="left"/>
          <w:tab w:leader="none" w:pos="8140" w:val="left"/>
        </w:tabs>
        <w:rPr>
          <w:sz w:val="20"/>
          <w:szCs w:val="20"/>
          <w:color w:val="auto"/>
        </w:rPr>
      </w:pPr>
      <w:r>
        <w:rPr>
          <w:rFonts w:ascii="Courier New" w:cs="Courier New" w:eastAsia="Courier New" w:hAnsi="Courier New"/>
          <w:sz w:val="17"/>
          <w:szCs w:val="17"/>
          <w:color w:val="auto"/>
        </w:rPr>
        <w:t>LIABILITIES AND STOCKHOLDERS' EQUITY:</w:t>
      </w:r>
      <w:r>
        <w:rPr>
          <w:sz w:val="20"/>
          <w:szCs w:val="20"/>
          <w:color w:val="auto"/>
        </w:rPr>
        <w:tab/>
      </w:r>
      <w:r>
        <w:rPr>
          <w:rFonts w:ascii="Courier New" w:cs="Courier New" w:eastAsia="Courier New" w:hAnsi="Courier New"/>
          <w:sz w:val="17"/>
          <w:szCs w:val="17"/>
          <w:color w:val="auto"/>
        </w:rPr>
        <w:t>1998</w:t>
      </w:r>
      <w:r>
        <w:rPr>
          <w:sz w:val="20"/>
          <w:szCs w:val="20"/>
          <w:color w:val="auto"/>
        </w:rPr>
        <w:tab/>
      </w:r>
      <w:r>
        <w:rPr>
          <w:rFonts w:ascii="Courier New" w:cs="Courier New" w:eastAsia="Courier New" w:hAnsi="Courier New"/>
          <w:sz w:val="17"/>
          <w:szCs w:val="17"/>
          <w:color w:val="auto"/>
        </w:rPr>
        <w:t>1999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0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4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6"/>
        </w:trPr>
        <w:tc>
          <w:tcPr>
            <w:tcW w:w="5000" w:type="dxa"/>
            <w:vAlign w:val="bottom"/>
          </w:tcPr>
          <w:p>
            <w:pPr>
              <w:ind w:left="320"/>
              <w:spacing w:after="0"/>
              <w:rPr>
                <w:sz w:val="20"/>
                <w:szCs w:val="20"/>
                <w:color w:val="auto"/>
              </w:rPr>
            </w:pPr>
            <w:r>
              <w:rPr>
                <w:rFonts w:ascii="Courier New" w:cs="Courier New" w:eastAsia="Courier New" w:hAnsi="Courier New"/>
                <w:sz w:val="17"/>
                <w:szCs w:val="17"/>
                <w:color w:val="auto"/>
              </w:rPr>
              <w:t>Current portion of long-term debt</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865</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920</w:t>
            </w:r>
          </w:p>
        </w:tc>
      </w:tr>
      <w:tr>
        <w:trPr>
          <w:trHeight w:val="196"/>
        </w:trPr>
        <w:tc>
          <w:tcPr>
            <w:tcW w:w="5000" w:type="dxa"/>
            <w:vAlign w:val="bottom"/>
          </w:tcPr>
          <w:p>
            <w:pPr>
              <w:ind w:left="320"/>
              <w:spacing w:after="0"/>
              <w:rPr>
                <w:sz w:val="20"/>
                <w:szCs w:val="20"/>
                <w:color w:val="auto"/>
              </w:rPr>
            </w:pPr>
            <w:r>
              <w:rPr>
                <w:rFonts w:ascii="Courier New" w:cs="Courier New" w:eastAsia="Courier New" w:hAnsi="Courier New"/>
                <w:sz w:val="17"/>
                <w:szCs w:val="17"/>
                <w:color w:val="auto"/>
              </w:rPr>
              <w:t>Bank overdraft</w:t>
            </w:r>
          </w:p>
        </w:tc>
        <w:tc>
          <w:tcPr>
            <w:tcW w:w="1480" w:type="dxa"/>
            <w:vAlign w:val="bottom"/>
          </w:tcPr>
          <w:p>
            <w:pPr>
              <w:spacing w:after="0"/>
              <w:rPr>
                <w:sz w:val="17"/>
                <w:szCs w:val="17"/>
                <w:color w:val="auto"/>
              </w:rPr>
            </w:pPr>
          </w:p>
        </w:tc>
        <w:tc>
          <w:tcPr>
            <w:tcW w:w="10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2,475</w:t>
            </w:r>
          </w:p>
        </w:tc>
        <w:tc>
          <w:tcPr>
            <w:tcW w:w="5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15,203</w:t>
            </w:r>
          </w:p>
        </w:tc>
      </w:tr>
      <w:tr>
        <w:trPr>
          <w:trHeight w:val="196"/>
        </w:trPr>
        <w:tc>
          <w:tcPr>
            <w:tcW w:w="5000" w:type="dxa"/>
            <w:vAlign w:val="bottom"/>
          </w:tcPr>
          <w:p>
            <w:pPr>
              <w:ind w:left="320"/>
              <w:spacing w:after="0"/>
              <w:rPr>
                <w:sz w:val="20"/>
                <w:szCs w:val="20"/>
                <w:color w:val="auto"/>
              </w:rPr>
            </w:pPr>
            <w:r>
              <w:rPr>
                <w:rFonts w:ascii="Courier New" w:cs="Courier New" w:eastAsia="Courier New" w:hAnsi="Courier New"/>
                <w:sz w:val="17"/>
                <w:szCs w:val="17"/>
                <w:color w:val="auto"/>
              </w:rPr>
              <w:t>Trade accounts payable</w:t>
            </w:r>
          </w:p>
        </w:tc>
        <w:tc>
          <w:tcPr>
            <w:tcW w:w="1480" w:type="dxa"/>
            <w:vAlign w:val="bottom"/>
          </w:tcPr>
          <w:p>
            <w:pPr>
              <w:spacing w:after="0"/>
              <w:rPr>
                <w:sz w:val="17"/>
                <w:szCs w:val="17"/>
                <w:color w:val="auto"/>
              </w:rPr>
            </w:pPr>
          </w:p>
        </w:tc>
        <w:tc>
          <w:tcPr>
            <w:tcW w:w="10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34,992</w:t>
            </w:r>
          </w:p>
        </w:tc>
        <w:tc>
          <w:tcPr>
            <w:tcW w:w="5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34,904</w:t>
            </w:r>
          </w:p>
        </w:tc>
      </w:tr>
      <w:tr>
        <w:trPr>
          <w:trHeight w:val="196"/>
        </w:trPr>
        <w:tc>
          <w:tcPr>
            <w:tcW w:w="5000" w:type="dxa"/>
            <w:vAlign w:val="bottom"/>
          </w:tcPr>
          <w:p>
            <w:pPr>
              <w:ind w:left="320"/>
              <w:spacing w:after="0"/>
              <w:rPr>
                <w:sz w:val="20"/>
                <w:szCs w:val="20"/>
                <w:color w:val="auto"/>
              </w:rPr>
            </w:pPr>
            <w:r>
              <w:rPr>
                <w:rFonts w:ascii="Courier New" w:cs="Courier New" w:eastAsia="Courier New" w:hAnsi="Courier New"/>
                <w:sz w:val="17"/>
                <w:szCs w:val="17"/>
                <w:color w:val="auto"/>
              </w:rPr>
              <w:t>Income taxes payable</w:t>
            </w:r>
          </w:p>
        </w:tc>
        <w:tc>
          <w:tcPr>
            <w:tcW w:w="1480" w:type="dxa"/>
            <w:vAlign w:val="bottom"/>
          </w:tcPr>
          <w:p>
            <w:pPr>
              <w:spacing w:after="0"/>
              <w:rPr>
                <w:sz w:val="17"/>
                <w:szCs w:val="17"/>
                <w:color w:val="auto"/>
              </w:rPr>
            </w:pPr>
          </w:p>
        </w:tc>
        <w:tc>
          <w:tcPr>
            <w:tcW w:w="10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5,527</w:t>
            </w:r>
          </w:p>
        </w:tc>
        <w:tc>
          <w:tcPr>
            <w:tcW w:w="5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7,551</w:t>
            </w:r>
          </w:p>
        </w:tc>
      </w:tr>
      <w:tr>
        <w:trPr>
          <w:trHeight w:val="196"/>
        </w:trPr>
        <w:tc>
          <w:tcPr>
            <w:tcW w:w="5000" w:type="dxa"/>
            <w:vAlign w:val="bottom"/>
          </w:tcPr>
          <w:p>
            <w:pPr>
              <w:ind w:left="320"/>
              <w:spacing w:after="0"/>
              <w:rPr>
                <w:sz w:val="20"/>
                <w:szCs w:val="20"/>
                <w:color w:val="auto"/>
              </w:rPr>
            </w:pPr>
            <w:r>
              <w:rPr>
                <w:rFonts w:ascii="Courier New" w:cs="Courier New" w:eastAsia="Courier New" w:hAnsi="Courier New"/>
                <w:sz w:val="17"/>
                <w:szCs w:val="17"/>
                <w:color w:val="auto"/>
              </w:rPr>
              <w:t>Accrued Liabilities:</w:t>
            </w:r>
          </w:p>
        </w:tc>
        <w:tc>
          <w:tcPr>
            <w:tcW w:w="1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196"/>
        </w:trPr>
        <w:tc>
          <w:tcPr>
            <w:tcW w:w="5000" w:type="dxa"/>
            <w:vAlign w:val="bottom"/>
          </w:tcPr>
          <w:p>
            <w:pPr>
              <w:ind w:left="620"/>
              <w:spacing w:after="0"/>
              <w:rPr>
                <w:sz w:val="20"/>
                <w:szCs w:val="20"/>
                <w:color w:val="auto"/>
              </w:rPr>
            </w:pPr>
            <w:r>
              <w:rPr>
                <w:rFonts w:ascii="Courier New" w:cs="Courier New" w:eastAsia="Courier New" w:hAnsi="Courier New"/>
                <w:sz w:val="17"/>
                <w:szCs w:val="17"/>
                <w:color w:val="auto"/>
              </w:rPr>
              <w:t>Compensation</w:t>
            </w:r>
          </w:p>
        </w:tc>
        <w:tc>
          <w:tcPr>
            <w:tcW w:w="1480" w:type="dxa"/>
            <w:vAlign w:val="bottom"/>
          </w:tcPr>
          <w:p>
            <w:pPr>
              <w:spacing w:after="0"/>
              <w:rPr>
                <w:sz w:val="17"/>
                <w:szCs w:val="17"/>
                <w:color w:val="auto"/>
              </w:rPr>
            </w:pPr>
          </w:p>
        </w:tc>
        <w:tc>
          <w:tcPr>
            <w:tcW w:w="10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40,914</w:t>
            </w:r>
          </w:p>
        </w:tc>
        <w:tc>
          <w:tcPr>
            <w:tcW w:w="5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41,741</w:t>
            </w:r>
          </w:p>
        </w:tc>
      </w:tr>
      <w:tr>
        <w:trPr>
          <w:trHeight w:val="196"/>
        </w:trPr>
        <w:tc>
          <w:tcPr>
            <w:tcW w:w="5000" w:type="dxa"/>
            <w:vAlign w:val="bottom"/>
          </w:tcPr>
          <w:p>
            <w:pPr>
              <w:ind w:left="620"/>
              <w:spacing w:after="0"/>
              <w:rPr>
                <w:sz w:val="20"/>
                <w:szCs w:val="20"/>
                <w:color w:val="auto"/>
              </w:rPr>
            </w:pPr>
            <w:r>
              <w:rPr>
                <w:rFonts w:ascii="Courier New" w:cs="Courier New" w:eastAsia="Courier New" w:hAnsi="Courier New"/>
                <w:sz w:val="17"/>
                <w:szCs w:val="17"/>
                <w:color w:val="auto"/>
              </w:rPr>
              <w:t>Taxes - other than income</w:t>
            </w:r>
          </w:p>
        </w:tc>
        <w:tc>
          <w:tcPr>
            <w:tcW w:w="1480" w:type="dxa"/>
            <w:vAlign w:val="bottom"/>
          </w:tcPr>
          <w:p>
            <w:pPr>
              <w:spacing w:after="0"/>
              <w:rPr>
                <w:sz w:val="17"/>
                <w:szCs w:val="17"/>
                <w:color w:val="auto"/>
              </w:rPr>
            </w:pPr>
          </w:p>
        </w:tc>
        <w:tc>
          <w:tcPr>
            <w:tcW w:w="10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15,887</w:t>
            </w:r>
          </w:p>
        </w:tc>
        <w:tc>
          <w:tcPr>
            <w:tcW w:w="5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15,504</w:t>
            </w:r>
          </w:p>
        </w:tc>
      </w:tr>
      <w:tr>
        <w:trPr>
          <w:trHeight w:val="196"/>
        </w:trPr>
        <w:tc>
          <w:tcPr>
            <w:tcW w:w="5000" w:type="dxa"/>
            <w:vAlign w:val="bottom"/>
          </w:tcPr>
          <w:p>
            <w:pPr>
              <w:ind w:left="620"/>
              <w:spacing w:after="0"/>
              <w:rPr>
                <w:sz w:val="20"/>
                <w:szCs w:val="20"/>
                <w:color w:val="auto"/>
              </w:rPr>
            </w:pPr>
            <w:r>
              <w:rPr>
                <w:rFonts w:ascii="Courier New" w:cs="Courier New" w:eastAsia="Courier New" w:hAnsi="Courier New"/>
                <w:sz w:val="17"/>
                <w:szCs w:val="17"/>
                <w:color w:val="auto"/>
              </w:rPr>
              <w:t>Insurance claims</w:t>
            </w:r>
          </w:p>
        </w:tc>
        <w:tc>
          <w:tcPr>
            <w:tcW w:w="1480" w:type="dxa"/>
            <w:vAlign w:val="bottom"/>
          </w:tcPr>
          <w:p>
            <w:pPr>
              <w:spacing w:after="0"/>
              <w:rPr>
                <w:sz w:val="17"/>
                <w:szCs w:val="17"/>
                <w:color w:val="auto"/>
              </w:rPr>
            </w:pPr>
          </w:p>
        </w:tc>
        <w:tc>
          <w:tcPr>
            <w:tcW w:w="10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29,254</w:t>
            </w:r>
          </w:p>
        </w:tc>
        <w:tc>
          <w:tcPr>
            <w:tcW w:w="5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29,380</w:t>
            </w:r>
          </w:p>
        </w:tc>
      </w:tr>
      <w:tr>
        <w:trPr>
          <w:trHeight w:val="196"/>
        </w:trPr>
        <w:tc>
          <w:tcPr>
            <w:tcW w:w="5000" w:type="dxa"/>
            <w:vAlign w:val="bottom"/>
          </w:tcPr>
          <w:p>
            <w:pPr>
              <w:ind w:left="620"/>
              <w:spacing w:after="0"/>
              <w:rPr>
                <w:sz w:val="20"/>
                <w:szCs w:val="20"/>
                <w:color w:val="auto"/>
              </w:rPr>
            </w:pPr>
            <w:r>
              <w:rPr>
                <w:rFonts w:ascii="Courier New" w:cs="Courier New" w:eastAsia="Courier New" w:hAnsi="Courier New"/>
                <w:sz w:val="17"/>
                <w:szCs w:val="17"/>
                <w:color w:val="auto"/>
              </w:rPr>
              <w:t>Other</w:t>
            </w:r>
          </w:p>
        </w:tc>
        <w:tc>
          <w:tcPr>
            <w:tcW w:w="1480" w:type="dxa"/>
            <w:vAlign w:val="bottom"/>
          </w:tcPr>
          <w:p>
            <w:pPr>
              <w:spacing w:after="0"/>
              <w:rPr>
                <w:sz w:val="17"/>
                <w:szCs w:val="17"/>
                <w:color w:val="auto"/>
              </w:rPr>
            </w:pPr>
          </w:p>
        </w:tc>
        <w:tc>
          <w:tcPr>
            <w:tcW w:w="10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27,910</w:t>
            </w:r>
          </w:p>
        </w:tc>
        <w:tc>
          <w:tcPr>
            <w:tcW w:w="5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31,824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100" w:type="dxa"/>
            <w:vAlign w:val="bottom"/>
          </w:tcPr>
          <w:p>
            <w:pPr>
              <w:ind w:left="920"/>
              <w:spacing w:after="0"/>
              <w:rPr>
                <w:sz w:val="20"/>
                <w:szCs w:val="20"/>
                <w:color w:val="auto"/>
              </w:rPr>
            </w:pPr>
            <w:r>
              <w:rPr>
                <w:rFonts w:ascii="Courier New" w:cs="Courier New" w:eastAsia="Courier New" w:hAnsi="Courier New"/>
                <w:sz w:val="17"/>
                <w:szCs w:val="17"/>
                <w:color w:val="auto"/>
              </w:rPr>
              <w:t>Total current liabilities</w:t>
            </w:r>
          </w:p>
        </w:tc>
        <w:tc>
          <w:tcPr>
            <w:tcW w:w="250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157,824</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177,027</w:t>
            </w:r>
          </w:p>
        </w:tc>
      </w:tr>
      <w:tr>
        <w:trPr>
          <w:trHeight w:val="196"/>
        </w:trPr>
        <w:tc>
          <w:tcPr>
            <w:tcW w:w="5100" w:type="dxa"/>
            <w:vAlign w:val="bottom"/>
          </w:tcPr>
          <w:p>
            <w:pPr>
              <w:spacing w:after="0"/>
              <w:rPr>
                <w:sz w:val="20"/>
                <w:szCs w:val="20"/>
                <w:color w:val="auto"/>
              </w:rPr>
            </w:pPr>
            <w:r>
              <w:rPr>
                <w:rFonts w:ascii="Courier New" w:cs="Courier New" w:eastAsia="Courier New" w:hAnsi="Courier New"/>
                <w:sz w:val="17"/>
                <w:szCs w:val="17"/>
                <w:color w:val="auto"/>
              </w:rPr>
              <w:t>Long-Term Debt (less current portion)</w:t>
            </w:r>
          </w:p>
        </w:tc>
        <w:tc>
          <w:tcPr>
            <w:tcW w:w="250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33,720</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14,949</w:t>
            </w:r>
          </w:p>
        </w:tc>
      </w:tr>
      <w:tr>
        <w:trPr>
          <w:trHeight w:val="196"/>
        </w:trPr>
        <w:tc>
          <w:tcPr>
            <w:tcW w:w="5100" w:type="dxa"/>
            <w:vAlign w:val="bottom"/>
          </w:tcPr>
          <w:p>
            <w:pPr>
              <w:spacing w:after="0"/>
              <w:rPr>
                <w:sz w:val="20"/>
                <w:szCs w:val="20"/>
                <w:color w:val="auto"/>
              </w:rPr>
            </w:pPr>
            <w:r>
              <w:rPr>
                <w:rFonts w:ascii="Courier New" w:cs="Courier New" w:eastAsia="Courier New" w:hAnsi="Courier New"/>
                <w:sz w:val="17"/>
                <w:szCs w:val="17"/>
                <w:color w:val="auto"/>
              </w:rPr>
              <w:t>Retirement plans</w:t>
            </w:r>
          </w:p>
        </w:tc>
        <w:tc>
          <w:tcPr>
            <w:tcW w:w="250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15,974</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17,786</w:t>
            </w:r>
          </w:p>
        </w:tc>
      </w:tr>
      <w:tr>
        <w:trPr>
          <w:trHeight w:val="196"/>
        </w:trPr>
        <w:tc>
          <w:tcPr>
            <w:tcW w:w="5100" w:type="dxa"/>
            <w:vAlign w:val="bottom"/>
          </w:tcPr>
          <w:p>
            <w:pPr>
              <w:spacing w:after="0"/>
              <w:rPr>
                <w:sz w:val="20"/>
                <w:szCs w:val="20"/>
                <w:color w:val="auto"/>
              </w:rPr>
            </w:pPr>
            <w:r>
              <w:rPr>
                <w:rFonts w:ascii="Courier New" w:cs="Courier New" w:eastAsia="Courier New" w:hAnsi="Courier New"/>
                <w:sz w:val="17"/>
                <w:szCs w:val="17"/>
                <w:color w:val="auto"/>
              </w:rPr>
              <w:t>Insurance claims</w:t>
            </w:r>
          </w:p>
        </w:tc>
        <w:tc>
          <w:tcPr>
            <w:tcW w:w="250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49,911</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50,323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920" w:type="dxa"/>
        <w:tblCellMar>
          <w:top w:w="0" w:type="dxa"/>
          <w:left w:w="0" w:type="dxa"/>
          <w:bottom w:w="0" w:type="dxa"/>
          <w:right w:w="0" w:type="dxa"/>
        </w:tblCellMar>
      </w:tblPr>
      <w:tr>
        <w:trPr>
          <w:trHeight w:val="193"/>
        </w:trPr>
        <w:tc>
          <w:tcPr>
            <w:tcW w:w="3620" w:type="dxa"/>
            <w:vAlign w:val="bottom"/>
          </w:tcPr>
          <w:p>
            <w:pPr>
              <w:spacing w:after="0"/>
              <w:rPr>
                <w:sz w:val="20"/>
                <w:szCs w:val="20"/>
                <w:color w:val="auto"/>
              </w:rPr>
            </w:pPr>
            <w:r>
              <w:rPr>
                <w:rFonts w:ascii="Courier New" w:cs="Courier New" w:eastAsia="Courier New" w:hAnsi="Courier New"/>
                <w:sz w:val="17"/>
                <w:szCs w:val="17"/>
                <w:color w:val="auto"/>
              </w:rPr>
              <w:t>Total Liabilities</w:t>
            </w:r>
          </w:p>
        </w:tc>
        <w:tc>
          <w:tcPr>
            <w:tcW w:w="306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257,429</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260,085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20" w:type="dxa"/>
            <w:vAlign w:val="bottom"/>
          </w:tcPr>
          <w:p>
            <w:pPr>
              <w:ind w:left="100"/>
              <w:spacing w:after="0"/>
              <w:rPr>
                <w:sz w:val="20"/>
                <w:szCs w:val="20"/>
                <w:color w:val="auto"/>
              </w:rPr>
            </w:pPr>
            <w:r>
              <w:rPr>
                <w:rFonts w:ascii="Courier New" w:cs="Courier New" w:eastAsia="Courier New" w:hAnsi="Courier New"/>
                <w:sz w:val="17"/>
                <w:szCs w:val="17"/>
                <w:color w:val="auto"/>
              </w:rPr>
              <w:t>SERIES B 8% SENIOR REDEEMABLE CUMULATIVE</w:t>
            </w:r>
          </w:p>
        </w:tc>
        <w:tc>
          <w:tcPr>
            <w:tcW w:w="20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96"/>
        </w:trPr>
        <w:tc>
          <w:tcPr>
            <w:tcW w:w="5520" w:type="dxa"/>
            <w:vAlign w:val="bottom"/>
          </w:tcPr>
          <w:p>
            <w:pPr>
              <w:ind w:left="420"/>
              <w:spacing w:after="0"/>
              <w:rPr>
                <w:sz w:val="20"/>
                <w:szCs w:val="20"/>
                <w:color w:val="auto"/>
              </w:rPr>
            </w:pPr>
            <w:r>
              <w:rPr>
                <w:rFonts w:ascii="Courier New" w:cs="Courier New" w:eastAsia="Courier New" w:hAnsi="Courier New"/>
                <w:sz w:val="17"/>
                <w:szCs w:val="17"/>
                <w:color w:val="auto"/>
              </w:rPr>
              <w:t>PREFERRED STOCK</w:t>
            </w:r>
          </w:p>
        </w:tc>
        <w:tc>
          <w:tcPr>
            <w:tcW w:w="20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6,400</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6,400</w:t>
            </w:r>
          </w:p>
        </w:tc>
      </w:tr>
      <w:tr>
        <w:trPr>
          <w:trHeight w:val="392"/>
        </w:trPr>
        <w:tc>
          <w:tcPr>
            <w:tcW w:w="552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20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6"/>
        </w:trPr>
        <w:tc>
          <w:tcPr>
            <w:tcW w:w="5520" w:type="dxa"/>
            <w:vAlign w:val="bottom"/>
          </w:tcPr>
          <w:p>
            <w:pPr>
              <w:ind w:left="100"/>
              <w:spacing w:after="0"/>
              <w:rPr>
                <w:sz w:val="20"/>
                <w:szCs w:val="20"/>
                <w:color w:val="auto"/>
              </w:rPr>
            </w:pPr>
            <w:r>
              <w:rPr>
                <w:rFonts w:ascii="Courier New" w:cs="Courier New" w:eastAsia="Courier New" w:hAnsi="Courier New"/>
                <w:sz w:val="17"/>
                <w:szCs w:val="17"/>
                <w:color w:val="auto"/>
              </w:rPr>
              <w:t>Preferred stock, $0.01 par value, 500,000</w:t>
            </w:r>
          </w:p>
        </w:tc>
        <w:tc>
          <w:tcPr>
            <w:tcW w:w="20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5520" w:type="dxa"/>
            <w:vAlign w:val="bottom"/>
          </w:tcPr>
          <w:p>
            <w:pPr>
              <w:ind w:left="320"/>
              <w:spacing w:after="0"/>
              <w:rPr>
                <w:sz w:val="20"/>
                <w:szCs w:val="20"/>
                <w:color w:val="auto"/>
              </w:rPr>
            </w:pPr>
            <w:r>
              <w:rPr>
                <w:rFonts w:ascii="Courier New" w:cs="Courier New" w:eastAsia="Courier New" w:hAnsi="Courier New"/>
                <w:sz w:val="17"/>
                <w:szCs w:val="17"/>
                <w:color w:val="auto"/>
              </w:rPr>
              <w:t>shares authorized;  none issued</w:t>
            </w:r>
          </w:p>
        </w:tc>
        <w:tc>
          <w:tcPr>
            <w:tcW w:w="20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5520" w:type="dxa"/>
            <w:vAlign w:val="bottom"/>
          </w:tcPr>
          <w:p>
            <w:pPr>
              <w:ind w:left="100"/>
              <w:spacing w:after="0"/>
              <w:rPr>
                <w:sz w:val="20"/>
                <w:szCs w:val="20"/>
                <w:color w:val="auto"/>
              </w:rPr>
            </w:pPr>
            <w:r>
              <w:rPr>
                <w:rFonts w:ascii="Courier New" w:cs="Courier New" w:eastAsia="Courier New" w:hAnsi="Courier New"/>
                <w:sz w:val="17"/>
                <w:szCs w:val="17"/>
                <w:color w:val="auto"/>
              </w:rPr>
              <w:t>Common stock, $.01 par value,</w:t>
            </w:r>
          </w:p>
        </w:tc>
        <w:tc>
          <w:tcPr>
            <w:tcW w:w="20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5520" w:type="dxa"/>
            <w:vAlign w:val="bottom"/>
          </w:tcPr>
          <w:p>
            <w:pPr>
              <w:ind w:left="320"/>
              <w:spacing w:after="0"/>
              <w:rPr>
                <w:sz w:val="20"/>
                <w:szCs w:val="20"/>
                <w:color w:val="auto"/>
              </w:rPr>
            </w:pPr>
            <w:r>
              <w:rPr>
                <w:rFonts w:ascii="Courier New" w:cs="Courier New" w:eastAsia="Courier New" w:hAnsi="Courier New"/>
                <w:sz w:val="17"/>
                <w:szCs w:val="17"/>
                <w:color w:val="auto"/>
              </w:rPr>
              <w:t>100,000,000 shares authorized;</w:t>
            </w:r>
          </w:p>
        </w:tc>
        <w:tc>
          <w:tcPr>
            <w:tcW w:w="20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5520" w:type="dxa"/>
            <w:vAlign w:val="bottom"/>
          </w:tcPr>
          <w:p>
            <w:pPr>
              <w:ind w:left="320"/>
              <w:spacing w:after="0"/>
              <w:rPr>
                <w:sz w:val="20"/>
                <w:szCs w:val="20"/>
                <w:color w:val="auto"/>
              </w:rPr>
            </w:pPr>
            <w:r>
              <w:rPr>
                <w:rFonts w:ascii="Courier New" w:cs="Courier New" w:eastAsia="Courier New" w:hAnsi="Courier New"/>
                <w:sz w:val="17"/>
                <w:szCs w:val="17"/>
                <w:color w:val="auto"/>
              </w:rPr>
              <w:t>21,601,000 and 22,067,000 shares</w:t>
            </w:r>
          </w:p>
        </w:tc>
        <w:tc>
          <w:tcPr>
            <w:tcW w:w="20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5520" w:type="dxa"/>
            <w:vAlign w:val="bottom"/>
          </w:tcPr>
          <w:p>
            <w:pPr>
              <w:ind w:left="320"/>
              <w:spacing w:after="0"/>
              <w:rPr>
                <w:sz w:val="20"/>
                <w:szCs w:val="20"/>
                <w:color w:val="auto"/>
              </w:rPr>
            </w:pPr>
            <w:r>
              <w:rPr>
                <w:rFonts w:ascii="Courier New" w:cs="Courier New" w:eastAsia="Courier New" w:hAnsi="Courier New"/>
                <w:sz w:val="17"/>
                <w:szCs w:val="17"/>
                <w:color w:val="auto"/>
              </w:rPr>
              <w:t>issued and outstanding at October 31, 1998</w:t>
            </w:r>
          </w:p>
        </w:tc>
        <w:tc>
          <w:tcPr>
            <w:tcW w:w="20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216</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221</w:t>
            </w:r>
          </w:p>
        </w:tc>
      </w:tr>
      <w:tr>
        <w:trPr>
          <w:trHeight w:val="196"/>
        </w:trPr>
        <w:tc>
          <w:tcPr>
            <w:tcW w:w="5520" w:type="dxa"/>
            <w:vAlign w:val="bottom"/>
          </w:tcPr>
          <w:p>
            <w:pPr>
              <w:ind w:left="320"/>
              <w:spacing w:after="0"/>
              <w:rPr>
                <w:sz w:val="20"/>
                <w:szCs w:val="20"/>
                <w:color w:val="auto"/>
              </w:rPr>
            </w:pPr>
            <w:r>
              <w:rPr>
                <w:rFonts w:ascii="Courier New" w:cs="Courier New" w:eastAsia="Courier New" w:hAnsi="Courier New"/>
                <w:sz w:val="17"/>
                <w:szCs w:val="17"/>
                <w:color w:val="auto"/>
              </w:rPr>
              <w:t>and April 30, 1999, respectively</w:t>
            </w:r>
          </w:p>
        </w:tc>
        <w:tc>
          <w:tcPr>
            <w:tcW w:w="20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6"/>
        </w:trPr>
        <w:tc>
          <w:tcPr>
            <w:tcW w:w="5520" w:type="dxa"/>
            <w:vAlign w:val="bottom"/>
          </w:tcPr>
          <w:p>
            <w:pPr>
              <w:ind w:left="100"/>
              <w:spacing w:after="0"/>
              <w:rPr>
                <w:sz w:val="20"/>
                <w:szCs w:val="20"/>
                <w:color w:val="auto"/>
              </w:rPr>
            </w:pPr>
            <w:r>
              <w:rPr>
                <w:rFonts w:ascii="Courier New" w:cs="Courier New" w:eastAsia="Courier New" w:hAnsi="Courier New"/>
                <w:sz w:val="17"/>
                <w:szCs w:val="17"/>
                <w:color w:val="auto"/>
              </w:rPr>
              <w:t>Additional capital</w:t>
            </w:r>
          </w:p>
        </w:tc>
        <w:tc>
          <w:tcPr>
            <w:tcW w:w="20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79,904</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89,381</w:t>
            </w:r>
          </w:p>
        </w:tc>
      </w:tr>
      <w:tr>
        <w:trPr>
          <w:trHeight w:val="196"/>
        </w:trPr>
        <w:tc>
          <w:tcPr>
            <w:tcW w:w="5520" w:type="dxa"/>
            <w:vAlign w:val="bottom"/>
          </w:tcPr>
          <w:p>
            <w:pPr>
              <w:ind w:left="100"/>
              <w:spacing w:after="0"/>
              <w:rPr>
                <w:sz w:val="20"/>
                <w:szCs w:val="20"/>
                <w:color w:val="auto"/>
              </w:rPr>
            </w:pPr>
            <w:r>
              <w:rPr>
                <w:rFonts w:ascii="Courier New" w:cs="Courier New" w:eastAsia="Courier New" w:hAnsi="Courier New"/>
                <w:sz w:val="17"/>
                <w:szCs w:val="17"/>
                <w:color w:val="auto"/>
              </w:rPr>
              <w:t>Retained earnings</w:t>
            </w:r>
          </w:p>
        </w:tc>
        <w:tc>
          <w:tcPr>
            <w:tcW w:w="20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157,414</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166,272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920" w:type="dxa"/>
        <w:tblCellMar>
          <w:top w:w="0" w:type="dxa"/>
          <w:left w:w="0" w:type="dxa"/>
          <w:bottom w:w="0" w:type="dxa"/>
          <w:right w:w="0" w:type="dxa"/>
        </w:tblCellMar>
      </w:tblPr>
      <w:tr>
        <w:trPr>
          <w:trHeight w:val="193"/>
        </w:trPr>
        <w:tc>
          <w:tcPr>
            <w:tcW w:w="4080" w:type="dxa"/>
            <w:vAlign w:val="bottom"/>
          </w:tcPr>
          <w:p>
            <w:pPr>
              <w:spacing w:after="0"/>
              <w:rPr>
                <w:sz w:val="20"/>
                <w:szCs w:val="20"/>
                <w:color w:val="auto"/>
              </w:rPr>
            </w:pPr>
            <w:r>
              <w:rPr>
                <w:rFonts w:ascii="Courier New" w:cs="Courier New" w:eastAsia="Courier New" w:hAnsi="Courier New"/>
                <w:sz w:val="17"/>
                <w:szCs w:val="17"/>
                <w:color w:val="auto"/>
              </w:rPr>
              <w:t>Total stockholders' equity</w:t>
            </w:r>
          </w:p>
        </w:tc>
        <w:tc>
          <w:tcPr>
            <w:tcW w:w="260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237,534</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255,874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ind w:left="6340"/>
        <w:spacing w:after="0"/>
        <w:tabs>
          <w:tab w:leader="none" w:pos="7940" w:val="left"/>
        </w:tabs>
        <w:rPr>
          <w:sz w:val="20"/>
          <w:szCs w:val="20"/>
          <w:color w:val="auto"/>
        </w:rPr>
      </w:pPr>
      <w:r>
        <w:rPr>
          <w:rFonts w:ascii="Courier New" w:cs="Courier New" w:eastAsia="Courier New" w:hAnsi="Courier New"/>
          <w:sz w:val="17"/>
          <w:szCs w:val="17"/>
          <w:color w:val="auto"/>
        </w:rPr>
        <w:t>$501,363</w:t>
      </w:r>
      <w:r>
        <w:rPr>
          <w:sz w:val="20"/>
          <w:szCs w:val="20"/>
          <w:color w:val="auto"/>
        </w:rPr>
        <w:tab/>
      </w:r>
      <w:r>
        <w:rPr>
          <w:rFonts w:ascii="Courier New" w:cs="Courier New" w:eastAsia="Courier New" w:hAnsi="Courier New"/>
          <w:sz w:val="17"/>
          <w:szCs w:val="17"/>
          <w:color w:val="auto"/>
        </w:rPr>
        <w:t>$522,359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397" w:lineRule="exact"/>
        <w:rPr>
          <w:sz w:val="20"/>
          <w:szCs w:val="20"/>
          <w:color w:val="auto"/>
        </w:rPr>
      </w:pPr>
    </w:p>
    <w:p>
      <w:pPr>
        <w:ind w:right="2759"/>
        <w:spacing w:after="0" w:line="243" w:lineRule="auto"/>
        <w:rPr>
          <w:sz w:val="20"/>
          <w:szCs w:val="20"/>
          <w:color w:val="auto"/>
        </w:rPr>
      </w:pPr>
      <w:r>
        <w:rPr>
          <w:rFonts w:ascii="Courier New" w:cs="Courier New" w:eastAsia="Courier New" w:hAnsi="Courier New"/>
          <w:sz w:val="17"/>
          <w:szCs w:val="17"/>
          <w:color w:val="auto"/>
        </w:rPr>
        <w:t>The accompanying notes are an integral part of the condensed consolidated financial statements.</w:t>
      </w:r>
    </w:p>
    <w:p>
      <w:pPr>
        <w:spacing w:after="0" w:line="200" w:lineRule="exact"/>
        <w:rPr>
          <w:sz w:val="20"/>
          <w:szCs w:val="20"/>
          <w:color w:val="auto"/>
        </w:rPr>
      </w:pPr>
    </w:p>
    <w:p>
      <w:pPr>
        <w:spacing w:after="0" w:line="390"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9"/>
          </w:cols>
          <w:pgMar w:left="240" w:top="311"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7"/>
          <w:szCs w:val="17"/>
          <w:color w:val="auto"/>
        </w:rPr>
        <w:t>5</w:t>
      </w:r>
    </w:p>
    <w:p>
      <w:pPr>
        <w:spacing w:after="0" w:line="4" w:lineRule="exact"/>
        <w:rPr>
          <w:sz w:val="20"/>
          <w:szCs w:val="20"/>
          <w:color w:val="auto"/>
        </w:rPr>
      </w:pPr>
    </w:p>
    <w:p>
      <w:pPr>
        <w:jc w:val="right"/>
        <w:ind w:right="5180"/>
        <w:spacing w:after="0"/>
        <w:rPr>
          <w:sz w:val="20"/>
          <w:szCs w:val="20"/>
          <w:color w:val="auto"/>
        </w:rPr>
      </w:pPr>
      <w:r>
        <w:rPr>
          <w:rFonts w:ascii="Courier New" w:cs="Courier New" w:eastAsia="Courier New" w:hAnsi="Courier New"/>
          <w:sz w:val="17"/>
          <w:szCs w:val="17"/>
          <w:color w:val="auto"/>
        </w:rPr>
        <w:t>ABM INDUSTRIES INCORPORATED AND SUBSIDIARIES</w:t>
      </w:r>
    </w:p>
    <w:p>
      <w:pPr>
        <w:spacing w:after="0" w:line="4" w:lineRule="exact"/>
        <w:rPr>
          <w:sz w:val="20"/>
          <w:szCs w:val="20"/>
          <w:color w:val="auto"/>
        </w:rPr>
      </w:pPr>
    </w:p>
    <w:p>
      <w:pPr>
        <w:jc w:val="right"/>
        <w:ind w:right="5180"/>
        <w:spacing w:after="0"/>
        <w:rPr>
          <w:sz w:val="20"/>
          <w:szCs w:val="20"/>
          <w:color w:val="auto"/>
        </w:rPr>
      </w:pPr>
      <w:r>
        <w:rPr>
          <w:rFonts w:ascii="Courier New" w:cs="Courier New" w:eastAsia="Courier New" w:hAnsi="Courier New"/>
          <w:sz w:val="17"/>
          <w:szCs w:val="17"/>
          <w:color w:val="auto"/>
        </w:rPr>
        <w:t>CONDENSED CONSOLIDATED STATEMENTS OF INCOME</w:t>
      </w:r>
    </w:p>
    <w:p>
      <w:pPr>
        <w:spacing w:after="0" w:line="200" w:lineRule="exact"/>
        <w:rPr>
          <w:sz w:val="20"/>
          <w:szCs w:val="20"/>
          <w:color w:val="auto"/>
        </w:rPr>
      </w:pPr>
    </w:p>
    <w:p>
      <w:pPr>
        <w:ind w:left="2140"/>
        <w:spacing w:after="0"/>
        <w:rPr>
          <w:sz w:val="20"/>
          <w:szCs w:val="20"/>
          <w:color w:val="auto"/>
        </w:rPr>
      </w:pPr>
      <w:r>
        <w:rPr>
          <w:rFonts w:ascii="Courier New" w:cs="Courier New" w:eastAsia="Courier New" w:hAnsi="Courier New"/>
          <w:sz w:val="17"/>
          <w:szCs w:val="17"/>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5920" w:type="dxa"/>
        <w:tblCellMar>
          <w:top w:w="0" w:type="dxa"/>
          <w:left w:w="0" w:type="dxa"/>
          <w:bottom w:w="0" w:type="dxa"/>
          <w:right w:w="0" w:type="dxa"/>
        </w:tblCellMar>
      </w:tblPr>
      <w:tr>
        <w:trPr>
          <w:trHeight w:val="193"/>
        </w:trPr>
        <w:tc>
          <w:tcPr>
            <w:tcW w:w="2560" w:type="dxa"/>
            <w:vAlign w:val="bottom"/>
            <w:gridSpan w:val="2"/>
          </w:tcPr>
          <w:p>
            <w:pPr>
              <w:spacing w:after="0"/>
              <w:rPr>
                <w:sz w:val="20"/>
                <w:szCs w:val="20"/>
                <w:color w:val="auto"/>
              </w:rPr>
            </w:pPr>
            <w:r>
              <w:rPr>
                <w:rFonts w:ascii="Courier New" w:cs="Courier New" w:eastAsia="Courier New" w:hAnsi="Courier New"/>
                <w:sz w:val="17"/>
                <w:szCs w:val="17"/>
                <w:color w:val="auto"/>
              </w:rPr>
              <w:t>THREE MONTHS ENDED</w:t>
            </w: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SIX MONTHS</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ENDED</w:t>
            </w:r>
          </w:p>
        </w:tc>
      </w:tr>
      <w:tr>
        <w:trPr>
          <w:trHeight w:val="196"/>
        </w:trPr>
        <w:tc>
          <w:tcPr>
            <w:tcW w:w="520" w:type="dxa"/>
            <w:vAlign w:val="bottom"/>
          </w:tcPr>
          <w:p>
            <w:pPr>
              <w:spacing w:after="0"/>
              <w:rPr>
                <w:sz w:val="17"/>
                <w:szCs w:val="17"/>
                <w:color w:val="auto"/>
              </w:rPr>
            </w:pPr>
          </w:p>
        </w:tc>
        <w:tc>
          <w:tcPr>
            <w:tcW w:w="2040" w:type="dxa"/>
            <w:vAlign w:val="bottom"/>
          </w:tcPr>
          <w:p>
            <w:pPr>
              <w:jc w:val="right"/>
              <w:ind w:right="1035"/>
              <w:spacing w:after="0"/>
              <w:rPr>
                <w:sz w:val="20"/>
                <w:szCs w:val="20"/>
                <w:color w:val="auto"/>
              </w:rPr>
            </w:pPr>
            <w:r>
              <w:rPr>
                <w:rFonts w:ascii="Courier New" w:cs="Courier New" w:eastAsia="Courier New" w:hAnsi="Courier New"/>
                <w:sz w:val="17"/>
                <w:szCs w:val="17"/>
                <w:color w:val="auto"/>
              </w:rPr>
              <w:t>APRIL 30</w:t>
            </w:r>
          </w:p>
        </w:tc>
        <w:tc>
          <w:tcPr>
            <w:tcW w:w="1880" w:type="dxa"/>
            <w:vAlign w:val="bottom"/>
          </w:tcPr>
          <w:p>
            <w:pPr>
              <w:jc w:val="right"/>
              <w:spacing w:after="0"/>
              <w:rPr>
                <w:sz w:val="20"/>
                <w:szCs w:val="20"/>
                <w:color w:val="auto"/>
              </w:rPr>
            </w:pPr>
            <w:r>
              <w:rPr>
                <w:rFonts w:ascii="Courier New" w:cs="Courier New" w:eastAsia="Courier New" w:hAnsi="Courier New"/>
                <w:sz w:val="17"/>
                <w:szCs w:val="17"/>
                <w:color w:val="auto"/>
              </w:rPr>
              <w:t>APRIL</w:t>
            </w:r>
          </w:p>
        </w:tc>
        <w:tc>
          <w:tcPr>
            <w:tcW w:w="760" w:type="dxa"/>
            <w:vAlign w:val="bottom"/>
          </w:tcPr>
          <w:p>
            <w:pPr>
              <w:ind w:left="60"/>
              <w:spacing w:after="0"/>
              <w:rPr>
                <w:sz w:val="20"/>
                <w:szCs w:val="20"/>
                <w:color w:val="auto"/>
              </w:rPr>
            </w:pPr>
            <w:r>
              <w:rPr>
                <w:rFonts w:ascii="Courier New" w:cs="Courier New" w:eastAsia="Courier New" w:hAnsi="Courier New"/>
                <w:sz w:val="17"/>
                <w:szCs w:val="17"/>
                <w:color w:val="auto"/>
              </w:rPr>
              <w:t>30</w:t>
            </w:r>
          </w:p>
        </w:tc>
      </w:tr>
      <w:tr>
        <w:trPr>
          <w:trHeight w:val="196"/>
        </w:trPr>
        <w:tc>
          <w:tcPr>
            <w:tcW w:w="520" w:type="dxa"/>
            <w:vAlign w:val="bottom"/>
          </w:tcPr>
          <w:p>
            <w:pPr>
              <w:spacing w:after="0"/>
              <w:rPr>
                <w:sz w:val="20"/>
                <w:szCs w:val="20"/>
                <w:color w:val="auto"/>
              </w:rPr>
            </w:pPr>
            <w:r>
              <w:rPr>
                <w:rFonts w:ascii="Courier New" w:cs="Courier New" w:eastAsia="Courier New" w:hAnsi="Courier New"/>
                <w:sz w:val="17"/>
                <w:szCs w:val="17"/>
                <w:color w:val="auto"/>
              </w:rPr>
              <w:t>1998</w:t>
            </w:r>
          </w:p>
        </w:tc>
        <w:tc>
          <w:tcPr>
            <w:tcW w:w="2040" w:type="dxa"/>
            <w:vAlign w:val="bottom"/>
          </w:tcPr>
          <w:p>
            <w:pPr>
              <w:jc w:val="right"/>
              <w:ind w:right="535"/>
              <w:spacing w:after="0"/>
              <w:rPr>
                <w:sz w:val="20"/>
                <w:szCs w:val="20"/>
                <w:color w:val="auto"/>
              </w:rPr>
            </w:pPr>
            <w:r>
              <w:rPr>
                <w:rFonts w:ascii="Courier New" w:cs="Courier New" w:eastAsia="Courier New" w:hAnsi="Courier New"/>
                <w:sz w:val="17"/>
                <w:szCs w:val="17"/>
                <w:color w:val="auto"/>
              </w:rPr>
              <w:t>1999</w:t>
            </w:r>
          </w:p>
        </w:tc>
        <w:tc>
          <w:tcPr>
            <w:tcW w:w="1880" w:type="dxa"/>
            <w:vAlign w:val="bottom"/>
          </w:tcPr>
          <w:p>
            <w:pPr>
              <w:jc w:val="right"/>
              <w:ind w:right="775"/>
              <w:spacing w:after="0"/>
              <w:rPr>
                <w:sz w:val="20"/>
                <w:szCs w:val="20"/>
                <w:color w:val="auto"/>
              </w:rPr>
            </w:pPr>
            <w:r>
              <w:rPr>
                <w:rFonts w:ascii="Courier New" w:cs="Courier New" w:eastAsia="Courier New" w:hAnsi="Courier New"/>
                <w:sz w:val="17"/>
                <w:szCs w:val="17"/>
                <w:color w:val="auto"/>
              </w:rPr>
              <w:t>1998</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1999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60" w:type="dxa"/>
            <w:vAlign w:val="bottom"/>
          </w:tcPr>
          <w:p>
            <w:pPr>
              <w:spacing w:after="0"/>
              <w:rPr>
                <w:sz w:val="20"/>
                <w:szCs w:val="20"/>
                <w:color w:val="auto"/>
              </w:rPr>
            </w:pPr>
            <w:r>
              <w:rPr>
                <w:rFonts w:ascii="Courier New" w:cs="Courier New" w:eastAsia="Courier New" w:hAnsi="Courier New"/>
                <w:sz w:val="17"/>
                <w:szCs w:val="17"/>
                <w:color w:val="auto"/>
              </w:rPr>
              <w:t>REVENUES AND OTHER INCOME</w:t>
            </w:r>
          </w:p>
        </w:tc>
        <w:tc>
          <w:tcPr>
            <w:tcW w:w="17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$369,034</w:t>
            </w:r>
          </w:p>
        </w:tc>
        <w:tc>
          <w:tcPr>
            <w:tcW w:w="16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$398,291</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$727,781</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$790,122</w:t>
            </w:r>
          </w:p>
        </w:tc>
      </w:tr>
      <w:tr>
        <w:trPr>
          <w:trHeight w:val="392"/>
        </w:trPr>
        <w:tc>
          <w:tcPr>
            <w:tcW w:w="5060" w:type="dxa"/>
            <w:vAlign w:val="bottom"/>
          </w:tcPr>
          <w:p>
            <w:pPr>
              <w:spacing w:after="0"/>
              <w:rPr>
                <w:sz w:val="20"/>
                <w:szCs w:val="20"/>
                <w:color w:val="auto"/>
              </w:rPr>
            </w:pPr>
            <w:r>
              <w:rPr>
                <w:rFonts w:ascii="Courier New" w:cs="Courier New" w:eastAsia="Courier New" w:hAnsi="Courier New"/>
                <w:sz w:val="17"/>
                <w:szCs w:val="17"/>
                <w:color w:val="auto"/>
              </w:rPr>
              <w:t>EXPENSES:</w:t>
            </w:r>
          </w:p>
        </w:tc>
        <w:tc>
          <w:tcPr>
            <w:tcW w:w="1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5060" w:type="dxa"/>
            <w:vAlign w:val="bottom"/>
          </w:tcPr>
          <w:p>
            <w:pPr>
              <w:ind w:left="320"/>
              <w:spacing w:after="0"/>
              <w:rPr>
                <w:sz w:val="20"/>
                <w:szCs w:val="20"/>
                <w:color w:val="auto"/>
              </w:rPr>
            </w:pPr>
            <w:r>
              <w:rPr>
                <w:rFonts w:ascii="Courier New" w:cs="Courier New" w:eastAsia="Courier New" w:hAnsi="Courier New"/>
                <w:sz w:val="17"/>
                <w:szCs w:val="17"/>
                <w:color w:val="auto"/>
              </w:rPr>
              <w:t>Operating Expenses and Cost of Goods Sold</w:t>
            </w:r>
          </w:p>
        </w:tc>
        <w:tc>
          <w:tcPr>
            <w:tcW w:w="17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320,528</w:t>
            </w:r>
          </w:p>
        </w:tc>
        <w:tc>
          <w:tcPr>
            <w:tcW w:w="16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348,063</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633,022</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689,739</w:t>
            </w:r>
          </w:p>
        </w:tc>
      </w:tr>
      <w:tr>
        <w:trPr>
          <w:trHeight w:val="196"/>
        </w:trPr>
        <w:tc>
          <w:tcPr>
            <w:tcW w:w="5060" w:type="dxa"/>
            <w:vAlign w:val="bottom"/>
          </w:tcPr>
          <w:p>
            <w:pPr>
              <w:ind w:left="320"/>
              <w:spacing w:after="0"/>
              <w:rPr>
                <w:sz w:val="20"/>
                <w:szCs w:val="20"/>
                <w:color w:val="auto"/>
              </w:rPr>
            </w:pPr>
            <w:r>
              <w:rPr>
                <w:rFonts w:ascii="Courier New" w:cs="Courier New" w:eastAsia="Courier New" w:hAnsi="Courier New"/>
                <w:sz w:val="17"/>
                <w:szCs w:val="17"/>
                <w:color w:val="auto"/>
              </w:rPr>
              <w:t>Selling, General and Administrative</w:t>
            </w:r>
          </w:p>
        </w:tc>
        <w:tc>
          <w:tcPr>
            <w:tcW w:w="17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35,344</w:t>
            </w:r>
          </w:p>
        </w:tc>
        <w:tc>
          <w:tcPr>
            <w:tcW w:w="16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35,582</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70,971</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73,371</w:t>
            </w:r>
          </w:p>
        </w:tc>
      </w:tr>
      <w:tr>
        <w:trPr>
          <w:trHeight w:val="196"/>
        </w:trPr>
        <w:tc>
          <w:tcPr>
            <w:tcW w:w="5060" w:type="dxa"/>
            <w:vAlign w:val="bottom"/>
          </w:tcPr>
          <w:p>
            <w:pPr>
              <w:ind w:left="320"/>
              <w:spacing w:after="0"/>
              <w:rPr>
                <w:sz w:val="20"/>
                <w:szCs w:val="20"/>
                <w:color w:val="auto"/>
              </w:rPr>
            </w:pPr>
            <w:r>
              <w:rPr>
                <w:rFonts w:ascii="Courier New" w:cs="Courier New" w:eastAsia="Courier New" w:hAnsi="Courier New"/>
                <w:sz w:val="17"/>
                <w:szCs w:val="17"/>
                <w:color w:val="auto"/>
              </w:rPr>
              <w:t>Interest</w:t>
            </w:r>
          </w:p>
        </w:tc>
        <w:tc>
          <w:tcPr>
            <w:tcW w:w="17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1,016</w:t>
            </w:r>
          </w:p>
        </w:tc>
        <w:tc>
          <w:tcPr>
            <w:tcW w:w="16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466</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1,839</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1,020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620" w:type="dxa"/>
        <w:tblCellMar>
          <w:top w:w="0" w:type="dxa"/>
          <w:left w:w="0" w:type="dxa"/>
          <w:bottom w:w="0" w:type="dxa"/>
          <w:right w:w="0" w:type="dxa"/>
        </w:tblCellMar>
      </w:tblPr>
      <w:tr>
        <w:trPr>
          <w:trHeight w:val="193"/>
        </w:trPr>
        <w:tc>
          <w:tcPr>
            <w:tcW w:w="3260" w:type="dxa"/>
            <w:vAlign w:val="bottom"/>
          </w:tcPr>
          <w:p>
            <w:pPr>
              <w:spacing w:after="0"/>
              <w:rPr>
                <w:sz w:val="20"/>
                <w:szCs w:val="20"/>
                <w:color w:val="auto"/>
              </w:rPr>
            </w:pPr>
            <w:r>
              <w:rPr>
                <w:rFonts w:ascii="Courier New" w:cs="Courier New" w:eastAsia="Courier New" w:hAnsi="Courier New"/>
                <w:sz w:val="17"/>
                <w:szCs w:val="17"/>
                <w:color w:val="auto"/>
              </w:rPr>
              <w:t>Total Expenses</w:t>
            </w:r>
          </w:p>
        </w:tc>
        <w:tc>
          <w:tcPr>
            <w:tcW w:w="30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356,888</w:t>
            </w:r>
          </w:p>
        </w:tc>
        <w:tc>
          <w:tcPr>
            <w:tcW w:w="162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384,111</w:t>
            </w:r>
          </w:p>
        </w:tc>
        <w:tc>
          <w:tcPr>
            <w:tcW w:w="16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705,832</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764,130</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136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4140" w:type="dxa"/>
            <w:vAlign w:val="bottom"/>
            <w:gridSpan w:val="2"/>
          </w:tcPr>
          <w:p>
            <w:pPr>
              <w:spacing w:after="0"/>
              <w:rPr>
                <w:sz w:val="20"/>
                <w:szCs w:val="20"/>
                <w:color w:val="auto"/>
              </w:rPr>
            </w:pPr>
            <w:r>
              <w:rPr>
                <w:rFonts w:ascii="Courier New" w:cs="Courier New" w:eastAsia="Courier New" w:hAnsi="Courier New"/>
                <w:sz w:val="17"/>
                <w:szCs w:val="17"/>
                <w:color w:val="auto"/>
              </w:rPr>
              <w:t>INCOME BEFORE INCOME TAXES</w:t>
            </w:r>
          </w:p>
        </w:tc>
        <w:tc>
          <w:tcPr>
            <w:tcW w:w="270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12,146</w:t>
            </w:r>
          </w:p>
        </w:tc>
        <w:tc>
          <w:tcPr>
            <w:tcW w:w="16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14,180</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21,949</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25,992</w:t>
            </w:r>
          </w:p>
        </w:tc>
      </w:tr>
      <w:tr>
        <w:trPr>
          <w:trHeight w:val="392"/>
        </w:trPr>
        <w:tc>
          <w:tcPr>
            <w:tcW w:w="4140" w:type="dxa"/>
            <w:vAlign w:val="bottom"/>
            <w:gridSpan w:val="2"/>
          </w:tcPr>
          <w:p>
            <w:pPr>
              <w:spacing w:after="0"/>
              <w:rPr>
                <w:sz w:val="20"/>
                <w:szCs w:val="20"/>
                <w:color w:val="auto"/>
              </w:rPr>
            </w:pPr>
            <w:r>
              <w:rPr>
                <w:rFonts w:ascii="Courier New" w:cs="Courier New" w:eastAsia="Courier New" w:hAnsi="Courier New"/>
                <w:sz w:val="17"/>
                <w:szCs w:val="17"/>
                <w:color w:val="auto"/>
              </w:rPr>
              <w:t>INCOME TAXES</w:t>
            </w:r>
          </w:p>
        </w:tc>
        <w:tc>
          <w:tcPr>
            <w:tcW w:w="270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5,041</w:t>
            </w:r>
          </w:p>
        </w:tc>
        <w:tc>
          <w:tcPr>
            <w:tcW w:w="16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5,814</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9,109</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10,657</w:t>
            </w:r>
          </w:p>
        </w:tc>
      </w:tr>
      <w:tr>
        <w:trPr>
          <w:trHeight w:val="196"/>
        </w:trPr>
        <w:tc>
          <w:tcPr>
            <w:tcW w:w="1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11360" w:type="dxa"/>
            <w:vAlign w:val="bottom"/>
            <w:gridSpan w:val="5"/>
          </w:tcPr>
          <w:p>
            <w:pPr>
              <w:jc w:val="right"/>
              <w:spacing w:after="0"/>
              <w:rPr>
                <w:sz w:val="20"/>
                <w:szCs w:val="20"/>
                <w:color w:val="auto"/>
              </w:rPr>
            </w:pPr>
            <w:r>
              <w:rPr>
                <w:rFonts w:ascii="Courier New" w:cs="Courier New" w:eastAsia="Courier New" w:hAnsi="Courier New"/>
                <w:sz w:val="17"/>
                <w:szCs w:val="17"/>
                <w:color w:val="auto"/>
              </w:rPr>
              <w:t>---------------------------------------------------------------------------------------------------------------</w:t>
            </w:r>
          </w:p>
        </w:tc>
      </w:tr>
      <w:tr>
        <w:trPr>
          <w:trHeight w:val="196"/>
        </w:trPr>
        <w:tc>
          <w:tcPr>
            <w:tcW w:w="4140" w:type="dxa"/>
            <w:vAlign w:val="bottom"/>
            <w:gridSpan w:val="2"/>
          </w:tcPr>
          <w:p>
            <w:pPr>
              <w:spacing w:after="0"/>
              <w:rPr>
                <w:sz w:val="20"/>
                <w:szCs w:val="20"/>
                <w:color w:val="auto"/>
              </w:rPr>
            </w:pPr>
            <w:r>
              <w:rPr>
                <w:rFonts w:ascii="Courier New" w:cs="Courier New" w:eastAsia="Courier New" w:hAnsi="Courier New"/>
                <w:sz w:val="17"/>
                <w:szCs w:val="17"/>
                <w:color w:val="auto"/>
              </w:rPr>
              <w:t>NET INCOME</w:t>
            </w:r>
          </w:p>
        </w:tc>
        <w:tc>
          <w:tcPr>
            <w:tcW w:w="270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  7,105</w:t>
            </w:r>
          </w:p>
        </w:tc>
        <w:tc>
          <w:tcPr>
            <w:tcW w:w="164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  8,366</w:t>
            </w:r>
          </w:p>
        </w:tc>
        <w:tc>
          <w:tcPr>
            <w:tcW w:w="16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$ 12,840</w:t>
            </w:r>
          </w:p>
        </w:tc>
        <w:tc>
          <w:tcPr>
            <w:tcW w:w="14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$ 15,335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640" w:type="dxa"/>
            <w:vAlign w:val="bottom"/>
          </w:tcPr>
          <w:p>
            <w:pPr>
              <w:spacing w:after="0"/>
              <w:rPr>
                <w:sz w:val="20"/>
                <w:szCs w:val="20"/>
                <w:color w:val="auto"/>
              </w:rPr>
            </w:pPr>
            <w:r>
              <w:rPr>
                <w:rFonts w:ascii="Courier New" w:cs="Courier New" w:eastAsia="Courier New" w:hAnsi="Courier New"/>
                <w:sz w:val="17"/>
                <w:szCs w:val="17"/>
                <w:color w:val="auto"/>
              </w:rPr>
              <w:t>NET INCOME PER COMMON SHARE</w:t>
            </w: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96"/>
        </w:trPr>
        <w:tc>
          <w:tcPr>
            <w:tcW w:w="4640" w:type="dxa"/>
            <w:vAlign w:val="bottom"/>
          </w:tcPr>
          <w:p>
            <w:pPr>
              <w:ind w:left="320"/>
              <w:spacing w:after="0"/>
              <w:rPr>
                <w:sz w:val="20"/>
                <w:szCs w:val="20"/>
                <w:color w:val="auto"/>
              </w:rPr>
            </w:pPr>
            <w:r>
              <w:rPr>
                <w:rFonts w:ascii="Courier New" w:cs="Courier New" w:eastAsia="Courier New" w:hAnsi="Courier New"/>
                <w:sz w:val="17"/>
                <w:szCs w:val="17"/>
                <w:color w:val="auto"/>
              </w:rPr>
              <w:t>Basic</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0.33</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0.37</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0.60</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0.69</w:t>
            </w:r>
          </w:p>
        </w:tc>
      </w:tr>
      <w:tr>
        <w:trPr>
          <w:trHeight w:val="196"/>
        </w:trPr>
        <w:tc>
          <w:tcPr>
            <w:tcW w:w="4640" w:type="dxa"/>
            <w:vAlign w:val="bottom"/>
          </w:tcPr>
          <w:p>
            <w:pPr>
              <w:ind w:left="320"/>
              <w:spacing w:after="0"/>
              <w:rPr>
                <w:sz w:val="20"/>
                <w:szCs w:val="20"/>
                <w:color w:val="auto"/>
              </w:rPr>
            </w:pPr>
            <w:r>
              <w:rPr>
                <w:rFonts w:ascii="Courier New" w:cs="Courier New" w:eastAsia="Courier New" w:hAnsi="Courier New"/>
                <w:sz w:val="17"/>
                <w:szCs w:val="17"/>
                <w:color w:val="auto"/>
              </w:rPr>
              <w:t>Diluted</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0.30</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0.35</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0.55</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0.64</w:t>
            </w:r>
          </w:p>
        </w:tc>
      </w:tr>
      <w:tr>
        <w:trPr>
          <w:trHeight w:val="392"/>
        </w:trPr>
        <w:tc>
          <w:tcPr>
            <w:tcW w:w="4640" w:type="dxa"/>
            <w:vAlign w:val="bottom"/>
          </w:tcPr>
          <w:p>
            <w:pPr>
              <w:spacing w:after="0"/>
              <w:rPr>
                <w:sz w:val="20"/>
                <w:szCs w:val="20"/>
                <w:color w:val="auto"/>
              </w:rPr>
            </w:pPr>
            <w:r>
              <w:rPr>
                <w:rFonts w:ascii="Courier New" w:cs="Courier New" w:eastAsia="Courier New" w:hAnsi="Courier New"/>
                <w:sz w:val="17"/>
                <w:szCs w:val="17"/>
                <w:color w:val="auto"/>
              </w:rPr>
              <w:t>AVERAGE NUMBER OF SHARES OUTSTANDING</w:t>
            </w: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96"/>
        </w:trPr>
        <w:tc>
          <w:tcPr>
            <w:tcW w:w="4640" w:type="dxa"/>
            <w:vAlign w:val="bottom"/>
          </w:tcPr>
          <w:p>
            <w:pPr>
              <w:ind w:left="320"/>
              <w:spacing w:after="0"/>
              <w:rPr>
                <w:sz w:val="20"/>
                <w:szCs w:val="20"/>
                <w:color w:val="auto"/>
              </w:rPr>
            </w:pPr>
            <w:r>
              <w:rPr>
                <w:rFonts w:ascii="Courier New" w:cs="Courier New" w:eastAsia="Courier New" w:hAnsi="Courier New"/>
                <w:sz w:val="17"/>
                <w:szCs w:val="17"/>
                <w:color w:val="auto"/>
              </w:rPr>
              <w:t>Basic</w:t>
            </w:r>
          </w:p>
        </w:tc>
        <w:tc>
          <w:tcPr>
            <w:tcW w:w="1120" w:type="dxa"/>
            <w:vAlign w:val="bottom"/>
          </w:tcPr>
          <w:p>
            <w:pPr>
              <w:spacing w:after="0"/>
              <w:rPr>
                <w:sz w:val="17"/>
                <w:szCs w:val="17"/>
                <w:color w:val="auto"/>
              </w:rPr>
            </w:pPr>
          </w:p>
        </w:tc>
        <w:tc>
          <w:tcPr>
            <w:tcW w:w="10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20,996</w:t>
            </w:r>
          </w:p>
        </w:tc>
        <w:tc>
          <w:tcPr>
            <w:tcW w:w="560" w:type="dxa"/>
            <w:vAlign w:val="bottom"/>
          </w:tcPr>
          <w:p>
            <w:pPr>
              <w:spacing w:after="0"/>
              <w:rPr>
                <w:sz w:val="17"/>
                <w:szCs w:val="17"/>
                <w:color w:val="auto"/>
              </w:rPr>
            </w:pPr>
          </w:p>
        </w:tc>
        <w:tc>
          <w:tcPr>
            <w:tcW w:w="10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21,963</w:t>
            </w:r>
          </w:p>
        </w:tc>
        <w:tc>
          <w:tcPr>
            <w:tcW w:w="560" w:type="dxa"/>
            <w:vAlign w:val="bottom"/>
          </w:tcPr>
          <w:p>
            <w:pPr>
              <w:spacing w:after="0"/>
              <w:rPr>
                <w:sz w:val="17"/>
                <w:szCs w:val="17"/>
                <w:color w:val="auto"/>
              </w:rPr>
            </w:pPr>
          </w:p>
        </w:tc>
        <w:tc>
          <w:tcPr>
            <w:tcW w:w="10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20,818</w:t>
            </w:r>
          </w:p>
        </w:tc>
        <w:tc>
          <w:tcPr>
            <w:tcW w:w="5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21,840</w:t>
            </w:r>
          </w:p>
        </w:tc>
      </w:tr>
      <w:tr>
        <w:trPr>
          <w:trHeight w:val="196"/>
        </w:trPr>
        <w:tc>
          <w:tcPr>
            <w:tcW w:w="4640" w:type="dxa"/>
            <w:vAlign w:val="bottom"/>
          </w:tcPr>
          <w:p>
            <w:pPr>
              <w:ind w:left="320"/>
              <w:spacing w:after="0"/>
              <w:rPr>
                <w:sz w:val="20"/>
                <w:szCs w:val="20"/>
                <w:color w:val="auto"/>
              </w:rPr>
            </w:pPr>
            <w:r>
              <w:rPr>
                <w:rFonts w:ascii="Courier New" w:cs="Courier New" w:eastAsia="Courier New" w:hAnsi="Courier New"/>
                <w:sz w:val="17"/>
                <w:szCs w:val="17"/>
                <w:color w:val="auto"/>
              </w:rPr>
              <w:t>Diluted</w:t>
            </w:r>
          </w:p>
        </w:tc>
        <w:tc>
          <w:tcPr>
            <w:tcW w:w="1120" w:type="dxa"/>
            <w:vAlign w:val="bottom"/>
          </w:tcPr>
          <w:p>
            <w:pPr>
              <w:spacing w:after="0"/>
              <w:rPr>
                <w:sz w:val="17"/>
                <w:szCs w:val="17"/>
                <w:color w:val="auto"/>
              </w:rPr>
            </w:pPr>
          </w:p>
        </w:tc>
        <w:tc>
          <w:tcPr>
            <w:tcW w:w="10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23,230</w:t>
            </w:r>
          </w:p>
        </w:tc>
        <w:tc>
          <w:tcPr>
            <w:tcW w:w="560" w:type="dxa"/>
            <w:vAlign w:val="bottom"/>
          </w:tcPr>
          <w:p>
            <w:pPr>
              <w:spacing w:after="0"/>
              <w:rPr>
                <w:sz w:val="17"/>
                <w:szCs w:val="17"/>
                <w:color w:val="auto"/>
              </w:rPr>
            </w:pPr>
          </w:p>
        </w:tc>
        <w:tc>
          <w:tcPr>
            <w:tcW w:w="10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23,701</w:t>
            </w:r>
          </w:p>
        </w:tc>
        <w:tc>
          <w:tcPr>
            <w:tcW w:w="560" w:type="dxa"/>
            <w:vAlign w:val="bottom"/>
          </w:tcPr>
          <w:p>
            <w:pPr>
              <w:spacing w:after="0"/>
              <w:rPr>
                <w:sz w:val="17"/>
                <w:szCs w:val="17"/>
                <w:color w:val="auto"/>
              </w:rPr>
            </w:pPr>
          </w:p>
        </w:tc>
        <w:tc>
          <w:tcPr>
            <w:tcW w:w="10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23,056</w:t>
            </w:r>
          </w:p>
        </w:tc>
        <w:tc>
          <w:tcPr>
            <w:tcW w:w="5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23,717</w:t>
            </w:r>
          </w:p>
        </w:tc>
      </w:tr>
      <w:tr>
        <w:trPr>
          <w:trHeight w:val="392"/>
        </w:trPr>
        <w:tc>
          <w:tcPr>
            <w:tcW w:w="4640" w:type="dxa"/>
            <w:vAlign w:val="bottom"/>
          </w:tcPr>
          <w:p>
            <w:pPr>
              <w:spacing w:after="0"/>
              <w:rPr>
                <w:sz w:val="20"/>
                <w:szCs w:val="20"/>
                <w:color w:val="auto"/>
              </w:rPr>
            </w:pPr>
            <w:r>
              <w:rPr>
                <w:rFonts w:ascii="Courier New" w:cs="Courier New" w:eastAsia="Courier New" w:hAnsi="Courier New"/>
                <w:sz w:val="17"/>
                <w:szCs w:val="17"/>
                <w:color w:val="auto"/>
              </w:rPr>
              <w:t>DIVIDENDS PER COMMON SHARE</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0.12</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0.14</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0.24</w:t>
            </w:r>
          </w:p>
        </w:tc>
        <w:tc>
          <w:tcPr>
            <w:tcW w:w="5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0.28</w:t>
            </w: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1520"/>
          </w:cols>
          <w:pgMar w:left="240" w:top="311" w:right="139"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7"/>
          <w:szCs w:val="17"/>
          <w:color w:val="auto"/>
        </w:rPr>
        <w:t>6</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ABM INDUSTRIES INCORPORATED AND SUBSIDIARIES</w:t>
      </w:r>
    </w:p>
    <w:p>
      <w:pPr>
        <w:spacing w:after="0" w:line="4" w:lineRule="exact"/>
        <w:rPr>
          <w:sz w:val="20"/>
          <w:szCs w:val="20"/>
          <w:color w:val="auto"/>
        </w:rPr>
      </w:pPr>
    </w:p>
    <w:p>
      <w:pPr>
        <w:jc w:val="center"/>
        <w:ind w:right="1939"/>
        <w:spacing w:after="0"/>
        <w:rPr>
          <w:sz w:val="20"/>
          <w:szCs w:val="20"/>
          <w:color w:val="auto"/>
        </w:rPr>
      </w:pPr>
      <w:r>
        <w:rPr>
          <w:rFonts w:ascii="Courier New" w:cs="Courier New" w:eastAsia="Courier New" w:hAnsi="Courier New"/>
          <w:sz w:val="17"/>
          <w:szCs w:val="17"/>
          <w:color w:val="auto"/>
        </w:rPr>
        <w:t>CONDENSED CONSOLIDATED STATEMENTS OF CASH FLOWS</w:t>
      </w:r>
    </w:p>
    <w:p>
      <w:pPr>
        <w:spacing w:after="0" w:line="4"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FOR THE SIX MONTHS ENDED APRIL 30, 1998 AND 1999</w:t>
      </w:r>
    </w:p>
    <w:p>
      <w:pPr>
        <w:spacing w:after="0" w:line="4" w:lineRule="exact"/>
        <w:rPr>
          <w:sz w:val="20"/>
          <w:szCs w:val="20"/>
          <w:color w:val="auto"/>
        </w:rPr>
      </w:pPr>
    </w:p>
    <w:p>
      <w:pPr>
        <w:jc w:val="center"/>
        <w:ind w:right="2039"/>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ind w:left="7240"/>
        <w:spacing w:after="0"/>
        <w:tabs>
          <w:tab w:leader="none" w:pos="8760" w:val="left"/>
        </w:tabs>
        <w:rPr>
          <w:sz w:val="20"/>
          <w:szCs w:val="20"/>
          <w:color w:val="auto"/>
        </w:rPr>
      </w:pPr>
      <w:r>
        <w:rPr>
          <w:rFonts w:ascii="Courier New" w:cs="Courier New" w:eastAsia="Courier New" w:hAnsi="Courier New"/>
          <w:sz w:val="17"/>
          <w:szCs w:val="17"/>
          <w:color w:val="auto"/>
        </w:rPr>
        <w:t>1998</w:t>
      </w:r>
      <w:r>
        <w:rPr>
          <w:sz w:val="20"/>
          <w:szCs w:val="20"/>
          <w:color w:val="auto"/>
        </w:rPr>
        <w:tab/>
      </w:r>
      <w:r>
        <w:rPr>
          <w:rFonts w:ascii="Courier New" w:cs="Courier New" w:eastAsia="Courier New" w:hAnsi="Courier New"/>
          <w:sz w:val="17"/>
          <w:szCs w:val="17"/>
          <w:color w:val="auto"/>
        </w:rPr>
        <w:t>1999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52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28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196"/>
        </w:trPr>
        <w:tc>
          <w:tcPr>
            <w:tcW w:w="5520" w:type="dxa"/>
            <w:vAlign w:val="bottom"/>
          </w:tcPr>
          <w:p>
            <w:pPr>
              <w:ind w:left="320"/>
              <w:spacing w:after="0"/>
              <w:rPr>
                <w:sz w:val="20"/>
                <w:szCs w:val="20"/>
                <w:color w:val="auto"/>
              </w:rPr>
            </w:pPr>
            <w:r>
              <w:rPr>
                <w:rFonts w:ascii="Courier New" w:cs="Courier New" w:eastAsia="Courier New" w:hAnsi="Courier New"/>
                <w:sz w:val="17"/>
                <w:szCs w:val="17"/>
                <w:color w:val="auto"/>
              </w:rPr>
              <w:t>Cash received from customers</w:t>
            </w:r>
          </w:p>
        </w:tc>
        <w:tc>
          <w:tcPr>
            <w:tcW w:w="28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$ 717,976</w:t>
            </w: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$ 782,211</w:t>
            </w:r>
          </w:p>
        </w:tc>
      </w:tr>
      <w:tr>
        <w:trPr>
          <w:trHeight w:val="589"/>
        </w:trPr>
        <w:tc>
          <w:tcPr>
            <w:tcW w:w="5520" w:type="dxa"/>
            <w:vAlign w:val="bottom"/>
          </w:tcPr>
          <w:p>
            <w:pPr>
              <w:ind w:left="320"/>
              <w:spacing w:after="0"/>
              <w:rPr>
                <w:sz w:val="20"/>
                <w:szCs w:val="20"/>
                <w:color w:val="auto"/>
              </w:rPr>
            </w:pPr>
            <w:r>
              <w:rPr>
                <w:rFonts w:ascii="Courier New" w:cs="Courier New" w:eastAsia="Courier New" w:hAnsi="Courier New"/>
                <w:sz w:val="17"/>
                <w:szCs w:val="17"/>
                <w:color w:val="auto"/>
              </w:rPr>
              <w:t>Other operating cash receipts</w:t>
            </w:r>
          </w:p>
        </w:tc>
        <w:tc>
          <w:tcPr>
            <w:tcW w:w="28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582</w:t>
            </w: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1,234</w:t>
            </w:r>
          </w:p>
        </w:tc>
      </w:tr>
      <w:tr>
        <w:trPr>
          <w:trHeight w:val="196"/>
        </w:trPr>
        <w:tc>
          <w:tcPr>
            <w:tcW w:w="5520" w:type="dxa"/>
            <w:vAlign w:val="bottom"/>
          </w:tcPr>
          <w:p>
            <w:pPr>
              <w:ind w:left="320"/>
              <w:spacing w:after="0"/>
              <w:rPr>
                <w:sz w:val="20"/>
                <w:szCs w:val="20"/>
                <w:color w:val="auto"/>
              </w:rPr>
            </w:pPr>
            <w:r>
              <w:rPr>
                <w:rFonts w:ascii="Courier New" w:cs="Courier New" w:eastAsia="Courier New" w:hAnsi="Courier New"/>
                <w:sz w:val="17"/>
                <w:szCs w:val="17"/>
                <w:color w:val="auto"/>
              </w:rPr>
              <w:t>Interest received</w:t>
            </w:r>
          </w:p>
        </w:tc>
        <w:tc>
          <w:tcPr>
            <w:tcW w:w="28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352</w:t>
            </w:r>
          </w:p>
        </w:tc>
        <w:tc>
          <w:tcPr>
            <w:tcW w:w="12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388</w:t>
            </w:r>
          </w:p>
        </w:tc>
      </w:tr>
      <w:tr>
        <w:trPr>
          <w:trHeight w:val="196"/>
        </w:trPr>
        <w:tc>
          <w:tcPr>
            <w:tcW w:w="5520" w:type="dxa"/>
            <w:vAlign w:val="bottom"/>
          </w:tcPr>
          <w:p>
            <w:pPr>
              <w:ind w:left="320"/>
              <w:spacing w:after="0"/>
              <w:rPr>
                <w:sz w:val="20"/>
                <w:szCs w:val="20"/>
                <w:color w:val="auto"/>
              </w:rPr>
            </w:pPr>
            <w:r>
              <w:rPr>
                <w:rFonts w:ascii="Courier New" w:cs="Courier New" w:eastAsia="Courier New" w:hAnsi="Courier New"/>
                <w:sz w:val="17"/>
                <w:szCs w:val="17"/>
                <w:color w:val="auto"/>
              </w:rPr>
              <w:t>Cash paid to suppliers and employees</w:t>
            </w:r>
          </w:p>
        </w:tc>
        <w:tc>
          <w:tcPr>
            <w:tcW w:w="280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(699,748)</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(749,576)</w:t>
            </w:r>
          </w:p>
        </w:tc>
      </w:tr>
      <w:tr>
        <w:trPr>
          <w:trHeight w:val="196"/>
        </w:trPr>
        <w:tc>
          <w:tcPr>
            <w:tcW w:w="5520" w:type="dxa"/>
            <w:vAlign w:val="bottom"/>
          </w:tcPr>
          <w:p>
            <w:pPr>
              <w:ind w:left="320"/>
              <w:spacing w:after="0"/>
              <w:rPr>
                <w:sz w:val="20"/>
                <w:szCs w:val="20"/>
                <w:color w:val="auto"/>
              </w:rPr>
            </w:pPr>
            <w:r>
              <w:rPr>
                <w:rFonts w:ascii="Courier New" w:cs="Courier New" w:eastAsia="Courier New" w:hAnsi="Courier New"/>
                <w:sz w:val="17"/>
                <w:szCs w:val="17"/>
                <w:color w:val="auto"/>
              </w:rPr>
              <w:t>Interest paid</w:t>
            </w:r>
          </w:p>
        </w:tc>
        <w:tc>
          <w:tcPr>
            <w:tcW w:w="280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(1,626)</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(1,245)</w:t>
            </w:r>
          </w:p>
        </w:tc>
      </w:tr>
      <w:tr>
        <w:trPr>
          <w:trHeight w:val="196"/>
        </w:trPr>
        <w:tc>
          <w:tcPr>
            <w:tcW w:w="5520" w:type="dxa"/>
            <w:vAlign w:val="bottom"/>
          </w:tcPr>
          <w:p>
            <w:pPr>
              <w:ind w:left="320"/>
              <w:spacing w:after="0"/>
              <w:rPr>
                <w:sz w:val="20"/>
                <w:szCs w:val="20"/>
                <w:color w:val="auto"/>
              </w:rPr>
            </w:pPr>
            <w:r>
              <w:rPr>
                <w:rFonts w:ascii="Courier New" w:cs="Courier New" w:eastAsia="Courier New" w:hAnsi="Courier New"/>
                <w:sz w:val="17"/>
                <w:szCs w:val="17"/>
                <w:color w:val="auto"/>
              </w:rPr>
              <w:t>Income taxes paid</w:t>
            </w:r>
          </w:p>
        </w:tc>
        <w:tc>
          <w:tcPr>
            <w:tcW w:w="280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(12,249)</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(12,458)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5660" w:type="dxa"/>
            <w:vAlign w:val="bottom"/>
          </w:tcPr>
          <w:p>
            <w:pPr>
              <w:spacing w:after="0"/>
              <w:rPr>
                <w:sz w:val="20"/>
                <w:szCs w:val="20"/>
                <w:color w:val="auto"/>
              </w:rPr>
            </w:pPr>
            <w:r>
              <w:rPr>
                <w:rFonts w:ascii="Courier New" w:cs="Courier New" w:eastAsia="Courier New" w:hAnsi="Courier New"/>
                <w:sz w:val="17"/>
                <w:szCs w:val="17"/>
                <w:color w:val="auto"/>
              </w:rPr>
              <w:t>Net cash provided by operating activities</w:t>
            </w:r>
          </w:p>
        </w:tc>
        <w:tc>
          <w:tcPr>
            <w:tcW w:w="24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5,287</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20,554</w:t>
            </w:r>
          </w:p>
        </w:tc>
      </w:tr>
    </w:tbl>
    <w:p>
      <w:pPr>
        <w:spacing w:after="0" w:line="4" w:lineRule="exact"/>
        <w:rPr>
          <w:sz w:val="20"/>
          <w:szCs w:val="20"/>
          <w:color w:val="auto"/>
        </w:rPr>
      </w:pPr>
    </w:p>
    <w:p>
      <w:pPr>
        <w:ind w:left="200" w:hanging="195"/>
        <w:spacing w:after="0"/>
        <w:tabs>
          <w:tab w:leader="none" w:pos="2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 FLOWS FROM INVESTING ACTIVITIES:</w:t>
      </w:r>
    </w:p>
    <w:p>
      <w:pPr>
        <w:spacing w:after="0" w:line="4"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5660" w:type="dxa"/>
            <w:vAlign w:val="bottom"/>
            <w:gridSpan w:val="2"/>
          </w:tcPr>
          <w:p>
            <w:pPr>
              <w:spacing w:after="0"/>
              <w:rPr>
                <w:sz w:val="20"/>
                <w:szCs w:val="20"/>
                <w:color w:val="auto"/>
              </w:rPr>
            </w:pPr>
            <w:r>
              <w:rPr>
                <w:rFonts w:ascii="Courier New" w:cs="Courier New" w:eastAsia="Courier New" w:hAnsi="Courier New"/>
                <w:sz w:val="17"/>
                <w:szCs w:val="17"/>
                <w:color w:val="auto"/>
              </w:rPr>
              <w:t>Additions to property, plant and equipment</w:t>
            </w:r>
          </w:p>
        </w:tc>
        <w:tc>
          <w:tcPr>
            <w:tcW w:w="25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(6,371)</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(9,038)</w:t>
            </w:r>
          </w:p>
        </w:tc>
      </w:tr>
      <w:tr>
        <w:trPr>
          <w:trHeight w:val="196"/>
        </w:trPr>
        <w:tc>
          <w:tcPr>
            <w:tcW w:w="860" w:type="dxa"/>
            <w:vAlign w:val="bottom"/>
          </w:tcPr>
          <w:p>
            <w:pPr>
              <w:spacing w:after="0"/>
              <w:rPr>
                <w:sz w:val="20"/>
                <w:szCs w:val="20"/>
                <w:color w:val="auto"/>
              </w:rPr>
            </w:pPr>
            <w:r>
              <w:rPr>
                <w:rFonts w:ascii="Courier New" w:cs="Courier New" w:eastAsia="Courier New" w:hAnsi="Courier New"/>
                <w:sz w:val="17"/>
                <w:szCs w:val="17"/>
                <w:color w:val="auto"/>
              </w:rPr>
              <w:t>Proceeds</w:t>
            </w:r>
          </w:p>
        </w:tc>
        <w:tc>
          <w:tcPr>
            <w:tcW w:w="4800" w:type="dxa"/>
            <w:vAlign w:val="bottom"/>
          </w:tcPr>
          <w:p>
            <w:pPr>
              <w:ind w:left="40"/>
              <w:spacing w:after="0"/>
              <w:rPr>
                <w:sz w:val="20"/>
                <w:szCs w:val="20"/>
                <w:color w:val="auto"/>
              </w:rPr>
            </w:pPr>
            <w:r>
              <w:rPr>
                <w:rFonts w:ascii="Courier New" w:cs="Courier New" w:eastAsia="Courier New" w:hAnsi="Courier New"/>
                <w:sz w:val="17"/>
                <w:szCs w:val="17"/>
                <w:color w:val="auto"/>
              </w:rPr>
              <w:t>from sale of assets</w:t>
            </w:r>
          </w:p>
        </w:tc>
        <w:tc>
          <w:tcPr>
            <w:tcW w:w="2500" w:type="dxa"/>
            <w:vAlign w:val="bottom"/>
          </w:tcPr>
          <w:p>
            <w:pPr>
              <w:jc w:val="right"/>
              <w:ind w:right="435"/>
              <w:spacing w:after="0"/>
              <w:rPr>
                <w:sz w:val="20"/>
                <w:szCs w:val="20"/>
                <w:color w:val="auto"/>
              </w:rPr>
            </w:pPr>
            <w:r>
              <w:rPr>
                <w:rFonts w:ascii="Courier New" w:cs="Courier New" w:eastAsia="Courier New" w:hAnsi="Courier New"/>
                <w:sz w:val="17"/>
                <w:szCs w:val="17"/>
                <w:color w:val="auto"/>
              </w:rPr>
              <w:t>1,255</w:t>
            </w:r>
          </w:p>
        </w:tc>
        <w:tc>
          <w:tcPr>
            <w:tcW w:w="11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585</w:t>
            </w:r>
          </w:p>
        </w:tc>
      </w:tr>
      <w:tr>
        <w:trPr>
          <w:trHeight w:val="196"/>
        </w:trPr>
        <w:tc>
          <w:tcPr>
            <w:tcW w:w="860" w:type="dxa"/>
            <w:vAlign w:val="bottom"/>
          </w:tcPr>
          <w:p>
            <w:pPr>
              <w:spacing w:after="0"/>
              <w:rPr>
                <w:sz w:val="20"/>
                <w:szCs w:val="20"/>
                <w:color w:val="auto"/>
              </w:rPr>
            </w:pPr>
            <w:r>
              <w:rPr>
                <w:rFonts w:ascii="Courier New" w:cs="Courier New" w:eastAsia="Courier New" w:hAnsi="Courier New"/>
                <w:sz w:val="17"/>
                <w:szCs w:val="17"/>
                <w:color w:val="auto"/>
              </w:rPr>
              <w:t>Increase</w:t>
            </w:r>
          </w:p>
        </w:tc>
        <w:tc>
          <w:tcPr>
            <w:tcW w:w="4800" w:type="dxa"/>
            <w:vAlign w:val="bottom"/>
          </w:tcPr>
          <w:p>
            <w:pPr>
              <w:ind w:left="40"/>
              <w:spacing w:after="0"/>
              <w:rPr>
                <w:sz w:val="20"/>
                <w:szCs w:val="20"/>
                <w:color w:val="auto"/>
              </w:rPr>
            </w:pPr>
            <w:r>
              <w:rPr>
                <w:rFonts w:ascii="Courier New" w:cs="Courier New" w:eastAsia="Courier New" w:hAnsi="Courier New"/>
                <w:sz w:val="17"/>
                <w:szCs w:val="17"/>
                <w:color w:val="auto"/>
              </w:rPr>
              <w:t>in investments and</w:t>
            </w:r>
          </w:p>
        </w:tc>
        <w:tc>
          <w:tcPr>
            <w:tcW w:w="25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6"/>
        </w:trPr>
        <w:tc>
          <w:tcPr>
            <w:tcW w:w="566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long-term receivable</w:t>
            </w:r>
          </w:p>
        </w:tc>
        <w:tc>
          <w:tcPr>
            <w:tcW w:w="25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(381)</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(1,059)</w:t>
            </w:r>
          </w:p>
        </w:tc>
      </w:tr>
      <w:tr>
        <w:trPr>
          <w:trHeight w:val="196"/>
        </w:trPr>
        <w:tc>
          <w:tcPr>
            <w:tcW w:w="5660" w:type="dxa"/>
            <w:vAlign w:val="bottom"/>
            <w:gridSpan w:val="2"/>
          </w:tcPr>
          <w:p>
            <w:pPr>
              <w:spacing w:after="0"/>
              <w:rPr>
                <w:sz w:val="20"/>
                <w:szCs w:val="20"/>
                <w:color w:val="auto"/>
              </w:rPr>
            </w:pPr>
            <w:r>
              <w:rPr>
                <w:rFonts w:ascii="Courier New" w:cs="Courier New" w:eastAsia="Courier New" w:hAnsi="Courier New"/>
                <w:sz w:val="17"/>
                <w:szCs w:val="17"/>
                <w:color w:val="auto"/>
              </w:rPr>
              <w:t>Intangible assets acquired</w:t>
            </w:r>
          </w:p>
        </w:tc>
        <w:tc>
          <w:tcPr>
            <w:tcW w:w="2500" w:type="dxa"/>
            <w:vAlign w:val="bottom"/>
          </w:tcPr>
          <w:p>
            <w:pPr>
              <w:jc w:val="right"/>
              <w:ind w:right="335"/>
              <w:spacing w:after="0"/>
              <w:rPr>
                <w:sz w:val="20"/>
                <w:szCs w:val="20"/>
                <w:color w:val="auto"/>
              </w:rPr>
            </w:pPr>
            <w:r>
              <w:rPr>
                <w:rFonts w:ascii="Courier New" w:cs="Courier New" w:eastAsia="Courier New" w:hAnsi="Courier New"/>
                <w:sz w:val="17"/>
                <w:szCs w:val="17"/>
                <w:color w:val="auto"/>
              </w:rPr>
              <w:t>(3,124)</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(6,561)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5400" w:type="dxa"/>
            <w:vAlign w:val="bottom"/>
          </w:tcPr>
          <w:p>
            <w:pPr>
              <w:spacing w:after="0"/>
              <w:rPr>
                <w:sz w:val="20"/>
                <w:szCs w:val="20"/>
                <w:color w:val="auto"/>
              </w:rPr>
            </w:pPr>
            <w:r>
              <w:rPr>
                <w:rFonts w:ascii="Courier New" w:cs="Courier New" w:eastAsia="Courier New" w:hAnsi="Courier New"/>
                <w:sz w:val="17"/>
                <w:szCs w:val="17"/>
                <w:color w:val="auto"/>
              </w:rPr>
              <w:t>Net cash used in investing activities</w:t>
            </w:r>
          </w:p>
        </w:tc>
        <w:tc>
          <w:tcPr>
            <w:tcW w:w="27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(8,621)</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(16,073)</w:t>
            </w:r>
          </w:p>
        </w:tc>
      </w:tr>
    </w:tbl>
    <w:p>
      <w:pPr>
        <w:spacing w:after="0" w:line="4" w:lineRule="exact"/>
        <w:rPr>
          <w:sz w:val="20"/>
          <w:szCs w:val="20"/>
          <w:color w:val="auto"/>
        </w:rPr>
      </w:pPr>
    </w:p>
    <w:p>
      <w:pPr>
        <w:ind w:left="200" w:hanging="195"/>
        <w:spacing w:after="0"/>
        <w:tabs>
          <w:tab w:leader="none" w:pos="20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CASH FLOWS FROM FINANCING ACTIVITIES:</w:t>
      </w:r>
    </w:p>
    <w:p>
      <w:pPr>
        <w:spacing w:after="0" w:line="4"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5200" w:type="dxa"/>
            <w:vAlign w:val="bottom"/>
          </w:tcPr>
          <w:p>
            <w:pPr>
              <w:spacing w:after="0"/>
              <w:rPr>
                <w:sz w:val="20"/>
                <w:szCs w:val="20"/>
                <w:color w:val="auto"/>
              </w:rPr>
            </w:pPr>
            <w:r>
              <w:rPr>
                <w:rFonts w:ascii="Courier New" w:cs="Courier New" w:eastAsia="Courier New" w:hAnsi="Courier New"/>
                <w:sz w:val="17"/>
                <w:szCs w:val="17"/>
                <w:color w:val="auto"/>
              </w:rPr>
              <w:t>Common stock issued</w:t>
            </w:r>
          </w:p>
        </w:tc>
        <w:tc>
          <w:tcPr>
            <w:tcW w:w="290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6,486</w:t>
            </w: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8,018</w:t>
            </w:r>
          </w:p>
        </w:tc>
      </w:tr>
      <w:tr>
        <w:trPr>
          <w:trHeight w:val="196"/>
        </w:trPr>
        <w:tc>
          <w:tcPr>
            <w:tcW w:w="5200" w:type="dxa"/>
            <w:vAlign w:val="bottom"/>
          </w:tcPr>
          <w:p>
            <w:pPr>
              <w:spacing w:after="0"/>
              <w:rPr>
                <w:sz w:val="20"/>
                <w:szCs w:val="20"/>
                <w:color w:val="auto"/>
              </w:rPr>
            </w:pPr>
            <w:r>
              <w:rPr>
                <w:rFonts w:ascii="Courier New" w:cs="Courier New" w:eastAsia="Courier New" w:hAnsi="Courier New"/>
                <w:sz w:val="17"/>
                <w:szCs w:val="17"/>
                <w:color w:val="auto"/>
              </w:rPr>
              <w:t>Dividends paid</w:t>
            </w:r>
          </w:p>
        </w:tc>
        <w:tc>
          <w:tcPr>
            <w:tcW w:w="2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(5,292)</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(6,473)</w:t>
            </w:r>
          </w:p>
        </w:tc>
      </w:tr>
      <w:tr>
        <w:trPr>
          <w:trHeight w:val="196"/>
        </w:trPr>
        <w:tc>
          <w:tcPr>
            <w:tcW w:w="5200" w:type="dxa"/>
            <w:vAlign w:val="bottom"/>
          </w:tcPr>
          <w:p>
            <w:pPr>
              <w:spacing w:after="0"/>
              <w:rPr>
                <w:sz w:val="20"/>
                <w:szCs w:val="20"/>
                <w:color w:val="auto"/>
              </w:rPr>
            </w:pPr>
            <w:r>
              <w:rPr>
                <w:rFonts w:ascii="Courier New" w:cs="Courier New" w:eastAsia="Courier New" w:hAnsi="Courier New"/>
                <w:sz w:val="17"/>
                <w:szCs w:val="17"/>
                <w:color w:val="auto"/>
              </w:rPr>
              <w:t>Increase in cash overdraft</w:t>
            </w:r>
          </w:p>
        </w:tc>
        <w:tc>
          <w:tcPr>
            <w:tcW w:w="290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6,685</w:t>
            </w: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12,724</w:t>
            </w:r>
          </w:p>
        </w:tc>
      </w:tr>
      <w:tr>
        <w:trPr>
          <w:trHeight w:val="196"/>
        </w:trPr>
        <w:tc>
          <w:tcPr>
            <w:tcW w:w="5200" w:type="dxa"/>
            <w:vAlign w:val="bottom"/>
          </w:tcPr>
          <w:p>
            <w:pPr>
              <w:spacing w:after="0"/>
              <w:rPr>
                <w:sz w:val="20"/>
                <w:szCs w:val="20"/>
                <w:color w:val="auto"/>
              </w:rPr>
            </w:pPr>
            <w:r>
              <w:rPr>
                <w:rFonts w:ascii="Courier New" w:cs="Courier New" w:eastAsia="Courier New" w:hAnsi="Courier New"/>
                <w:sz w:val="17"/>
                <w:szCs w:val="17"/>
                <w:color w:val="auto"/>
              </w:rPr>
              <w:t>Increase in notes payable</w:t>
            </w:r>
          </w:p>
        </w:tc>
        <w:tc>
          <w:tcPr>
            <w:tcW w:w="290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99</w:t>
            </w: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55</w:t>
            </w:r>
          </w:p>
        </w:tc>
      </w:tr>
      <w:tr>
        <w:trPr>
          <w:trHeight w:val="196"/>
        </w:trPr>
        <w:tc>
          <w:tcPr>
            <w:tcW w:w="5200" w:type="dxa"/>
            <w:vAlign w:val="bottom"/>
          </w:tcPr>
          <w:p>
            <w:pPr>
              <w:spacing w:after="0"/>
              <w:rPr>
                <w:sz w:val="20"/>
                <w:szCs w:val="20"/>
                <w:color w:val="auto"/>
              </w:rPr>
            </w:pPr>
            <w:r>
              <w:rPr>
                <w:rFonts w:ascii="Courier New" w:cs="Courier New" w:eastAsia="Courier New" w:hAnsi="Courier New"/>
                <w:sz w:val="17"/>
                <w:szCs w:val="17"/>
                <w:color w:val="auto"/>
              </w:rPr>
              <w:t>Long-term borrowings</w:t>
            </w:r>
          </w:p>
        </w:tc>
        <w:tc>
          <w:tcPr>
            <w:tcW w:w="290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52,126</w:t>
            </w:r>
          </w:p>
        </w:tc>
        <w:tc>
          <w:tcPr>
            <w:tcW w:w="118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8,008</w:t>
            </w:r>
          </w:p>
        </w:tc>
      </w:tr>
      <w:tr>
        <w:trPr>
          <w:trHeight w:val="196"/>
        </w:trPr>
        <w:tc>
          <w:tcPr>
            <w:tcW w:w="5200" w:type="dxa"/>
            <w:vAlign w:val="bottom"/>
          </w:tcPr>
          <w:p>
            <w:pPr>
              <w:spacing w:after="0"/>
              <w:rPr>
                <w:sz w:val="20"/>
                <w:szCs w:val="20"/>
                <w:color w:val="auto"/>
              </w:rPr>
            </w:pPr>
            <w:r>
              <w:rPr>
                <w:rFonts w:ascii="Courier New" w:cs="Courier New" w:eastAsia="Courier New" w:hAnsi="Courier New"/>
                <w:sz w:val="17"/>
                <w:szCs w:val="17"/>
                <w:color w:val="auto"/>
              </w:rPr>
              <w:t>Repayments of long-term borrowings</w:t>
            </w:r>
          </w:p>
        </w:tc>
        <w:tc>
          <w:tcPr>
            <w:tcW w:w="290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(56,803)</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(26,779)</w:t>
            </w:r>
          </w:p>
        </w:tc>
      </w:tr>
    </w:tbl>
    <w:p>
      <w:pPr>
        <w:spacing w:after="0" w:line="4" w:lineRule="exact"/>
        <w:rPr>
          <w:sz w:val="20"/>
          <w:szCs w:val="20"/>
          <w:color w:val="auto"/>
        </w:rPr>
      </w:pPr>
    </w:p>
    <w:p>
      <w:pPr>
        <w:ind w:left="200" w:hanging="195"/>
        <w:spacing w:after="0"/>
        <w:tabs>
          <w:tab w:leader="none" w:pos="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ind w:left="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 cash provided by (used in) financing</w:t>
      </w:r>
    </w:p>
    <w:p>
      <w:pPr>
        <w:spacing w:after="0" w:line="4" w:lineRule="exact"/>
        <w:rPr>
          <w:sz w:val="20"/>
          <w:szCs w:val="20"/>
          <w:color w:val="auto"/>
        </w:rPr>
      </w:pPr>
    </w:p>
    <w:tbl>
      <w:tblPr>
        <w:tblLayout w:type="fixed"/>
        <w:tblInd w:w="620" w:type="dxa"/>
        <w:tblCellMar>
          <w:top w:w="0" w:type="dxa"/>
          <w:left w:w="0" w:type="dxa"/>
          <w:bottom w:w="0" w:type="dxa"/>
          <w:right w:w="0" w:type="dxa"/>
        </w:tblCellMar>
      </w:tblPr>
      <w:tr>
        <w:trPr>
          <w:trHeight w:val="193"/>
        </w:trPr>
        <w:tc>
          <w:tcPr>
            <w:tcW w:w="3920" w:type="dxa"/>
            <w:vAlign w:val="bottom"/>
          </w:tcPr>
          <w:p>
            <w:pPr>
              <w:spacing w:after="0"/>
              <w:rPr>
                <w:sz w:val="20"/>
                <w:szCs w:val="20"/>
                <w:color w:val="auto"/>
              </w:rPr>
            </w:pPr>
            <w:r>
              <w:rPr>
                <w:rFonts w:ascii="Courier New" w:cs="Courier New" w:eastAsia="Courier New" w:hAnsi="Courier New"/>
                <w:sz w:val="17"/>
                <w:szCs w:val="17"/>
                <w:color w:val="auto"/>
              </w:rPr>
              <w:t>activities</w:t>
            </w:r>
          </w:p>
        </w:tc>
        <w:tc>
          <w:tcPr>
            <w:tcW w:w="388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3,301</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(4,447)</w:t>
            </w:r>
          </w:p>
        </w:tc>
      </w:tr>
    </w:tbl>
    <w:p>
      <w:pPr>
        <w:spacing w:after="0" w:line="4" w:lineRule="exact"/>
        <w:rPr>
          <w:sz w:val="20"/>
          <w:szCs w:val="20"/>
          <w:color w:val="auto"/>
        </w:rPr>
      </w:pPr>
    </w:p>
    <w:p>
      <w:pPr>
        <w:ind w:left="200" w:hanging="195"/>
        <w:spacing w:after="0"/>
        <w:tabs>
          <w:tab w:leader="none" w:pos="2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NET INCREASE (DECREASE) IN CASH AND CASH</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20" w:type="dxa"/>
            <w:vAlign w:val="bottom"/>
          </w:tcPr>
          <w:p>
            <w:pPr>
              <w:ind w:left="320"/>
              <w:spacing w:after="0"/>
              <w:rPr>
                <w:sz w:val="20"/>
                <w:szCs w:val="20"/>
                <w:color w:val="auto"/>
              </w:rPr>
            </w:pPr>
            <w:r>
              <w:rPr>
                <w:rFonts w:ascii="Courier New" w:cs="Courier New" w:eastAsia="Courier New" w:hAnsi="Courier New"/>
                <w:sz w:val="17"/>
                <w:szCs w:val="17"/>
                <w:color w:val="auto"/>
              </w:rPr>
              <w:t>EQUIVALENTS</w:t>
            </w:r>
          </w:p>
        </w:tc>
        <w:tc>
          <w:tcPr>
            <w:tcW w:w="250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(33)</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r>
      <w:tr>
        <w:trPr>
          <w:trHeight w:val="196"/>
        </w:trPr>
        <w:tc>
          <w:tcPr>
            <w:tcW w:w="6020" w:type="dxa"/>
            <w:vAlign w:val="bottom"/>
          </w:tcPr>
          <w:p>
            <w:pPr>
              <w:spacing w:after="0"/>
              <w:rPr>
                <w:sz w:val="20"/>
                <w:szCs w:val="20"/>
                <w:color w:val="auto"/>
              </w:rPr>
            </w:pPr>
            <w:r>
              <w:rPr>
                <w:rFonts w:ascii="Courier New" w:cs="Courier New" w:eastAsia="Courier New" w:hAnsi="Courier New"/>
                <w:sz w:val="17"/>
                <w:szCs w:val="17"/>
                <w:color w:val="auto"/>
              </w:rPr>
              <w:t>CASH AND CASH EQUIVALENTS BEGINNING OF PERIOD</w:t>
            </w:r>
          </w:p>
        </w:tc>
        <w:tc>
          <w:tcPr>
            <w:tcW w:w="250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1,783</w:t>
            </w:r>
          </w:p>
        </w:tc>
        <w:tc>
          <w:tcPr>
            <w:tcW w:w="980" w:type="dxa"/>
            <w:vAlign w:val="bottom"/>
          </w:tcPr>
          <w:p>
            <w:pPr>
              <w:jc w:val="right"/>
              <w:spacing w:after="0"/>
              <w:rPr>
                <w:sz w:val="20"/>
                <w:szCs w:val="20"/>
                <w:color w:val="auto"/>
              </w:rPr>
            </w:pPr>
            <w:r>
              <w:rPr>
                <w:rFonts w:ascii="Courier New" w:cs="Courier New" w:eastAsia="Courier New" w:hAnsi="Courier New"/>
                <w:sz w:val="17"/>
                <w:szCs w:val="17"/>
                <w:color w:val="auto"/>
              </w:rPr>
              <w:t>1,844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4" w:lineRule="exact"/>
        <w:rPr>
          <w:sz w:val="20"/>
          <w:szCs w:val="20"/>
          <w:color w:val="auto"/>
        </w:rPr>
      </w:pPr>
    </w:p>
    <w:p>
      <w:pPr>
        <w:spacing w:after="0"/>
        <w:tabs>
          <w:tab w:leader="none" w:pos="7020" w:val="left"/>
          <w:tab w:leader="none" w:pos="7440" w:val="left"/>
          <w:tab w:leader="none" w:pos="8560" w:val="left"/>
          <w:tab w:leader="none" w:pos="8960" w:val="left"/>
        </w:tabs>
        <w:rPr>
          <w:sz w:val="20"/>
          <w:szCs w:val="20"/>
          <w:color w:val="auto"/>
        </w:rPr>
      </w:pPr>
      <w:r>
        <w:rPr>
          <w:rFonts w:ascii="Courier New" w:cs="Courier New" w:eastAsia="Courier New" w:hAnsi="Courier New"/>
          <w:sz w:val="17"/>
          <w:szCs w:val="17"/>
          <w:color w:val="auto"/>
        </w:rPr>
        <w:t>CASH AND CASH EQUIVALENTS END OF PERIOD</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1,750</w:t>
      </w:r>
      <w:r>
        <w:rPr>
          <w:sz w:val="20"/>
          <w:szCs w:val="20"/>
          <w:color w:val="auto"/>
        </w:rPr>
        <w:tab/>
      </w:r>
      <w:r>
        <w:rPr>
          <w:rFonts w:ascii="Courier New" w:cs="Courier New" w:eastAsia="Courier New" w:hAnsi="Courier New"/>
          <w:sz w:val="17"/>
          <w:szCs w:val="17"/>
          <w:color w:val="auto"/>
        </w:rPr>
        <w:t>$</w:t>
        <w:tab/>
        <w:t>1,878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7040"/>
        <w:spacing w:after="0"/>
        <w:rPr>
          <w:sz w:val="20"/>
          <w:szCs w:val="20"/>
          <w:color w:val="auto"/>
        </w:rPr>
      </w:pPr>
      <w:r>
        <w:rPr>
          <w:rFonts w:ascii="Courier New" w:cs="Courier New" w:eastAsia="Courier New" w:hAnsi="Courier New"/>
          <w:sz w:val="17"/>
          <w:szCs w:val="17"/>
          <w:color w:val="auto"/>
        </w:rPr>
        <w:t>(Continued)</w:t>
      </w:r>
    </w:p>
    <w:p>
      <w:pPr>
        <w:spacing w:after="0" w:line="396"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311"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7"/>
          <w:szCs w:val="17"/>
          <w:color w:val="auto"/>
        </w:rPr>
        <w:t>7</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ABM INDUSTRIES INCORPORATED AND SUBSIDIARIES</w:t>
      </w:r>
    </w:p>
    <w:p>
      <w:pPr>
        <w:spacing w:after="0" w:line="4" w:lineRule="exact"/>
        <w:rPr>
          <w:sz w:val="20"/>
          <w:szCs w:val="20"/>
          <w:color w:val="auto"/>
        </w:rPr>
      </w:pPr>
    </w:p>
    <w:p>
      <w:pPr>
        <w:jc w:val="center"/>
        <w:ind w:right="2020"/>
        <w:spacing w:after="0"/>
        <w:rPr>
          <w:sz w:val="20"/>
          <w:szCs w:val="20"/>
          <w:color w:val="auto"/>
        </w:rPr>
      </w:pPr>
      <w:r>
        <w:rPr>
          <w:rFonts w:ascii="Courier New" w:cs="Courier New" w:eastAsia="Courier New" w:hAnsi="Courier New"/>
          <w:sz w:val="17"/>
          <w:szCs w:val="17"/>
          <w:color w:val="auto"/>
        </w:rPr>
        <w:t>CONDENSED CONSOLIDATED STATEMENTS OF CASH FLOWS</w:t>
      </w:r>
    </w:p>
    <w:p>
      <w:pPr>
        <w:spacing w:after="0" w:line="4" w:lineRule="exact"/>
        <w:rPr>
          <w:sz w:val="20"/>
          <w:szCs w:val="20"/>
          <w:color w:val="auto"/>
        </w:rPr>
      </w:pPr>
    </w:p>
    <w:p>
      <w:pPr>
        <w:jc w:val="center"/>
        <w:ind w:right="2120"/>
        <w:spacing w:after="0"/>
        <w:rPr>
          <w:sz w:val="20"/>
          <w:szCs w:val="20"/>
          <w:color w:val="auto"/>
        </w:rPr>
      </w:pPr>
      <w:r>
        <w:rPr>
          <w:rFonts w:ascii="Courier New" w:cs="Courier New" w:eastAsia="Courier New" w:hAnsi="Courier New"/>
          <w:sz w:val="17"/>
          <w:szCs w:val="17"/>
          <w:color w:val="auto"/>
        </w:rPr>
        <w:t>FOR THE SIX MONTHS ENDED APRIL 30, 1998 AND 1999</w:t>
      </w:r>
    </w:p>
    <w:p>
      <w:pPr>
        <w:spacing w:after="0" w:line="4" w:lineRule="exact"/>
        <w:rPr>
          <w:sz w:val="20"/>
          <w:szCs w:val="20"/>
          <w:color w:val="auto"/>
        </w:rPr>
      </w:pPr>
    </w:p>
    <w:p>
      <w:pPr>
        <w:jc w:val="center"/>
        <w:ind w:right="2120"/>
        <w:spacing w:after="0"/>
        <w:rPr>
          <w:sz w:val="20"/>
          <w:szCs w:val="20"/>
          <w:color w:val="auto"/>
        </w:rPr>
      </w:pPr>
      <w:r>
        <w:rPr>
          <w:rFonts w:ascii="Courier New" w:cs="Courier New" w:eastAsia="Courier New" w:hAnsi="Courier New"/>
          <w:sz w:val="17"/>
          <w:szCs w:val="17"/>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p>
      <w:pPr>
        <w:ind w:left="8060"/>
        <w:spacing w:after="0"/>
        <w:tabs>
          <w:tab w:leader="none" w:pos="9480" w:val="left"/>
        </w:tabs>
        <w:rPr>
          <w:sz w:val="20"/>
          <w:szCs w:val="20"/>
          <w:color w:val="auto"/>
        </w:rPr>
      </w:pPr>
      <w:r>
        <w:rPr>
          <w:rFonts w:ascii="Courier New" w:cs="Courier New" w:eastAsia="Courier New" w:hAnsi="Courier New"/>
          <w:sz w:val="17"/>
          <w:szCs w:val="17"/>
          <w:color w:val="auto"/>
        </w:rPr>
        <w:t>1998</w:t>
      </w:r>
      <w:r>
        <w:rPr>
          <w:sz w:val="20"/>
          <w:szCs w:val="20"/>
          <w:color w:val="auto"/>
        </w:rPr>
        <w:tab/>
      </w:r>
      <w:r>
        <w:rPr>
          <w:rFonts w:ascii="Courier New" w:cs="Courier New" w:eastAsia="Courier New" w:hAnsi="Courier New"/>
          <w:sz w:val="17"/>
          <w:szCs w:val="17"/>
          <w:color w:val="auto"/>
        </w:rPr>
        <w:t>1999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RECONCILIATION OF NET INCOME TO NET CASH</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80" w:type="dxa"/>
            <w:vAlign w:val="bottom"/>
          </w:tcPr>
          <w:p>
            <w:pPr>
              <w:ind w:left="320"/>
              <w:spacing w:after="0"/>
              <w:rPr>
                <w:sz w:val="20"/>
                <w:szCs w:val="20"/>
                <w:color w:val="auto"/>
              </w:rPr>
            </w:pPr>
            <w:r>
              <w:rPr>
                <w:rFonts w:ascii="Courier New" w:cs="Courier New" w:eastAsia="Courier New" w:hAnsi="Courier New"/>
                <w:sz w:val="17"/>
                <w:szCs w:val="17"/>
                <w:color w:val="auto"/>
              </w:rPr>
              <w:t>PROVIDED BY OPERATING ACTIVITIES:</w:t>
            </w:r>
          </w:p>
        </w:tc>
        <w:tc>
          <w:tcPr>
            <w:tcW w:w="27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92"/>
        </w:trPr>
        <w:tc>
          <w:tcPr>
            <w:tcW w:w="628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27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$ 12,840</w:t>
            </w:r>
          </w:p>
        </w:tc>
        <w:tc>
          <w:tcPr>
            <w:tcW w:w="11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$ 15,335</w:t>
            </w:r>
          </w:p>
        </w:tc>
      </w:tr>
      <w:tr>
        <w:trPr>
          <w:trHeight w:val="392"/>
        </w:trPr>
        <w:tc>
          <w:tcPr>
            <w:tcW w:w="6280" w:type="dxa"/>
            <w:vAlign w:val="bottom"/>
          </w:tcPr>
          <w:p>
            <w:pPr>
              <w:spacing w:after="0"/>
              <w:rPr>
                <w:sz w:val="20"/>
                <w:szCs w:val="20"/>
                <w:color w:val="auto"/>
              </w:rPr>
            </w:pPr>
            <w:r>
              <w:rPr>
                <w:rFonts w:ascii="Courier New" w:cs="Courier New" w:eastAsia="Courier New" w:hAnsi="Courier New"/>
                <w:sz w:val="17"/>
                <w:szCs w:val="17"/>
                <w:color w:val="auto"/>
              </w:rPr>
              <w:t>Adjustments:</w:t>
            </w:r>
          </w:p>
        </w:tc>
        <w:tc>
          <w:tcPr>
            <w:tcW w:w="27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6"/>
        </w:trPr>
        <w:tc>
          <w:tcPr>
            <w:tcW w:w="6280" w:type="dxa"/>
            <w:vAlign w:val="bottom"/>
          </w:tcPr>
          <w:p>
            <w:pPr>
              <w:ind w:left="320"/>
              <w:spacing w:after="0"/>
              <w:rPr>
                <w:sz w:val="20"/>
                <w:szCs w:val="20"/>
                <w:color w:val="auto"/>
              </w:rPr>
            </w:pPr>
            <w:r>
              <w:rPr>
                <w:rFonts w:ascii="Courier New" w:cs="Courier New" w:eastAsia="Courier New" w:hAnsi="Courier New"/>
                <w:sz w:val="17"/>
                <w:szCs w:val="17"/>
                <w:color w:val="auto"/>
              </w:rPr>
              <w:t>Depreciation and amortization</w:t>
            </w:r>
          </w:p>
        </w:tc>
        <w:tc>
          <w:tcPr>
            <w:tcW w:w="27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9,527</w:t>
            </w:r>
          </w:p>
        </w:tc>
        <w:tc>
          <w:tcPr>
            <w:tcW w:w="11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10,049</w:t>
            </w:r>
          </w:p>
        </w:tc>
      </w:tr>
      <w:tr>
        <w:trPr>
          <w:trHeight w:val="196"/>
        </w:trPr>
        <w:tc>
          <w:tcPr>
            <w:tcW w:w="6280" w:type="dxa"/>
            <w:vAlign w:val="bottom"/>
          </w:tcPr>
          <w:p>
            <w:pPr>
              <w:ind w:left="320"/>
              <w:spacing w:after="0"/>
              <w:rPr>
                <w:sz w:val="20"/>
                <w:szCs w:val="20"/>
                <w:color w:val="auto"/>
              </w:rPr>
            </w:pPr>
            <w:r>
              <w:rPr>
                <w:rFonts w:ascii="Courier New" w:cs="Courier New" w:eastAsia="Courier New" w:hAnsi="Courier New"/>
                <w:sz w:val="17"/>
                <w:szCs w:val="17"/>
                <w:color w:val="auto"/>
              </w:rPr>
              <w:t>Provision for bad debts</w:t>
            </w:r>
          </w:p>
        </w:tc>
        <w:tc>
          <w:tcPr>
            <w:tcW w:w="27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1,508</w:t>
            </w:r>
          </w:p>
        </w:tc>
        <w:tc>
          <w:tcPr>
            <w:tcW w:w="11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1,101</w:t>
            </w:r>
          </w:p>
        </w:tc>
      </w:tr>
      <w:tr>
        <w:trPr>
          <w:trHeight w:val="196"/>
        </w:trPr>
        <w:tc>
          <w:tcPr>
            <w:tcW w:w="6280" w:type="dxa"/>
            <w:vAlign w:val="bottom"/>
          </w:tcPr>
          <w:p>
            <w:pPr>
              <w:ind w:left="320"/>
              <w:spacing w:after="0"/>
              <w:rPr>
                <w:sz w:val="20"/>
                <w:szCs w:val="20"/>
                <w:color w:val="auto"/>
              </w:rPr>
            </w:pPr>
            <w:r>
              <w:rPr>
                <w:rFonts w:ascii="Courier New" w:cs="Courier New" w:eastAsia="Courier New" w:hAnsi="Courier New"/>
                <w:sz w:val="17"/>
                <w:szCs w:val="17"/>
                <w:color w:val="auto"/>
              </w:rPr>
              <w:t>Gain on sale of assets</w:t>
            </w:r>
          </w:p>
        </w:tc>
        <w:tc>
          <w:tcPr>
            <w:tcW w:w="2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(108)</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(42)</w:t>
            </w:r>
          </w:p>
        </w:tc>
      </w:tr>
      <w:tr>
        <w:trPr>
          <w:trHeight w:val="196"/>
        </w:trPr>
        <w:tc>
          <w:tcPr>
            <w:tcW w:w="6280" w:type="dxa"/>
            <w:vAlign w:val="bottom"/>
          </w:tcPr>
          <w:p>
            <w:pPr>
              <w:ind w:left="320"/>
              <w:spacing w:after="0"/>
              <w:rPr>
                <w:sz w:val="20"/>
                <w:szCs w:val="20"/>
                <w:color w:val="auto"/>
              </w:rPr>
            </w:pPr>
            <w:r>
              <w:rPr>
                <w:rFonts w:ascii="Courier New" w:cs="Courier New" w:eastAsia="Courier New" w:hAnsi="Courier New"/>
                <w:sz w:val="17"/>
                <w:szCs w:val="17"/>
                <w:color w:val="auto"/>
              </w:rPr>
              <w:t>Deferred income taxes</w:t>
            </w:r>
          </w:p>
        </w:tc>
        <w:tc>
          <w:tcPr>
            <w:tcW w:w="2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(1,556)</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(3,825)</w:t>
            </w:r>
          </w:p>
        </w:tc>
      </w:tr>
      <w:tr>
        <w:trPr>
          <w:trHeight w:val="196"/>
        </w:trPr>
        <w:tc>
          <w:tcPr>
            <w:tcW w:w="6280" w:type="dxa"/>
            <w:vAlign w:val="bottom"/>
          </w:tcPr>
          <w:p>
            <w:pPr>
              <w:ind w:left="320"/>
              <w:spacing w:after="0"/>
              <w:rPr>
                <w:sz w:val="20"/>
                <w:szCs w:val="20"/>
                <w:color w:val="auto"/>
              </w:rPr>
            </w:pPr>
            <w:r>
              <w:rPr>
                <w:rFonts w:ascii="Courier New" w:cs="Courier New" w:eastAsia="Courier New" w:hAnsi="Courier New"/>
                <w:sz w:val="17"/>
                <w:szCs w:val="17"/>
                <w:color w:val="auto"/>
              </w:rPr>
              <w:t>Increase in accounts receivable</w:t>
            </w:r>
          </w:p>
        </w:tc>
        <w:tc>
          <w:tcPr>
            <w:tcW w:w="2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(7,212)</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(8,379)</w:t>
            </w:r>
          </w:p>
        </w:tc>
      </w:tr>
      <w:tr>
        <w:trPr>
          <w:trHeight w:val="196"/>
        </w:trPr>
        <w:tc>
          <w:tcPr>
            <w:tcW w:w="6280" w:type="dxa"/>
            <w:vAlign w:val="bottom"/>
          </w:tcPr>
          <w:p>
            <w:pPr>
              <w:ind w:left="320"/>
              <w:spacing w:after="0"/>
              <w:rPr>
                <w:sz w:val="20"/>
                <w:szCs w:val="20"/>
                <w:color w:val="auto"/>
              </w:rPr>
            </w:pPr>
            <w:r>
              <w:rPr>
                <w:rFonts w:ascii="Courier New" w:cs="Courier New" w:eastAsia="Courier New" w:hAnsi="Courier New"/>
                <w:sz w:val="17"/>
                <w:szCs w:val="17"/>
                <w:color w:val="auto"/>
              </w:rPr>
              <w:t>Decrease (increase) in inventories</w:t>
            </w:r>
          </w:p>
        </w:tc>
        <w:tc>
          <w:tcPr>
            <w:tcW w:w="2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(1,088)</w:t>
            </w:r>
          </w:p>
        </w:tc>
        <w:tc>
          <w:tcPr>
            <w:tcW w:w="11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256</w:t>
            </w:r>
          </w:p>
        </w:tc>
      </w:tr>
      <w:tr>
        <w:trPr>
          <w:trHeight w:val="196"/>
        </w:trPr>
        <w:tc>
          <w:tcPr>
            <w:tcW w:w="6280" w:type="dxa"/>
            <w:vAlign w:val="bottom"/>
          </w:tcPr>
          <w:p>
            <w:pPr>
              <w:ind w:left="320"/>
              <w:spacing w:after="0"/>
              <w:rPr>
                <w:sz w:val="20"/>
                <w:szCs w:val="20"/>
                <w:color w:val="auto"/>
              </w:rPr>
            </w:pPr>
            <w:r>
              <w:rPr>
                <w:rFonts w:ascii="Courier New" w:cs="Courier New" w:eastAsia="Courier New" w:hAnsi="Courier New"/>
                <w:sz w:val="17"/>
                <w:szCs w:val="17"/>
                <w:color w:val="auto"/>
              </w:rPr>
              <w:t>Increase in prepaid expenses and other</w:t>
            </w:r>
          </w:p>
        </w:tc>
        <w:tc>
          <w:tcPr>
            <w:tcW w:w="27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6280" w:type="dxa"/>
            <w:vAlign w:val="bottom"/>
          </w:tcPr>
          <w:p>
            <w:pPr>
              <w:ind w:left="620"/>
              <w:spacing w:after="0"/>
              <w:rPr>
                <w:sz w:val="20"/>
                <w:szCs w:val="20"/>
                <w:color w:val="auto"/>
              </w:rPr>
            </w:pPr>
            <w:r>
              <w:rPr>
                <w:rFonts w:ascii="Courier New" w:cs="Courier New" w:eastAsia="Courier New" w:hAnsi="Courier New"/>
                <w:sz w:val="17"/>
                <w:szCs w:val="17"/>
                <w:color w:val="auto"/>
              </w:rPr>
              <w:t>current assets</w:t>
            </w:r>
          </w:p>
        </w:tc>
        <w:tc>
          <w:tcPr>
            <w:tcW w:w="2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(3,462)</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(1,715)</w:t>
            </w:r>
          </w:p>
        </w:tc>
      </w:tr>
      <w:tr>
        <w:trPr>
          <w:trHeight w:val="196"/>
        </w:trPr>
        <w:tc>
          <w:tcPr>
            <w:tcW w:w="6280" w:type="dxa"/>
            <w:vAlign w:val="bottom"/>
          </w:tcPr>
          <w:p>
            <w:pPr>
              <w:ind w:left="320"/>
              <w:spacing w:after="0"/>
              <w:rPr>
                <w:sz w:val="20"/>
                <w:szCs w:val="20"/>
                <w:color w:val="auto"/>
              </w:rPr>
            </w:pPr>
            <w:r>
              <w:rPr>
                <w:rFonts w:ascii="Courier New" w:cs="Courier New" w:eastAsia="Courier New" w:hAnsi="Courier New"/>
                <w:sz w:val="17"/>
                <w:szCs w:val="17"/>
                <w:color w:val="auto"/>
              </w:rPr>
              <w:t>Decrease (increase) in other assets</w:t>
            </w:r>
          </w:p>
        </w:tc>
        <w:tc>
          <w:tcPr>
            <w:tcW w:w="27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411</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(870)</w:t>
            </w:r>
          </w:p>
        </w:tc>
      </w:tr>
      <w:tr>
        <w:trPr>
          <w:trHeight w:val="196"/>
        </w:trPr>
        <w:tc>
          <w:tcPr>
            <w:tcW w:w="6280" w:type="dxa"/>
            <w:vAlign w:val="bottom"/>
          </w:tcPr>
          <w:p>
            <w:pPr>
              <w:ind w:left="320"/>
              <w:spacing w:after="0"/>
              <w:rPr>
                <w:sz w:val="20"/>
                <w:szCs w:val="20"/>
                <w:color w:val="auto"/>
              </w:rPr>
            </w:pPr>
            <w:r>
              <w:rPr>
                <w:rFonts w:ascii="Courier New" w:cs="Courier New" w:eastAsia="Courier New" w:hAnsi="Courier New"/>
                <w:sz w:val="17"/>
                <w:szCs w:val="17"/>
                <w:color w:val="auto"/>
              </w:rPr>
              <w:t>Increase (decrease) in income taxes payable</w:t>
            </w:r>
          </w:p>
        </w:tc>
        <w:tc>
          <w:tcPr>
            <w:tcW w:w="2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(1,584)</w:t>
            </w:r>
          </w:p>
        </w:tc>
        <w:tc>
          <w:tcPr>
            <w:tcW w:w="11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2,024</w:t>
            </w:r>
          </w:p>
        </w:tc>
      </w:tr>
      <w:tr>
        <w:trPr>
          <w:trHeight w:val="196"/>
        </w:trPr>
        <w:tc>
          <w:tcPr>
            <w:tcW w:w="6280" w:type="dxa"/>
            <w:vAlign w:val="bottom"/>
          </w:tcPr>
          <w:p>
            <w:pPr>
              <w:ind w:left="320"/>
              <w:spacing w:after="0"/>
              <w:rPr>
                <w:sz w:val="20"/>
                <w:szCs w:val="20"/>
                <w:color w:val="auto"/>
              </w:rPr>
            </w:pPr>
            <w:r>
              <w:rPr>
                <w:rFonts w:ascii="Courier New" w:cs="Courier New" w:eastAsia="Courier New" w:hAnsi="Courier New"/>
                <w:sz w:val="17"/>
                <w:szCs w:val="17"/>
                <w:color w:val="auto"/>
              </w:rPr>
              <w:t>Increase in retirement plans accrual</w:t>
            </w:r>
          </w:p>
        </w:tc>
        <w:tc>
          <w:tcPr>
            <w:tcW w:w="2760" w:type="dxa"/>
            <w:vAlign w:val="bottom"/>
          </w:tcPr>
          <w:p>
            <w:pPr>
              <w:jc w:val="right"/>
              <w:ind w:right="275"/>
              <w:spacing w:after="0"/>
              <w:rPr>
                <w:sz w:val="20"/>
                <w:szCs w:val="20"/>
                <w:color w:val="auto"/>
              </w:rPr>
            </w:pPr>
            <w:r>
              <w:rPr>
                <w:rFonts w:ascii="Courier New" w:cs="Courier New" w:eastAsia="Courier New" w:hAnsi="Courier New"/>
                <w:sz w:val="17"/>
                <w:szCs w:val="17"/>
                <w:color w:val="auto"/>
              </w:rPr>
              <w:t>1,537</w:t>
            </w:r>
          </w:p>
        </w:tc>
        <w:tc>
          <w:tcPr>
            <w:tcW w:w="11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1,812</w:t>
            </w:r>
          </w:p>
        </w:tc>
      </w:tr>
      <w:tr>
        <w:trPr>
          <w:trHeight w:val="196"/>
        </w:trPr>
        <w:tc>
          <w:tcPr>
            <w:tcW w:w="6280" w:type="dxa"/>
            <w:vAlign w:val="bottom"/>
          </w:tcPr>
          <w:p>
            <w:pPr>
              <w:ind w:left="320"/>
              <w:spacing w:after="0"/>
              <w:rPr>
                <w:sz w:val="20"/>
                <w:szCs w:val="20"/>
                <w:color w:val="auto"/>
              </w:rPr>
            </w:pPr>
            <w:r>
              <w:rPr>
                <w:rFonts w:ascii="Courier New" w:cs="Courier New" w:eastAsia="Courier New" w:hAnsi="Courier New"/>
                <w:sz w:val="17"/>
                <w:szCs w:val="17"/>
                <w:color w:val="auto"/>
              </w:rPr>
              <w:t>Increase (decrease) in insurance claims</w:t>
            </w:r>
          </w:p>
        </w:tc>
        <w:tc>
          <w:tcPr>
            <w:tcW w:w="27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6280" w:type="dxa"/>
            <w:vAlign w:val="bottom"/>
          </w:tcPr>
          <w:p>
            <w:pPr>
              <w:ind w:left="620"/>
              <w:spacing w:after="0"/>
              <w:rPr>
                <w:sz w:val="20"/>
                <w:szCs w:val="20"/>
                <w:color w:val="auto"/>
              </w:rPr>
            </w:pPr>
            <w:r>
              <w:rPr>
                <w:rFonts w:ascii="Courier New" w:cs="Courier New" w:eastAsia="Courier New" w:hAnsi="Courier New"/>
                <w:sz w:val="17"/>
                <w:szCs w:val="17"/>
                <w:color w:val="auto"/>
              </w:rPr>
              <w:t>liability</w:t>
            </w:r>
          </w:p>
        </w:tc>
        <w:tc>
          <w:tcPr>
            <w:tcW w:w="2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(292)</w:t>
            </w:r>
          </w:p>
        </w:tc>
        <w:tc>
          <w:tcPr>
            <w:tcW w:w="11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538</w:t>
            </w:r>
          </w:p>
        </w:tc>
      </w:tr>
      <w:tr>
        <w:trPr>
          <w:trHeight w:val="196"/>
        </w:trPr>
        <w:tc>
          <w:tcPr>
            <w:tcW w:w="6280" w:type="dxa"/>
            <w:vAlign w:val="bottom"/>
          </w:tcPr>
          <w:p>
            <w:pPr>
              <w:ind w:left="320"/>
              <w:spacing w:after="0"/>
              <w:rPr>
                <w:sz w:val="20"/>
                <w:szCs w:val="20"/>
                <w:color w:val="auto"/>
              </w:rPr>
            </w:pPr>
            <w:r>
              <w:rPr>
                <w:rFonts w:ascii="Courier New" w:cs="Courier New" w:eastAsia="Courier New" w:hAnsi="Courier New"/>
                <w:sz w:val="17"/>
                <w:szCs w:val="17"/>
                <w:color w:val="auto"/>
              </w:rPr>
              <w:t>Increase in accounts payable and other</w:t>
            </w:r>
          </w:p>
        </w:tc>
        <w:tc>
          <w:tcPr>
            <w:tcW w:w="27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6280" w:type="dxa"/>
            <w:vAlign w:val="bottom"/>
          </w:tcPr>
          <w:p>
            <w:pPr>
              <w:ind w:left="620"/>
              <w:spacing w:after="0"/>
              <w:rPr>
                <w:sz w:val="20"/>
                <w:szCs w:val="20"/>
                <w:color w:val="auto"/>
              </w:rPr>
            </w:pPr>
            <w:r>
              <w:rPr>
                <w:rFonts w:ascii="Courier New" w:cs="Courier New" w:eastAsia="Courier New" w:hAnsi="Courier New"/>
                <w:sz w:val="17"/>
                <w:szCs w:val="17"/>
                <w:color w:val="auto"/>
              </w:rPr>
              <w:t>accrued liabilities</w:t>
            </w:r>
          </w:p>
        </w:tc>
        <w:tc>
          <w:tcPr>
            <w:tcW w:w="27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(5,234)</w:t>
            </w:r>
          </w:p>
        </w:tc>
        <w:tc>
          <w:tcPr>
            <w:tcW w:w="11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4,270</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20" w:type="dxa"/>
            <w:vAlign w:val="bottom"/>
          </w:tcPr>
          <w:p>
            <w:pPr>
              <w:spacing w:after="0"/>
              <w:rPr>
                <w:sz w:val="20"/>
                <w:szCs w:val="20"/>
                <w:color w:val="auto"/>
              </w:rPr>
            </w:pPr>
            <w:r>
              <w:rPr>
                <w:rFonts w:ascii="Courier New" w:cs="Courier New" w:eastAsia="Courier New" w:hAnsi="Courier New"/>
                <w:sz w:val="17"/>
                <w:szCs w:val="17"/>
                <w:color w:val="auto"/>
              </w:rPr>
              <w:t>Total Adjustments to net income</w:t>
            </w:r>
          </w:p>
        </w:tc>
        <w:tc>
          <w:tcPr>
            <w:tcW w:w="35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(7,553)</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5,219</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020" w:type="dxa"/>
            <w:vAlign w:val="bottom"/>
          </w:tcPr>
          <w:p>
            <w:pPr>
              <w:spacing w:after="0"/>
              <w:rPr>
                <w:sz w:val="20"/>
                <w:szCs w:val="20"/>
                <w:color w:val="auto"/>
              </w:rPr>
            </w:pPr>
            <w:r>
              <w:rPr>
                <w:rFonts w:ascii="Courier New" w:cs="Courier New" w:eastAsia="Courier New" w:hAnsi="Courier New"/>
                <w:sz w:val="17"/>
                <w:szCs w:val="17"/>
                <w:color w:val="auto"/>
              </w:rPr>
              <w:t>Net Cash Provided by Operating Activities</w:t>
            </w:r>
          </w:p>
        </w:tc>
        <w:tc>
          <w:tcPr>
            <w:tcW w:w="296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  5,287</w:t>
            </w:r>
          </w:p>
        </w:tc>
        <w:tc>
          <w:tcPr>
            <w:tcW w:w="1120" w:type="dxa"/>
            <w:vAlign w:val="bottom"/>
          </w:tcPr>
          <w:p>
            <w:pPr>
              <w:jc w:val="right"/>
              <w:spacing w:after="0"/>
              <w:rPr>
                <w:sz w:val="20"/>
                <w:szCs w:val="20"/>
                <w:color w:val="auto"/>
              </w:rPr>
            </w:pPr>
            <w:r>
              <w:rPr>
                <w:rFonts w:ascii="Courier New" w:cs="Courier New" w:eastAsia="Courier New" w:hAnsi="Courier New"/>
                <w:sz w:val="17"/>
                <w:szCs w:val="17"/>
                <w:color w:val="auto"/>
              </w:rPr>
              <w:t>$ 20,554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393" w:lineRule="exact"/>
        <w:rPr>
          <w:sz w:val="20"/>
          <w:szCs w:val="20"/>
          <w:color w:val="auto"/>
        </w:rPr>
      </w:pPr>
    </w:p>
    <w:p>
      <w:pPr>
        <w:ind w:right="2840"/>
        <w:spacing w:after="0" w:line="243" w:lineRule="auto"/>
        <w:rPr>
          <w:sz w:val="20"/>
          <w:szCs w:val="20"/>
          <w:color w:val="auto"/>
        </w:rPr>
      </w:pPr>
      <w:r>
        <w:rPr>
          <w:rFonts w:ascii="Courier New" w:cs="Courier New" w:eastAsia="Courier New" w:hAnsi="Courier New"/>
          <w:sz w:val="17"/>
          <w:szCs w:val="17"/>
          <w:color w:val="auto"/>
        </w:rPr>
        <w:t>The accompanying notes are an integral part of the condensed consolidated financial statements.</w:t>
      </w:r>
    </w:p>
    <w:p>
      <w:pPr>
        <w:spacing w:after="0" w:line="200" w:lineRule="exact"/>
        <w:rPr>
          <w:sz w:val="20"/>
          <w:szCs w:val="20"/>
          <w:color w:val="auto"/>
        </w:rPr>
      </w:pPr>
    </w:p>
    <w:p>
      <w:pPr>
        <w:spacing w:after="0" w:line="390"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300"/>
          </w:cols>
          <w:pgMar w:left="240" w:top="311" w:right="1359"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7"/>
          <w:szCs w:val="17"/>
          <w:color w:val="auto"/>
        </w:rPr>
        <w:t>8</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ABM INDUSTRIES INCORPORATED</w:t>
      </w:r>
    </w:p>
    <w:p>
      <w:pPr>
        <w:spacing w:after="0" w:line="200" w:lineRule="exact"/>
        <w:rPr>
          <w:sz w:val="20"/>
          <w:szCs w:val="20"/>
          <w:color w:val="auto"/>
        </w:rPr>
      </w:pPr>
    </w:p>
    <w:p>
      <w:pPr>
        <w:ind w:left="1440"/>
        <w:spacing w:after="0"/>
        <w:rPr>
          <w:sz w:val="20"/>
          <w:szCs w:val="20"/>
          <w:color w:val="auto"/>
        </w:rPr>
      </w:pPr>
      <w:r>
        <w:rPr>
          <w:rFonts w:ascii="Courier New" w:cs="Courier New" w:eastAsia="Courier New" w:hAnsi="Courier New"/>
          <w:sz w:val="17"/>
          <w:szCs w:val="17"/>
          <w:color w:val="auto"/>
        </w:rPr>
        <w:t>NOTES TO CONDENSED CONSOLIDATED FINANCIAL STATEMENTS</w:t>
      </w:r>
    </w:p>
    <w:p>
      <w:pPr>
        <w:spacing w:after="0" w:line="396" w:lineRule="exact"/>
        <w:rPr>
          <w:sz w:val="20"/>
          <w:szCs w:val="20"/>
          <w:color w:val="auto"/>
        </w:rPr>
      </w:pPr>
    </w:p>
    <w:p>
      <w:pPr>
        <w:ind w:left="820" w:hanging="815"/>
        <w:spacing w:after="0"/>
        <w:tabs>
          <w:tab w:leader="none" w:pos="8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w:t>
      </w:r>
    </w:p>
    <w:p>
      <w:pPr>
        <w:spacing w:after="0" w:line="201" w:lineRule="exact"/>
        <w:rPr>
          <w:sz w:val="20"/>
          <w:szCs w:val="20"/>
          <w:color w:val="auto"/>
        </w:rPr>
      </w:pPr>
    </w:p>
    <w:p>
      <w:pPr>
        <w:ind w:right="2459" w:firstLine="816"/>
        <w:spacing w:after="0" w:line="244" w:lineRule="auto"/>
        <w:rPr>
          <w:sz w:val="20"/>
          <w:szCs w:val="20"/>
          <w:color w:val="auto"/>
        </w:rPr>
      </w:pPr>
      <w:r>
        <w:rPr>
          <w:rFonts w:ascii="Courier New" w:cs="Courier New" w:eastAsia="Courier New" w:hAnsi="Courier New"/>
          <w:sz w:val="17"/>
          <w:szCs w:val="17"/>
          <w:color w:val="auto"/>
        </w:rPr>
        <w:t>In the opinion of management, the accompanying unaudited condensed consolidated financial statements contain all material adjustments which are necessary to present fairly the Company's financial position as of April 30, 1999, and the results of operations and cash flows for the six months then ended. These adjustments are of a normal, recurring nature.</w:t>
      </w:r>
    </w:p>
    <w:p>
      <w:pPr>
        <w:spacing w:after="0" w:line="198" w:lineRule="exact"/>
        <w:rPr>
          <w:sz w:val="20"/>
          <w:szCs w:val="20"/>
          <w:color w:val="auto"/>
        </w:rPr>
      </w:pPr>
    </w:p>
    <w:p>
      <w:pPr>
        <w:ind w:right="2159" w:firstLine="816"/>
        <w:spacing w:after="0" w:line="244" w:lineRule="auto"/>
        <w:rPr>
          <w:sz w:val="20"/>
          <w:szCs w:val="20"/>
          <w:color w:val="auto"/>
        </w:rPr>
      </w:pPr>
      <w:r>
        <w:rPr>
          <w:rFonts w:ascii="Courier New" w:cs="Courier New" w:eastAsia="Courier New" w:hAnsi="Courier New"/>
          <w:sz w:val="17"/>
          <w:szCs w:val="17"/>
          <w:color w:val="auto"/>
        </w:rPr>
        <w:t>These condensed consolidated financial statements should be read in conjunction with the consolidated financial statements and the notes thereto included in the Company's Form 10-K filed for the fiscal year ended October 31, 1998 with the Securities and Exchange Commission.</w:t>
      </w:r>
    </w:p>
    <w:p>
      <w:pPr>
        <w:spacing w:after="0" w:line="197" w:lineRule="exact"/>
        <w:rPr>
          <w:sz w:val="20"/>
          <w:szCs w:val="20"/>
          <w:color w:val="auto"/>
        </w:rPr>
      </w:pPr>
    </w:p>
    <w:p>
      <w:pPr>
        <w:ind w:left="820" w:hanging="815"/>
        <w:spacing w:after="0"/>
        <w:tabs>
          <w:tab w:leader="none" w:pos="8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NET INCOME PER COMMON SHARE</w:t>
      </w:r>
    </w:p>
    <w:p>
      <w:pPr>
        <w:spacing w:after="0" w:line="201" w:lineRule="exact"/>
        <w:rPr>
          <w:sz w:val="20"/>
          <w:szCs w:val="20"/>
          <w:color w:val="auto"/>
        </w:rPr>
      </w:pPr>
    </w:p>
    <w:p>
      <w:pPr>
        <w:ind w:right="2059" w:firstLine="612"/>
        <w:spacing w:after="0" w:line="244" w:lineRule="auto"/>
        <w:rPr>
          <w:sz w:val="20"/>
          <w:szCs w:val="20"/>
          <w:color w:val="auto"/>
        </w:rPr>
      </w:pPr>
      <w:r>
        <w:rPr>
          <w:rFonts w:ascii="Courier New" w:cs="Courier New" w:eastAsia="Courier New" w:hAnsi="Courier New"/>
          <w:sz w:val="17"/>
          <w:szCs w:val="17"/>
          <w:color w:val="auto"/>
        </w:rPr>
        <w:t>The Company has reported its earnings in accordance with Statement of Financial Accounting Standards No. 128, Earnings per Share. Basic net income per common share, after the reduction for preferred stock dividends, is based on the weighted average number of shares actually outstanding during the period. Diluted net income per common share, after the reduction for preferred stock dividends, is based on the weighted average number of shares outstanding during the period, including common stock equivalents.</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20" w:type="dxa"/>
            <w:vAlign w:val="bottom"/>
          </w:tcPr>
          <w:p>
            <w:pPr>
              <w:spacing w:after="0"/>
              <w:rPr>
                <w:sz w:val="16"/>
                <w:szCs w:val="16"/>
                <w:color w:val="auto"/>
              </w:rPr>
            </w:pPr>
          </w:p>
        </w:tc>
        <w:tc>
          <w:tcPr>
            <w:tcW w:w="1900" w:type="dxa"/>
            <w:vAlign w:val="bottom"/>
          </w:tcPr>
          <w:p>
            <w:pPr>
              <w:jc w:val="center"/>
              <w:spacing w:after="0"/>
              <w:rPr>
                <w:sz w:val="20"/>
                <w:szCs w:val="20"/>
                <w:color w:val="auto"/>
              </w:rPr>
            </w:pPr>
            <w:r>
              <w:rPr>
                <w:rFonts w:ascii="Courier New" w:cs="Courier New" w:eastAsia="Courier New" w:hAnsi="Courier New"/>
                <w:sz w:val="17"/>
                <w:szCs w:val="17"/>
                <w:color w:val="auto"/>
              </w:rPr>
              <w:t>Six months Ended</w:t>
            </w:r>
          </w:p>
        </w:tc>
        <w:tc>
          <w:tcPr>
            <w:tcW w:w="1740" w:type="dxa"/>
            <w:vAlign w:val="bottom"/>
          </w:tcPr>
          <w:p>
            <w:pPr>
              <w:jc w:val="center"/>
              <w:ind w:left="15"/>
              <w:spacing w:after="0"/>
              <w:rPr>
                <w:sz w:val="20"/>
                <w:szCs w:val="20"/>
                <w:color w:val="auto"/>
              </w:rPr>
            </w:pPr>
            <w:r>
              <w:rPr>
                <w:rFonts w:ascii="Courier New" w:cs="Courier New" w:eastAsia="Courier New" w:hAnsi="Courier New"/>
                <w:sz w:val="17"/>
                <w:szCs w:val="17"/>
                <w:color w:val="auto"/>
              </w:rPr>
              <w:t>Six months Ended</w:t>
            </w:r>
          </w:p>
        </w:tc>
      </w:tr>
      <w:tr>
        <w:trPr>
          <w:trHeight w:val="196"/>
        </w:trPr>
        <w:tc>
          <w:tcPr>
            <w:tcW w:w="372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Courier New" w:cs="Courier New" w:eastAsia="Courier New" w:hAnsi="Courier New"/>
                <w:sz w:val="17"/>
                <w:szCs w:val="17"/>
                <w:color w:val="auto"/>
              </w:rPr>
              <w:t>April 30, 1998</w:t>
            </w:r>
          </w:p>
        </w:tc>
        <w:tc>
          <w:tcPr>
            <w:tcW w:w="1740" w:type="dxa"/>
            <w:vAlign w:val="bottom"/>
          </w:tcPr>
          <w:p>
            <w:pPr>
              <w:jc w:val="center"/>
              <w:spacing w:after="0"/>
              <w:rPr>
                <w:sz w:val="20"/>
                <w:szCs w:val="20"/>
                <w:color w:val="auto"/>
              </w:rPr>
            </w:pPr>
            <w:r>
              <w:rPr>
                <w:rFonts w:ascii="Courier New" w:cs="Courier New" w:eastAsia="Courier New" w:hAnsi="Courier New"/>
                <w:sz w:val="17"/>
                <w:szCs w:val="17"/>
                <w:color w:val="auto"/>
                <w:w w:val="99"/>
              </w:rPr>
              <w:t>April 30, 1999</w:t>
            </w:r>
          </w:p>
        </w:tc>
      </w:tr>
      <w:tr>
        <w:trPr>
          <w:trHeight w:val="196"/>
        </w:trPr>
        <w:tc>
          <w:tcPr>
            <w:tcW w:w="372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center"/>
              <w:ind w:left="15"/>
              <w:spacing w:after="0"/>
              <w:rPr>
                <w:sz w:val="20"/>
                <w:szCs w:val="20"/>
                <w:color w:val="auto"/>
              </w:rPr>
            </w:pPr>
            <w:r>
              <w:rPr>
                <w:rFonts w:ascii="Courier New" w:cs="Courier New" w:eastAsia="Courier New" w:hAnsi="Courier New"/>
                <w:sz w:val="17"/>
                <w:szCs w:val="17"/>
                <w:color w:val="auto"/>
              </w:rPr>
              <w:t>----------------</w:t>
            </w:r>
          </w:p>
        </w:tc>
      </w:tr>
      <w:tr>
        <w:trPr>
          <w:trHeight w:val="392"/>
        </w:trPr>
        <w:tc>
          <w:tcPr>
            <w:tcW w:w="37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90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$ 12,840,000</w:t>
            </w:r>
          </w:p>
        </w:tc>
        <w:tc>
          <w:tcPr>
            <w:tcW w:w="17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$ 15,335,000</w:t>
            </w:r>
          </w:p>
        </w:tc>
      </w:tr>
      <w:tr>
        <w:trPr>
          <w:trHeight w:val="196"/>
        </w:trPr>
        <w:tc>
          <w:tcPr>
            <w:tcW w:w="3720" w:type="dxa"/>
            <w:vAlign w:val="bottom"/>
          </w:tcPr>
          <w:p>
            <w:pPr>
              <w:spacing w:after="0"/>
              <w:rPr>
                <w:sz w:val="20"/>
                <w:szCs w:val="20"/>
                <w:color w:val="auto"/>
              </w:rPr>
            </w:pPr>
            <w:r>
              <w:rPr>
                <w:rFonts w:ascii="Courier New" w:cs="Courier New" w:eastAsia="Courier New" w:hAnsi="Courier New"/>
                <w:sz w:val="17"/>
                <w:szCs w:val="17"/>
                <w:color w:val="auto"/>
              </w:rPr>
              <w:t>Preferred Stock Dividends</w:t>
            </w:r>
          </w:p>
        </w:tc>
        <w:tc>
          <w:tcPr>
            <w:tcW w:w="190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(256,000)</w:t>
            </w:r>
          </w:p>
        </w:tc>
        <w:tc>
          <w:tcPr>
            <w:tcW w:w="1740" w:type="dxa"/>
            <w:vAlign w:val="bottom"/>
          </w:tcPr>
          <w:p>
            <w:pPr>
              <w:jc w:val="right"/>
              <w:ind w:right="35"/>
              <w:spacing w:after="0"/>
              <w:rPr>
                <w:sz w:val="20"/>
                <w:szCs w:val="20"/>
                <w:color w:val="auto"/>
              </w:rPr>
            </w:pPr>
            <w:r>
              <w:rPr>
                <w:rFonts w:ascii="Courier New" w:cs="Courier New" w:eastAsia="Courier New" w:hAnsi="Courier New"/>
                <w:sz w:val="17"/>
                <w:szCs w:val="17"/>
                <w:color w:val="auto"/>
              </w:rPr>
              <w:t>(256,000)</w:t>
            </w:r>
          </w:p>
        </w:tc>
      </w:tr>
      <w:tr>
        <w:trPr>
          <w:trHeight w:val="196"/>
        </w:trPr>
        <w:tc>
          <w:tcPr>
            <w:tcW w:w="3720" w:type="dxa"/>
            <w:vAlign w:val="bottom"/>
          </w:tcPr>
          <w:p>
            <w:pPr>
              <w:spacing w:after="0"/>
              <w:rPr>
                <w:sz w:val="17"/>
                <w:szCs w:val="17"/>
                <w:color w:val="auto"/>
              </w:rPr>
            </w:pPr>
          </w:p>
        </w:tc>
        <w:tc>
          <w:tcPr>
            <w:tcW w:w="190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r>
      <w:tr>
        <w:trPr>
          <w:trHeight w:val="196"/>
        </w:trPr>
        <w:tc>
          <w:tcPr>
            <w:tcW w:w="3720" w:type="dxa"/>
            <w:vAlign w:val="bottom"/>
          </w:tcPr>
          <w:p>
            <w:pPr>
              <w:spacing w:after="0"/>
              <w:rPr>
                <w:sz w:val="17"/>
                <w:szCs w:val="17"/>
                <w:color w:val="auto"/>
              </w:rPr>
            </w:pPr>
          </w:p>
        </w:tc>
        <w:tc>
          <w:tcPr>
            <w:tcW w:w="190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$ 12,584,000</w:t>
            </w:r>
          </w:p>
        </w:tc>
        <w:tc>
          <w:tcPr>
            <w:tcW w:w="17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$ 15,079,000</w:t>
            </w:r>
          </w:p>
        </w:tc>
      </w:tr>
      <w:tr>
        <w:trPr>
          <w:trHeight w:val="196"/>
        </w:trPr>
        <w:tc>
          <w:tcPr>
            <w:tcW w:w="3720" w:type="dxa"/>
            <w:vAlign w:val="bottom"/>
          </w:tcPr>
          <w:p>
            <w:pPr>
              <w:spacing w:after="0"/>
              <w:rPr>
                <w:sz w:val="17"/>
                <w:szCs w:val="17"/>
                <w:color w:val="auto"/>
              </w:rPr>
            </w:pPr>
          </w:p>
        </w:tc>
        <w:tc>
          <w:tcPr>
            <w:tcW w:w="190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r>
      <w:tr>
        <w:trPr>
          <w:trHeight w:val="392"/>
        </w:trPr>
        <w:tc>
          <w:tcPr>
            <w:tcW w:w="3720" w:type="dxa"/>
            <w:vAlign w:val="bottom"/>
          </w:tcPr>
          <w:p>
            <w:pPr>
              <w:spacing w:after="0"/>
              <w:rPr>
                <w:sz w:val="20"/>
                <w:szCs w:val="20"/>
                <w:color w:val="auto"/>
              </w:rPr>
            </w:pPr>
            <w:r>
              <w:rPr>
                <w:rFonts w:ascii="Courier New" w:cs="Courier New" w:eastAsia="Courier New" w:hAnsi="Courier New"/>
                <w:sz w:val="17"/>
                <w:szCs w:val="17"/>
                <w:color w:val="auto"/>
              </w:rPr>
              <w:t>Common shares outstanding - basic</w:t>
            </w:r>
          </w:p>
        </w:tc>
        <w:tc>
          <w:tcPr>
            <w:tcW w:w="190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20,818,000</w:t>
            </w:r>
          </w:p>
        </w:tc>
        <w:tc>
          <w:tcPr>
            <w:tcW w:w="17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21,840,000</w:t>
            </w:r>
          </w:p>
        </w:tc>
      </w:tr>
      <w:tr>
        <w:trPr>
          <w:trHeight w:val="392"/>
        </w:trPr>
        <w:tc>
          <w:tcPr>
            <w:tcW w:w="3720" w:type="dxa"/>
            <w:vAlign w:val="bottom"/>
          </w:tcPr>
          <w:p>
            <w:pPr>
              <w:spacing w:after="0"/>
              <w:rPr>
                <w:sz w:val="20"/>
                <w:szCs w:val="20"/>
                <w:color w:val="auto"/>
              </w:rPr>
            </w:pPr>
            <w:r>
              <w:rPr>
                <w:rFonts w:ascii="Courier New" w:cs="Courier New" w:eastAsia="Courier New" w:hAnsi="Courier New"/>
                <w:sz w:val="17"/>
                <w:szCs w:val="17"/>
                <w:color w:val="auto"/>
              </w:rPr>
              <w:t>Effect of dilutive securities:</w:t>
            </w:r>
          </w:p>
        </w:tc>
        <w:tc>
          <w:tcPr>
            <w:tcW w:w="19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96"/>
        </w:trPr>
        <w:tc>
          <w:tcPr>
            <w:tcW w:w="3720" w:type="dxa"/>
            <w:vAlign w:val="bottom"/>
          </w:tcPr>
          <w:p>
            <w:pPr>
              <w:ind w:left="420"/>
              <w:spacing w:after="0"/>
              <w:rPr>
                <w:sz w:val="20"/>
                <w:szCs w:val="20"/>
                <w:color w:val="auto"/>
              </w:rPr>
            </w:pPr>
            <w:r>
              <w:rPr>
                <w:rFonts w:ascii="Courier New" w:cs="Courier New" w:eastAsia="Courier New" w:hAnsi="Courier New"/>
                <w:sz w:val="17"/>
                <w:szCs w:val="17"/>
                <w:color w:val="auto"/>
              </w:rPr>
              <w:t>Stock options</w:t>
            </w:r>
          </w:p>
        </w:tc>
        <w:tc>
          <w:tcPr>
            <w:tcW w:w="190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2,039,000</w:t>
            </w:r>
          </w:p>
        </w:tc>
        <w:tc>
          <w:tcPr>
            <w:tcW w:w="17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1,735,000</w:t>
            </w:r>
          </w:p>
        </w:tc>
      </w:tr>
      <w:tr>
        <w:trPr>
          <w:trHeight w:val="196"/>
        </w:trPr>
        <w:tc>
          <w:tcPr>
            <w:tcW w:w="3720" w:type="dxa"/>
            <w:vAlign w:val="bottom"/>
          </w:tcPr>
          <w:p>
            <w:pPr>
              <w:ind w:left="420"/>
              <w:spacing w:after="0"/>
              <w:rPr>
                <w:sz w:val="20"/>
                <w:szCs w:val="20"/>
                <w:color w:val="auto"/>
              </w:rPr>
            </w:pPr>
            <w:r>
              <w:rPr>
                <w:rFonts w:ascii="Courier New" w:cs="Courier New" w:eastAsia="Courier New" w:hAnsi="Courier New"/>
                <w:sz w:val="17"/>
                <w:szCs w:val="17"/>
                <w:color w:val="auto"/>
              </w:rPr>
              <w:t>Other</w:t>
            </w:r>
          </w:p>
        </w:tc>
        <w:tc>
          <w:tcPr>
            <w:tcW w:w="190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199,000</w:t>
            </w:r>
          </w:p>
        </w:tc>
        <w:tc>
          <w:tcPr>
            <w:tcW w:w="17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142,000</w:t>
            </w:r>
          </w:p>
        </w:tc>
      </w:tr>
      <w:tr>
        <w:trPr>
          <w:trHeight w:val="196"/>
        </w:trPr>
        <w:tc>
          <w:tcPr>
            <w:tcW w:w="3720" w:type="dxa"/>
            <w:vAlign w:val="bottom"/>
          </w:tcPr>
          <w:p>
            <w:pPr>
              <w:spacing w:after="0"/>
              <w:rPr>
                <w:sz w:val="17"/>
                <w:szCs w:val="17"/>
                <w:color w:val="auto"/>
              </w:rPr>
            </w:pPr>
          </w:p>
        </w:tc>
        <w:tc>
          <w:tcPr>
            <w:tcW w:w="190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r>
      <w:tr>
        <w:trPr>
          <w:trHeight w:val="392"/>
        </w:trPr>
        <w:tc>
          <w:tcPr>
            <w:tcW w:w="3720" w:type="dxa"/>
            <w:vAlign w:val="bottom"/>
          </w:tcPr>
          <w:p>
            <w:pPr>
              <w:spacing w:after="0"/>
              <w:rPr>
                <w:sz w:val="20"/>
                <w:szCs w:val="20"/>
                <w:color w:val="auto"/>
              </w:rPr>
            </w:pPr>
            <w:r>
              <w:rPr>
                <w:rFonts w:ascii="Courier New" w:cs="Courier New" w:eastAsia="Courier New" w:hAnsi="Courier New"/>
                <w:sz w:val="17"/>
                <w:szCs w:val="17"/>
                <w:color w:val="auto"/>
              </w:rPr>
              <w:t>Common shares outstanding - diluted</w:t>
            </w:r>
          </w:p>
        </w:tc>
        <w:tc>
          <w:tcPr>
            <w:tcW w:w="190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23,056,000</w:t>
            </w:r>
          </w:p>
        </w:tc>
        <w:tc>
          <w:tcPr>
            <w:tcW w:w="17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23,717,000</w:t>
            </w:r>
          </w:p>
        </w:tc>
      </w:tr>
      <w:tr>
        <w:trPr>
          <w:trHeight w:val="196"/>
        </w:trPr>
        <w:tc>
          <w:tcPr>
            <w:tcW w:w="3720" w:type="dxa"/>
            <w:vAlign w:val="bottom"/>
          </w:tcPr>
          <w:p>
            <w:pPr>
              <w:spacing w:after="0"/>
              <w:rPr>
                <w:sz w:val="17"/>
                <w:szCs w:val="17"/>
                <w:color w:val="auto"/>
              </w:rPr>
            </w:pPr>
          </w:p>
        </w:tc>
        <w:tc>
          <w:tcPr>
            <w:tcW w:w="1900" w:type="dxa"/>
            <w:vAlign w:val="bottom"/>
          </w:tcPr>
          <w:p>
            <w:pPr>
              <w:jc w:val="right"/>
              <w:ind w:right="235"/>
              <w:spacing w:after="0"/>
              <w:rPr>
                <w:sz w:val="20"/>
                <w:szCs w:val="20"/>
                <w:color w:val="auto"/>
              </w:rPr>
            </w:pPr>
            <w:r>
              <w:rPr>
                <w:rFonts w:ascii="Courier New" w:cs="Courier New" w:eastAsia="Courier New" w:hAnsi="Courier New"/>
                <w:sz w:val="17"/>
                <w:szCs w:val="17"/>
                <w:color w:val="auto"/>
              </w:rPr>
              <w:t>============</w:t>
            </w:r>
          </w:p>
        </w:tc>
        <w:tc>
          <w:tcPr>
            <w:tcW w:w="1740" w:type="dxa"/>
            <w:vAlign w:val="bottom"/>
          </w:tcPr>
          <w:p>
            <w:pPr>
              <w:jc w:val="right"/>
              <w:ind w:right="135"/>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311"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3"/>
        </w:trPr>
        <w:tc>
          <w:tcPr>
            <w:tcW w:w="3880" w:type="dxa"/>
            <w:vAlign w:val="bottom"/>
          </w:tcPr>
          <w:p>
            <w:pPr>
              <w:ind w:left="320"/>
              <w:spacing w:after="0"/>
              <w:rPr>
                <w:sz w:val="20"/>
                <w:szCs w:val="20"/>
                <w:color w:val="auto"/>
              </w:rPr>
            </w:pPr>
            <w:r>
              <w:rPr>
                <w:rFonts w:ascii="Courier New" w:cs="Courier New" w:eastAsia="Courier New" w:hAnsi="Courier New"/>
                <w:sz w:val="17"/>
                <w:szCs w:val="17"/>
                <w:color w:val="auto"/>
              </w:rPr>
              <w:t>9</w:t>
            </w:r>
          </w:p>
        </w:tc>
        <w:tc>
          <w:tcPr>
            <w:tcW w:w="6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785"/>
        </w:trPr>
        <w:tc>
          <w:tcPr>
            <w:tcW w:w="3880" w:type="dxa"/>
            <w:vAlign w:val="bottom"/>
          </w:tcPr>
          <w:p>
            <w:pPr>
              <w:spacing w:after="0"/>
              <w:rPr>
                <w:sz w:val="24"/>
                <w:szCs w:val="24"/>
                <w:color w:val="auto"/>
              </w:rPr>
            </w:pPr>
          </w:p>
        </w:tc>
        <w:tc>
          <w:tcPr>
            <w:tcW w:w="230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Three months Ended</w:t>
            </w:r>
          </w:p>
        </w:tc>
        <w:tc>
          <w:tcPr>
            <w:tcW w:w="1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Three months Ended</w:t>
            </w:r>
          </w:p>
        </w:tc>
      </w:tr>
      <w:tr>
        <w:trPr>
          <w:trHeight w:val="196"/>
        </w:trPr>
        <w:tc>
          <w:tcPr>
            <w:tcW w:w="3880" w:type="dxa"/>
            <w:vAlign w:val="bottom"/>
          </w:tcPr>
          <w:p>
            <w:pPr>
              <w:spacing w:after="0"/>
              <w:rPr>
                <w:sz w:val="17"/>
                <w:szCs w:val="17"/>
                <w:color w:val="auto"/>
              </w:rPr>
            </w:pPr>
          </w:p>
        </w:tc>
        <w:tc>
          <w:tcPr>
            <w:tcW w:w="230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April 30, 1998</w:t>
            </w:r>
          </w:p>
        </w:tc>
        <w:tc>
          <w:tcPr>
            <w:tcW w:w="198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April 30, 1999</w:t>
            </w:r>
          </w:p>
        </w:tc>
      </w:tr>
      <w:tr>
        <w:trPr>
          <w:trHeight w:val="196"/>
        </w:trPr>
        <w:tc>
          <w:tcPr>
            <w:tcW w:w="3880" w:type="dxa"/>
            <w:vAlign w:val="bottom"/>
          </w:tcPr>
          <w:p>
            <w:pPr>
              <w:spacing w:after="0"/>
              <w:rPr>
                <w:sz w:val="17"/>
                <w:szCs w:val="17"/>
                <w:color w:val="auto"/>
              </w:rPr>
            </w:pPr>
          </w:p>
        </w:tc>
        <w:tc>
          <w:tcPr>
            <w:tcW w:w="230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19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2"/>
        </w:trPr>
        <w:tc>
          <w:tcPr>
            <w:tcW w:w="388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660" w:type="dxa"/>
            <w:vAlign w:val="bottom"/>
          </w:tcPr>
          <w:p>
            <w:pPr>
              <w:ind w:left="520"/>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7,105,000</w:t>
            </w:r>
          </w:p>
        </w:tc>
        <w:tc>
          <w:tcPr>
            <w:tcW w:w="50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8,366,000</w:t>
            </w:r>
          </w:p>
        </w:tc>
      </w:tr>
      <w:tr>
        <w:trPr>
          <w:trHeight w:val="196"/>
        </w:trPr>
        <w:tc>
          <w:tcPr>
            <w:tcW w:w="3880" w:type="dxa"/>
            <w:vAlign w:val="bottom"/>
          </w:tcPr>
          <w:p>
            <w:pPr>
              <w:spacing w:after="0"/>
              <w:rPr>
                <w:sz w:val="20"/>
                <w:szCs w:val="20"/>
                <w:color w:val="auto"/>
              </w:rPr>
            </w:pPr>
            <w:r>
              <w:rPr>
                <w:rFonts w:ascii="Courier New" w:cs="Courier New" w:eastAsia="Courier New" w:hAnsi="Courier New"/>
                <w:sz w:val="17"/>
                <w:szCs w:val="17"/>
                <w:color w:val="auto"/>
              </w:rPr>
              <w:t>Preferred Stock Dividends</w:t>
            </w:r>
          </w:p>
        </w:tc>
        <w:tc>
          <w:tcPr>
            <w:tcW w:w="660" w:type="dxa"/>
            <w:vAlign w:val="bottom"/>
          </w:tcPr>
          <w:p>
            <w:pPr>
              <w:spacing w:after="0"/>
              <w:rPr>
                <w:sz w:val="17"/>
                <w:szCs w:val="17"/>
                <w:color w:val="auto"/>
              </w:rPr>
            </w:pPr>
          </w:p>
        </w:tc>
        <w:tc>
          <w:tcPr>
            <w:tcW w:w="1640" w:type="dxa"/>
            <w:vAlign w:val="bottom"/>
          </w:tcPr>
          <w:p>
            <w:pPr>
              <w:jc w:val="right"/>
              <w:ind w:right="375"/>
              <w:spacing w:after="0"/>
              <w:rPr>
                <w:sz w:val="20"/>
                <w:szCs w:val="20"/>
                <w:color w:val="auto"/>
              </w:rPr>
            </w:pPr>
            <w:r>
              <w:rPr>
                <w:rFonts w:ascii="Courier New" w:cs="Courier New" w:eastAsia="Courier New" w:hAnsi="Courier New"/>
                <w:sz w:val="17"/>
                <w:szCs w:val="17"/>
                <w:color w:val="auto"/>
              </w:rPr>
              <w:t>(128,000)</w:t>
            </w:r>
          </w:p>
        </w:tc>
        <w:tc>
          <w:tcPr>
            <w:tcW w:w="500" w:type="dxa"/>
            <w:vAlign w:val="bottom"/>
          </w:tcPr>
          <w:p>
            <w:pPr>
              <w:spacing w:after="0"/>
              <w:rPr>
                <w:sz w:val="17"/>
                <w:szCs w:val="17"/>
                <w:color w:val="auto"/>
              </w:rPr>
            </w:pPr>
          </w:p>
        </w:tc>
        <w:tc>
          <w:tcPr>
            <w:tcW w:w="148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(128,000)</w:t>
            </w:r>
          </w:p>
        </w:tc>
      </w:tr>
      <w:tr>
        <w:trPr>
          <w:trHeight w:val="196"/>
        </w:trPr>
        <w:tc>
          <w:tcPr>
            <w:tcW w:w="3880" w:type="dxa"/>
            <w:vAlign w:val="bottom"/>
          </w:tcPr>
          <w:p>
            <w:pPr>
              <w:spacing w:after="0"/>
              <w:rPr>
                <w:sz w:val="17"/>
                <w:szCs w:val="17"/>
                <w:color w:val="auto"/>
              </w:rPr>
            </w:pPr>
          </w:p>
        </w:tc>
        <w:tc>
          <w:tcPr>
            <w:tcW w:w="2300" w:type="dxa"/>
            <w:vAlign w:val="bottom"/>
            <w:gridSpan w:val="2"/>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98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w:t>
            </w:r>
          </w:p>
        </w:tc>
      </w:tr>
      <w:tr>
        <w:trPr>
          <w:trHeight w:val="196"/>
        </w:trPr>
        <w:tc>
          <w:tcPr>
            <w:tcW w:w="3880" w:type="dxa"/>
            <w:vAlign w:val="bottom"/>
          </w:tcPr>
          <w:p>
            <w:pPr>
              <w:spacing w:after="0"/>
              <w:rPr>
                <w:sz w:val="17"/>
                <w:szCs w:val="17"/>
                <w:color w:val="auto"/>
              </w:rPr>
            </w:pPr>
          </w:p>
        </w:tc>
        <w:tc>
          <w:tcPr>
            <w:tcW w:w="660" w:type="dxa"/>
            <w:vAlign w:val="bottom"/>
          </w:tcPr>
          <w:p>
            <w:pPr>
              <w:ind w:left="520"/>
              <w:spacing w:after="0"/>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6,977,000</w:t>
            </w:r>
          </w:p>
        </w:tc>
        <w:tc>
          <w:tcPr>
            <w:tcW w:w="500" w:type="dxa"/>
            <w:vAlign w:val="bottom"/>
          </w:tcPr>
          <w:p>
            <w:pPr>
              <w:ind w:left="360"/>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8,238,000</w:t>
            </w:r>
          </w:p>
        </w:tc>
      </w:tr>
      <w:tr>
        <w:trPr>
          <w:trHeight w:val="196"/>
        </w:trPr>
        <w:tc>
          <w:tcPr>
            <w:tcW w:w="3880" w:type="dxa"/>
            <w:vAlign w:val="bottom"/>
          </w:tcPr>
          <w:p>
            <w:pPr>
              <w:spacing w:after="0"/>
              <w:rPr>
                <w:sz w:val="17"/>
                <w:szCs w:val="17"/>
                <w:color w:val="auto"/>
              </w:rPr>
            </w:pPr>
          </w:p>
        </w:tc>
        <w:tc>
          <w:tcPr>
            <w:tcW w:w="2300" w:type="dxa"/>
            <w:vAlign w:val="bottom"/>
            <w:gridSpan w:val="2"/>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98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w:t>
            </w:r>
          </w:p>
        </w:tc>
      </w:tr>
      <w:tr>
        <w:trPr>
          <w:trHeight w:val="392"/>
        </w:trPr>
        <w:tc>
          <w:tcPr>
            <w:tcW w:w="3880" w:type="dxa"/>
            <w:vAlign w:val="bottom"/>
          </w:tcPr>
          <w:p>
            <w:pPr>
              <w:spacing w:after="0"/>
              <w:rPr>
                <w:sz w:val="20"/>
                <w:szCs w:val="20"/>
                <w:color w:val="auto"/>
              </w:rPr>
            </w:pPr>
            <w:r>
              <w:rPr>
                <w:rFonts w:ascii="Courier New" w:cs="Courier New" w:eastAsia="Courier New" w:hAnsi="Courier New"/>
                <w:sz w:val="17"/>
                <w:szCs w:val="17"/>
                <w:color w:val="auto"/>
              </w:rPr>
              <w:t>Common shares outstanding - basic</w:t>
            </w:r>
          </w:p>
        </w:tc>
        <w:tc>
          <w:tcPr>
            <w:tcW w:w="660" w:type="dxa"/>
            <w:vAlign w:val="bottom"/>
          </w:tcPr>
          <w:p>
            <w:pPr>
              <w:spacing w:after="0"/>
              <w:rPr>
                <w:sz w:val="24"/>
                <w:szCs w:val="24"/>
                <w:color w:val="auto"/>
              </w:rPr>
            </w:pPr>
          </w:p>
        </w:tc>
        <w:tc>
          <w:tcPr>
            <w:tcW w:w="16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20,996,000</w:t>
            </w:r>
          </w:p>
        </w:tc>
        <w:tc>
          <w:tcPr>
            <w:tcW w:w="500" w:type="dxa"/>
            <w:vAlign w:val="bottom"/>
          </w:tcPr>
          <w:p>
            <w:pPr>
              <w:spacing w:after="0"/>
              <w:rPr>
                <w:sz w:val="24"/>
                <w:szCs w:val="24"/>
                <w:color w:val="auto"/>
              </w:rPr>
            </w:pPr>
          </w:p>
        </w:tc>
        <w:tc>
          <w:tcPr>
            <w:tcW w:w="14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21,963,000</w:t>
            </w:r>
          </w:p>
        </w:tc>
      </w:tr>
      <w:tr>
        <w:trPr>
          <w:trHeight w:val="392"/>
        </w:trPr>
        <w:tc>
          <w:tcPr>
            <w:tcW w:w="3880" w:type="dxa"/>
            <w:vAlign w:val="bottom"/>
          </w:tcPr>
          <w:p>
            <w:pPr>
              <w:spacing w:after="0"/>
              <w:rPr>
                <w:sz w:val="20"/>
                <w:szCs w:val="20"/>
                <w:color w:val="auto"/>
              </w:rPr>
            </w:pPr>
            <w:r>
              <w:rPr>
                <w:rFonts w:ascii="Courier New" w:cs="Courier New" w:eastAsia="Courier New" w:hAnsi="Courier New"/>
                <w:sz w:val="17"/>
                <w:szCs w:val="17"/>
                <w:color w:val="auto"/>
              </w:rPr>
              <w:t>Effect of dilutive securities:</w:t>
            </w:r>
          </w:p>
        </w:tc>
        <w:tc>
          <w:tcPr>
            <w:tcW w:w="6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6"/>
        </w:trPr>
        <w:tc>
          <w:tcPr>
            <w:tcW w:w="3880" w:type="dxa"/>
            <w:vAlign w:val="bottom"/>
          </w:tcPr>
          <w:p>
            <w:pPr>
              <w:ind w:left="420"/>
              <w:spacing w:after="0"/>
              <w:rPr>
                <w:sz w:val="20"/>
                <w:szCs w:val="20"/>
                <w:color w:val="auto"/>
              </w:rPr>
            </w:pPr>
            <w:r>
              <w:rPr>
                <w:rFonts w:ascii="Courier New" w:cs="Courier New" w:eastAsia="Courier New" w:hAnsi="Courier New"/>
                <w:sz w:val="17"/>
                <w:szCs w:val="17"/>
                <w:color w:val="auto"/>
              </w:rPr>
              <w:t>Stock options</w:t>
            </w:r>
          </w:p>
        </w:tc>
        <w:tc>
          <w:tcPr>
            <w:tcW w:w="660" w:type="dxa"/>
            <w:vAlign w:val="bottom"/>
          </w:tcPr>
          <w:p>
            <w:pPr>
              <w:spacing w:after="0"/>
              <w:rPr>
                <w:sz w:val="17"/>
                <w:szCs w:val="17"/>
                <w:color w:val="auto"/>
              </w:rPr>
            </w:pPr>
          </w:p>
        </w:tc>
        <w:tc>
          <w:tcPr>
            <w:tcW w:w="16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2,035,000</w:t>
            </w:r>
          </w:p>
        </w:tc>
        <w:tc>
          <w:tcPr>
            <w:tcW w:w="500" w:type="dxa"/>
            <w:vAlign w:val="bottom"/>
          </w:tcPr>
          <w:p>
            <w:pPr>
              <w:spacing w:after="0"/>
              <w:rPr>
                <w:sz w:val="17"/>
                <w:szCs w:val="17"/>
                <w:color w:val="auto"/>
              </w:rPr>
            </w:pPr>
          </w:p>
        </w:tc>
        <w:tc>
          <w:tcPr>
            <w:tcW w:w="14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1,601,000</w:t>
            </w:r>
          </w:p>
        </w:tc>
      </w:tr>
      <w:tr>
        <w:trPr>
          <w:trHeight w:val="196"/>
        </w:trPr>
        <w:tc>
          <w:tcPr>
            <w:tcW w:w="3880" w:type="dxa"/>
            <w:vAlign w:val="bottom"/>
          </w:tcPr>
          <w:p>
            <w:pPr>
              <w:ind w:left="420"/>
              <w:spacing w:after="0"/>
              <w:rPr>
                <w:sz w:val="20"/>
                <w:szCs w:val="20"/>
                <w:color w:val="auto"/>
              </w:rPr>
            </w:pPr>
            <w:r>
              <w:rPr>
                <w:rFonts w:ascii="Courier New" w:cs="Courier New" w:eastAsia="Courier New" w:hAnsi="Courier New"/>
                <w:sz w:val="17"/>
                <w:szCs w:val="17"/>
                <w:color w:val="auto"/>
              </w:rPr>
              <w:t>Other</w:t>
            </w:r>
          </w:p>
        </w:tc>
        <w:tc>
          <w:tcPr>
            <w:tcW w:w="660" w:type="dxa"/>
            <w:vAlign w:val="bottom"/>
          </w:tcPr>
          <w:p>
            <w:pPr>
              <w:spacing w:after="0"/>
              <w:rPr>
                <w:sz w:val="17"/>
                <w:szCs w:val="17"/>
                <w:color w:val="auto"/>
              </w:rPr>
            </w:pPr>
          </w:p>
        </w:tc>
        <w:tc>
          <w:tcPr>
            <w:tcW w:w="16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199,000</w:t>
            </w:r>
          </w:p>
        </w:tc>
        <w:tc>
          <w:tcPr>
            <w:tcW w:w="500" w:type="dxa"/>
            <w:vAlign w:val="bottom"/>
          </w:tcPr>
          <w:p>
            <w:pPr>
              <w:spacing w:after="0"/>
              <w:rPr>
                <w:sz w:val="17"/>
                <w:szCs w:val="17"/>
                <w:color w:val="auto"/>
              </w:rPr>
            </w:pPr>
          </w:p>
        </w:tc>
        <w:tc>
          <w:tcPr>
            <w:tcW w:w="14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137,000</w:t>
            </w:r>
          </w:p>
        </w:tc>
      </w:tr>
      <w:tr>
        <w:trPr>
          <w:trHeight w:val="196"/>
        </w:trPr>
        <w:tc>
          <w:tcPr>
            <w:tcW w:w="3880" w:type="dxa"/>
            <w:vAlign w:val="bottom"/>
          </w:tcPr>
          <w:p>
            <w:pPr>
              <w:spacing w:after="0"/>
              <w:rPr>
                <w:sz w:val="17"/>
                <w:szCs w:val="17"/>
                <w:color w:val="auto"/>
              </w:rPr>
            </w:pPr>
          </w:p>
        </w:tc>
        <w:tc>
          <w:tcPr>
            <w:tcW w:w="2300" w:type="dxa"/>
            <w:vAlign w:val="bottom"/>
            <w:gridSpan w:val="2"/>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98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w:t>
            </w:r>
          </w:p>
        </w:tc>
      </w:tr>
      <w:tr>
        <w:trPr>
          <w:trHeight w:val="392"/>
        </w:trPr>
        <w:tc>
          <w:tcPr>
            <w:tcW w:w="3880" w:type="dxa"/>
            <w:vAlign w:val="bottom"/>
          </w:tcPr>
          <w:p>
            <w:pPr>
              <w:spacing w:after="0"/>
              <w:rPr>
                <w:sz w:val="20"/>
                <w:szCs w:val="20"/>
                <w:color w:val="auto"/>
              </w:rPr>
            </w:pPr>
            <w:r>
              <w:rPr>
                <w:rFonts w:ascii="Courier New" w:cs="Courier New" w:eastAsia="Courier New" w:hAnsi="Courier New"/>
                <w:sz w:val="17"/>
                <w:szCs w:val="17"/>
                <w:color w:val="auto"/>
              </w:rPr>
              <w:t>Common shares outstanding - diluted</w:t>
            </w:r>
          </w:p>
        </w:tc>
        <w:tc>
          <w:tcPr>
            <w:tcW w:w="660" w:type="dxa"/>
            <w:vAlign w:val="bottom"/>
          </w:tcPr>
          <w:p>
            <w:pPr>
              <w:spacing w:after="0"/>
              <w:rPr>
                <w:sz w:val="24"/>
                <w:szCs w:val="24"/>
                <w:color w:val="auto"/>
              </w:rPr>
            </w:pPr>
          </w:p>
        </w:tc>
        <w:tc>
          <w:tcPr>
            <w:tcW w:w="164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23,230,000</w:t>
            </w:r>
          </w:p>
        </w:tc>
        <w:tc>
          <w:tcPr>
            <w:tcW w:w="500" w:type="dxa"/>
            <w:vAlign w:val="bottom"/>
          </w:tcPr>
          <w:p>
            <w:pPr>
              <w:spacing w:after="0"/>
              <w:rPr>
                <w:sz w:val="24"/>
                <w:szCs w:val="24"/>
                <w:color w:val="auto"/>
              </w:rPr>
            </w:pPr>
          </w:p>
        </w:tc>
        <w:tc>
          <w:tcPr>
            <w:tcW w:w="148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23,701,000</w:t>
            </w:r>
          </w:p>
        </w:tc>
      </w:tr>
      <w:tr>
        <w:trPr>
          <w:trHeight w:val="196"/>
        </w:trPr>
        <w:tc>
          <w:tcPr>
            <w:tcW w:w="3880" w:type="dxa"/>
            <w:vAlign w:val="bottom"/>
          </w:tcPr>
          <w:p>
            <w:pPr>
              <w:spacing w:after="0"/>
              <w:rPr>
                <w:sz w:val="17"/>
                <w:szCs w:val="17"/>
                <w:color w:val="auto"/>
              </w:rPr>
            </w:pPr>
          </w:p>
        </w:tc>
        <w:tc>
          <w:tcPr>
            <w:tcW w:w="2300" w:type="dxa"/>
            <w:vAlign w:val="bottom"/>
            <w:gridSpan w:val="2"/>
          </w:tcPr>
          <w:p>
            <w:pPr>
              <w:jc w:val="right"/>
              <w:ind w:right="475"/>
              <w:spacing w:after="0"/>
              <w:rPr>
                <w:sz w:val="20"/>
                <w:szCs w:val="20"/>
                <w:color w:val="auto"/>
              </w:rPr>
            </w:pPr>
            <w:r>
              <w:rPr>
                <w:rFonts w:ascii="Courier New" w:cs="Courier New" w:eastAsia="Courier New" w:hAnsi="Courier New"/>
                <w:sz w:val="17"/>
                <w:szCs w:val="17"/>
                <w:color w:val="auto"/>
              </w:rPr>
              <w:t>============</w:t>
            </w:r>
          </w:p>
        </w:tc>
        <w:tc>
          <w:tcPr>
            <w:tcW w:w="1980" w:type="dxa"/>
            <w:vAlign w:val="bottom"/>
            <w:gridSpan w:val="2"/>
          </w:tcPr>
          <w:p>
            <w:pPr>
              <w:jc w:val="right"/>
              <w:ind w:right="315"/>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93" w:lineRule="exact"/>
        <w:rPr>
          <w:sz w:val="20"/>
          <w:szCs w:val="20"/>
          <w:color w:val="auto"/>
        </w:rPr>
      </w:pPr>
    </w:p>
    <w:p>
      <w:pPr>
        <w:ind w:right="2059" w:firstLine="816"/>
        <w:spacing w:after="0" w:line="244" w:lineRule="auto"/>
        <w:rPr>
          <w:sz w:val="20"/>
          <w:szCs w:val="20"/>
          <w:color w:val="auto"/>
        </w:rPr>
      </w:pPr>
      <w:r>
        <w:rPr>
          <w:rFonts w:ascii="Courier New" w:cs="Courier New" w:eastAsia="Courier New" w:hAnsi="Courier New"/>
          <w:sz w:val="17"/>
          <w:szCs w:val="17"/>
          <w:color w:val="auto"/>
        </w:rPr>
        <w:t>For purposes of computing diluted net income per common share, weighted average common share equivalents do not include stock options with an exercise price that exceeds the average fair market value of the Company's common stock for the period. On April 30, 1999, options to purchase approximately 1,100,200 shares of common stock at a weighted average exercise price of $31.77 were outstanding, but were excluded from the computation because the options' exercise price was greater than the average market price of the common shares. At April 30, 1998, no options were excluded from the computation of diluted net income per common share since the average fair market value of the Company's common stock for the period exceeded the exercise price of all outstanding stock options.</w:t>
      </w:r>
    </w:p>
    <w:p>
      <w:pPr>
        <w:spacing w:after="0" w:line="396" w:lineRule="exact"/>
        <w:rPr>
          <w:sz w:val="20"/>
          <w:szCs w:val="20"/>
          <w:color w:val="auto"/>
        </w:rPr>
      </w:pPr>
    </w:p>
    <w:p>
      <w:pPr>
        <w:ind w:left="820" w:hanging="815"/>
        <w:spacing w:after="0"/>
        <w:tabs>
          <w:tab w:leader="none" w:pos="8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ACQUISITIONS</w:t>
      </w:r>
    </w:p>
    <w:p>
      <w:pPr>
        <w:spacing w:after="0" w:line="201" w:lineRule="exact"/>
        <w:rPr>
          <w:sz w:val="20"/>
          <w:szCs w:val="20"/>
          <w:color w:val="auto"/>
        </w:rPr>
      </w:pPr>
    </w:p>
    <w:p>
      <w:pPr>
        <w:ind w:right="2259" w:firstLine="510"/>
        <w:spacing w:after="0" w:line="244" w:lineRule="auto"/>
        <w:rPr>
          <w:sz w:val="20"/>
          <w:szCs w:val="20"/>
          <w:color w:val="auto"/>
        </w:rPr>
      </w:pPr>
      <w:r>
        <w:rPr>
          <w:rFonts w:ascii="Courier New" w:cs="Courier New" w:eastAsia="Courier New" w:hAnsi="Courier New"/>
          <w:sz w:val="17"/>
          <w:szCs w:val="17"/>
          <w:color w:val="auto"/>
        </w:rPr>
        <w:t>During the six months ended April 30, 1999 the Company completed three business combinations that were accounted for under the purchase method of accounting. The consolidated financial statements include the results of these acquired entities from their respective dates of acquisition. The aggregate consideration paid for these acquisitions consisted of $3,386,000 cash. The aggregate purchase price does not include payments of contingent consideration based upon the results of operations of the businesses acquired.</w:t>
      </w:r>
    </w:p>
    <w:p>
      <w:pPr>
        <w:spacing w:after="0" w:line="199" w:lineRule="exact"/>
        <w:rPr>
          <w:sz w:val="20"/>
          <w:szCs w:val="20"/>
          <w:color w:val="auto"/>
        </w:rPr>
      </w:pPr>
    </w:p>
    <w:p>
      <w:pPr>
        <w:ind w:right="2159" w:firstLine="510"/>
        <w:spacing w:after="0" w:line="243" w:lineRule="auto"/>
        <w:rPr>
          <w:sz w:val="20"/>
          <w:szCs w:val="20"/>
          <w:color w:val="auto"/>
        </w:rPr>
      </w:pPr>
      <w:r>
        <w:rPr>
          <w:rFonts w:ascii="Courier New" w:cs="Courier New" w:eastAsia="Courier New" w:hAnsi="Courier New"/>
          <w:sz w:val="17"/>
          <w:szCs w:val="17"/>
          <w:color w:val="auto"/>
        </w:rPr>
        <w:t>The total purchase price was allocated to the fair value of the net assets acquired resulting in goodwill of approximately $2,156,000.</w:t>
      </w:r>
    </w:p>
    <w:p>
      <w:pPr>
        <w:spacing w:after="0" w:line="394" w:lineRule="exact"/>
        <w:rPr>
          <w:sz w:val="20"/>
          <w:szCs w:val="20"/>
          <w:color w:val="auto"/>
        </w:rPr>
      </w:pPr>
    </w:p>
    <w:p>
      <w:pPr>
        <w:ind w:left="4700"/>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9"/>
          </w:cols>
          <w:pgMar w:left="240" w:top="311"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7"/>
          <w:szCs w:val="17"/>
          <w:color w:val="auto"/>
        </w:rPr>
        <w:t>10</w:t>
      </w:r>
    </w:p>
    <w:p>
      <w:pPr>
        <w:spacing w:after="0" w:line="201" w:lineRule="exact"/>
        <w:rPr>
          <w:sz w:val="20"/>
          <w:szCs w:val="20"/>
          <w:color w:val="auto"/>
        </w:rPr>
      </w:pPr>
    </w:p>
    <w:p>
      <w:pPr>
        <w:ind w:left="820" w:right="2159" w:hanging="815"/>
        <w:spacing w:after="0" w:line="243" w:lineRule="auto"/>
        <w:rPr>
          <w:sz w:val="20"/>
          <w:szCs w:val="20"/>
          <w:color w:val="auto"/>
        </w:rPr>
      </w:pPr>
      <w:r>
        <w:rPr>
          <w:rFonts w:ascii="Courier New" w:cs="Courier New" w:eastAsia="Courier New" w:hAnsi="Courier New"/>
          <w:sz w:val="17"/>
          <w:szCs w:val="17"/>
          <w:color w:val="auto"/>
        </w:rPr>
        <w:t>ITEM 2. MANAGEMENT'S DISCUSSION AND ANALYSIS OF FINANCIAL CONDITION AND RESULTS OF OPERATIONS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CONDITION</w:t>
      </w:r>
    </w:p>
    <w:p>
      <w:pPr>
        <w:spacing w:after="0" w:line="201" w:lineRule="exact"/>
        <w:rPr>
          <w:sz w:val="20"/>
          <w:szCs w:val="20"/>
          <w:color w:val="auto"/>
        </w:rPr>
      </w:pPr>
    </w:p>
    <w:p>
      <w:pPr>
        <w:ind w:right="2059" w:firstLine="816"/>
        <w:spacing w:after="0" w:line="244" w:lineRule="auto"/>
        <w:rPr>
          <w:sz w:val="20"/>
          <w:szCs w:val="20"/>
          <w:color w:val="auto"/>
        </w:rPr>
      </w:pPr>
      <w:r>
        <w:rPr>
          <w:rFonts w:ascii="Courier New" w:cs="Courier New" w:eastAsia="Courier New" w:hAnsi="Courier New"/>
          <w:sz w:val="17"/>
          <w:szCs w:val="17"/>
          <w:color w:val="auto"/>
        </w:rPr>
        <w:t>Funds provided from operations and bank borrowings have historically been the sources for meeting working capital requirements, financing capital expenditures, acquisitions and paying cash dividends. Management believes that funds from these sources will remain available and adequately serve the Company's liquidity needs. The Company has an unsecured revolving credit agreement with a syndicate of U.S. banks, expiring July 1, 2002. Effective November 1, 1997, the agreement was amended to increase the amount available to $150 million. At the Company's option, the credit facility provides interest at the prime rate or IBOR+.35%. As of April 30, 1999, the total amount outstanding was approximately $76 million, which was comprised of loans in the amount of $12 million and standby letters of credit of $64 million. This agreement requires the Company to meet certain financial ratios, places some limitations on outside borrowing and prohibits declaring or paying cash dividends exceeding 50% of the Company's net income for any fiscal year. In February 1996, the Company entered into a loan agreement with a major U.S. bank that provides a seven-year term loan of $5 million. This loan bears interest at a fixed rate of 6.78% with annual payments of principal, in varying amounts, and interest due each February 15 through 2003. The Company's effective interest rate for all long-term debt borrowings for the six months ended April 30, 1999 was 6.37%.</w:t>
      </w:r>
    </w:p>
    <w:p>
      <w:pPr>
        <w:spacing w:after="0" w:line="204" w:lineRule="exact"/>
        <w:rPr>
          <w:sz w:val="20"/>
          <w:szCs w:val="20"/>
          <w:color w:val="auto"/>
        </w:rPr>
      </w:pPr>
    </w:p>
    <w:p>
      <w:pPr>
        <w:ind w:right="2359" w:firstLine="816"/>
        <w:spacing w:after="0" w:line="243" w:lineRule="auto"/>
        <w:rPr>
          <w:sz w:val="20"/>
          <w:szCs w:val="20"/>
          <w:color w:val="auto"/>
        </w:rPr>
      </w:pPr>
      <w:r>
        <w:rPr>
          <w:rFonts w:ascii="Courier New" w:cs="Courier New" w:eastAsia="Courier New" w:hAnsi="Courier New"/>
          <w:sz w:val="17"/>
          <w:szCs w:val="17"/>
          <w:color w:val="auto"/>
        </w:rPr>
        <w:t>At April 30, 1999, working capital was $159.1 million, as compared to $166.5 million at October 31, 1998.</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EFFECT OF INFLATION</w:t>
      </w:r>
    </w:p>
    <w:p>
      <w:pPr>
        <w:spacing w:after="0" w:line="201" w:lineRule="exact"/>
        <w:rPr>
          <w:sz w:val="20"/>
          <w:szCs w:val="20"/>
          <w:color w:val="auto"/>
        </w:rPr>
      </w:pPr>
    </w:p>
    <w:p>
      <w:pPr>
        <w:ind w:right="2059" w:firstLine="816"/>
        <w:spacing w:after="0" w:line="244" w:lineRule="auto"/>
        <w:rPr>
          <w:sz w:val="20"/>
          <w:szCs w:val="20"/>
          <w:color w:val="auto"/>
        </w:rPr>
      </w:pPr>
      <w:r>
        <w:rPr>
          <w:rFonts w:ascii="Courier New" w:cs="Courier New" w:eastAsia="Courier New" w:hAnsi="Courier New"/>
          <w:sz w:val="17"/>
          <w:szCs w:val="17"/>
          <w:color w:val="auto"/>
        </w:rPr>
        <w:t>The low rates of inflation experienced in recent years had no material impact on the financial statements of the Company. The Company attempts to recover inflationary costs by increasing sales prices to the extent permitted by contracts and competition.</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ENVIRONMENTAL MATTERS</w:t>
      </w:r>
    </w:p>
    <w:p>
      <w:pPr>
        <w:spacing w:after="0" w:line="201" w:lineRule="exact"/>
        <w:rPr>
          <w:sz w:val="20"/>
          <w:szCs w:val="20"/>
          <w:color w:val="auto"/>
        </w:rPr>
      </w:pPr>
    </w:p>
    <w:p>
      <w:pPr>
        <w:ind w:right="2259" w:firstLine="816"/>
        <w:spacing w:after="0" w:line="244" w:lineRule="auto"/>
        <w:rPr>
          <w:sz w:val="20"/>
          <w:szCs w:val="20"/>
          <w:color w:val="auto"/>
        </w:rPr>
      </w:pPr>
      <w:r>
        <w:rPr>
          <w:rFonts w:ascii="Courier New" w:cs="Courier New" w:eastAsia="Courier New" w:hAnsi="Courier New"/>
          <w:sz w:val="17"/>
          <w:szCs w:val="17"/>
          <w:color w:val="auto"/>
        </w:rPr>
        <w:t>The nature of the Company's operations, primarily services, would not ordinarily involve it in environmental contamination. However, the Company's operations are subject to various federal, state and/or local laws regulating the discharge of materials into the environment or otherwise relating to the protection of the environment, such as discharge into soil, water and air, and the generation, handling, storage, transportation and disposal of waste and hazardous substances.</w:t>
      </w:r>
    </w:p>
    <w:p>
      <w:pPr>
        <w:spacing w:after="0" w:line="200" w:lineRule="exact"/>
        <w:rPr>
          <w:sz w:val="20"/>
          <w:szCs w:val="20"/>
          <w:color w:val="auto"/>
        </w:rPr>
      </w:pPr>
    </w:p>
    <w:p>
      <w:pPr>
        <w:spacing w:after="0" w:line="391"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311"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7"/>
          <w:szCs w:val="17"/>
          <w:color w:val="auto"/>
        </w:rPr>
        <w:t>11</w:t>
      </w:r>
    </w:p>
    <w:p>
      <w:pPr>
        <w:spacing w:after="0" w:line="201" w:lineRule="exact"/>
        <w:rPr>
          <w:sz w:val="20"/>
          <w:szCs w:val="20"/>
          <w:color w:val="auto"/>
        </w:rPr>
      </w:pPr>
    </w:p>
    <w:p>
      <w:pPr>
        <w:ind w:right="2259" w:firstLine="816"/>
        <w:spacing w:after="0" w:line="244" w:lineRule="auto"/>
        <w:rPr>
          <w:sz w:val="20"/>
          <w:szCs w:val="20"/>
          <w:color w:val="auto"/>
        </w:rPr>
      </w:pPr>
      <w:r>
        <w:rPr>
          <w:rFonts w:ascii="Courier New" w:cs="Courier New" w:eastAsia="Courier New" w:hAnsi="Courier New"/>
          <w:sz w:val="17"/>
          <w:szCs w:val="17"/>
          <w:color w:val="auto"/>
        </w:rPr>
        <w:t>These laws generally have the effect of increasing costs and potential liabilities associated with the conduct of the Company's operations, although historically they have not had a material adverse effect on the Company's financial position or its results of operations.</w:t>
      </w:r>
    </w:p>
    <w:p>
      <w:pPr>
        <w:spacing w:after="0" w:line="198" w:lineRule="exact"/>
        <w:rPr>
          <w:sz w:val="20"/>
          <w:szCs w:val="20"/>
          <w:color w:val="auto"/>
        </w:rPr>
      </w:pPr>
    </w:p>
    <w:p>
      <w:pPr>
        <w:ind w:right="2159" w:firstLine="816"/>
        <w:spacing w:after="0" w:line="244" w:lineRule="auto"/>
        <w:rPr>
          <w:sz w:val="20"/>
          <w:szCs w:val="20"/>
          <w:color w:val="auto"/>
        </w:rPr>
      </w:pPr>
      <w:r>
        <w:rPr>
          <w:rFonts w:ascii="Courier New" w:cs="Courier New" w:eastAsia="Courier New" w:hAnsi="Courier New"/>
          <w:sz w:val="17"/>
          <w:szCs w:val="17"/>
          <w:color w:val="auto"/>
        </w:rPr>
        <w:t>The Company is currently involved in four proceedings relating to environmental matters: one involving alleged potential soil and groundwater contamination at a Company facility in Florida; one involving alleged potential soil contamination at a former Company facility in Arizona; one involving alleged potential soil and groundwater contamination of a parking garage previously operated by the Company in Washington; and, one involving alleged potential soil and groundwater contamination at a former dry-cleaning facility leased by the Company in Nevada. While it is difficult to predict the ultimate outcome of these matters, based on information currently available, management believes that none of these matters, individually or in the aggregate, are reasonably likely to have a material adverse affect on the Company's financial position or its results of operations.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 2000 ISSUE</w:t>
      </w:r>
    </w:p>
    <w:p>
      <w:pPr>
        <w:spacing w:after="0" w:line="201"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Year 2000 Issue is the result of computer programs being written and embedded chips being designed that use two digits rather than four digits to define the applicable year. As a result, there is a potential that existing computer programs and hardware will be unable to accurately process dates beyond the year 1999. This could result in system errors or failures that could impact both administration and operations. In mid-1997, the Company established a dedicated Project Team that has initiated a Company-wide effort to mitigate the Year 2000 Issue. The Project Team has developed a detailed plan for becoming Year 2000 compliant that consists of the following seven phases: awareness, inventory, risk assessment, remediation, testing, implementation, and certification. The Year 2000 Issue encompasses both information technology ("IT") related systems, such as the Company's accounting software, and non-IT related systems such as the impact to the Company due to the non-compliance of major vendors or customers.</w:t>
      </w:r>
    </w:p>
    <w:p>
      <w:pPr>
        <w:spacing w:after="0" w:line="202"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Company is striving to make all levels of management within the Company cognizant of the Year 2000 Issue via quarterly newsletters. This newsletter provides Year 2000 progress updates to management, who are then able to communicate with customers, vendors, and other third parties. Additionally, the Year 2000 Project Team maintains a discussion database that is available to managers within the Company for their review and input.</w:t>
      </w:r>
    </w:p>
    <w:p>
      <w:pPr>
        <w:spacing w:after="0" w:line="198"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The Project Team has completed a Company-wide inventory of all office</w:t>
      </w:r>
    </w:p>
    <w:p>
      <w:pPr>
        <w:spacing w:after="0" w:line="200" w:lineRule="exact"/>
        <w:rPr>
          <w:sz w:val="20"/>
          <w:szCs w:val="20"/>
          <w:color w:val="auto"/>
        </w:rPr>
      </w:pPr>
    </w:p>
    <w:p>
      <w:pPr>
        <w:spacing w:after="0" w:line="39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311"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7"/>
          <w:szCs w:val="17"/>
          <w:color w:val="auto"/>
        </w:rPr>
        <w:t>12</w:t>
      </w:r>
    </w:p>
    <w:p>
      <w:pPr>
        <w:spacing w:after="0" w:line="5"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equipment, software, hardware, and any product, equipment, service or system that could be impacted by the Year 2000 Issue. This inventory has provided a basis for identifying and prioritizing risk associated with the equipment, hardware, software, and services that the Company utilizes. The Project Team has attempted to assess all relevant issues and has developed a process to assess all new products and services introduced subsequent to the initial inventory. The inventory process was completed in April 1999.</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The Project Team is in testing phases for its core application programs. All proprietary software, such as its accounting programs, service dispatch systems, and labor control systems, has been fully remediated and tested. Mission-critical proprietary applications, such as the accounting and payroll programs, have also been tested and certified to be Year 2000 compliant by an outside vendor using a second generation code inspection tool. These Year 2000 compliant applications are currently being implemented. The implementation will be completed by July 1999.</w:t>
      </w:r>
    </w:p>
    <w:p>
      <w:pPr>
        <w:spacing w:after="0" w:line="199" w:lineRule="exact"/>
        <w:rPr>
          <w:sz w:val="20"/>
          <w:szCs w:val="20"/>
          <w:color w:val="auto"/>
        </w:rPr>
      </w:pPr>
    </w:p>
    <w:p>
      <w:pPr>
        <w:ind w:right="2059" w:firstLine="816"/>
        <w:spacing w:after="0" w:line="244" w:lineRule="auto"/>
        <w:rPr>
          <w:sz w:val="20"/>
          <w:szCs w:val="20"/>
          <w:color w:val="auto"/>
        </w:rPr>
      </w:pPr>
      <w:r>
        <w:rPr>
          <w:rFonts w:ascii="Courier New" w:cs="Courier New" w:eastAsia="Courier New" w:hAnsi="Courier New"/>
          <w:sz w:val="17"/>
          <w:szCs w:val="17"/>
          <w:color w:val="auto"/>
        </w:rPr>
        <w:t>Six Divisions use the Company's proprietary accounting software, which is internally maintained. The Elevator, Lighting and Mechanical Divisions use software purchased from outside vendors. The financial software used by the Elevator Division has been tested and reviewed by the Company and outside consultants. The Supply Division's inventory control system and the Lighting Division's financial applications are currently being tested for compliance. The Mechanical Division will be replacing its accounting and dispatching software with a Year 2000 compliant system. The new software is in the final testing phase, and is anticipated to be installed by July 1999.</w:t>
      </w:r>
    </w:p>
    <w:p>
      <w:pPr>
        <w:spacing w:after="0" w:line="200"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Project Team has identified vendors that represent 80 percent of the Company's total purchases, and in October 1998, began surveying these vendors to identify their plans to address the Year 2000 Issue. This process was completed in March 1999.</w:t>
      </w:r>
    </w:p>
    <w:p>
      <w:pPr>
        <w:spacing w:after="0" w:line="198" w:lineRule="exact"/>
        <w:rPr>
          <w:sz w:val="20"/>
          <w:szCs w:val="20"/>
          <w:color w:val="auto"/>
        </w:rPr>
      </w:pPr>
    </w:p>
    <w:p>
      <w:pPr>
        <w:jc w:val="both"/>
        <w:ind w:right="2059" w:firstLine="510"/>
        <w:spacing w:after="0" w:line="243" w:lineRule="auto"/>
        <w:rPr>
          <w:sz w:val="20"/>
          <w:szCs w:val="20"/>
          <w:color w:val="auto"/>
        </w:rPr>
      </w:pPr>
      <w:r>
        <w:rPr>
          <w:rFonts w:ascii="Courier New" w:cs="Courier New" w:eastAsia="Courier New" w:hAnsi="Courier New"/>
          <w:sz w:val="17"/>
          <w:szCs w:val="17"/>
          <w:color w:val="auto"/>
        </w:rPr>
        <w:t>All vendors with mission-critical IT-related products or services are being tested as mentioned above. The Company is amending its vendor selection process, as needed, to minimize potential vendor-related Year 2000 risks.</w:t>
      </w:r>
    </w:p>
    <w:p>
      <w:pPr>
        <w:spacing w:after="0" w:line="200" w:lineRule="exact"/>
        <w:rPr>
          <w:sz w:val="20"/>
          <w:szCs w:val="20"/>
          <w:color w:val="auto"/>
        </w:rPr>
      </w:pPr>
    </w:p>
    <w:p>
      <w:pPr>
        <w:ind w:right="2059" w:firstLine="510"/>
        <w:spacing w:after="0" w:line="244" w:lineRule="auto"/>
        <w:rPr>
          <w:sz w:val="20"/>
          <w:szCs w:val="20"/>
          <w:color w:val="auto"/>
        </w:rPr>
      </w:pPr>
      <w:r>
        <w:rPr>
          <w:rFonts w:ascii="Courier New" w:cs="Courier New" w:eastAsia="Courier New" w:hAnsi="Courier New"/>
          <w:sz w:val="17"/>
          <w:szCs w:val="17"/>
          <w:color w:val="auto"/>
        </w:rPr>
        <w:t>The Company has remediated and is testing Company-owned equipment and software that could have an impact on operations, and indirectly the Company's customers. The Company believes that appropriate steps are being taken to minimize potential risk to its customers; however, there is a concern that customer-owned equipment may not be Year 2000 compliant, which could adversely impact the Company's operational performance. Additionally, there may be a possible misconception among some customers that ABM is responsible for all Year 2000 Issues. The Company sent an informational letter to all major customers informing them of potential issues that could</w:t>
      </w:r>
    </w:p>
    <w:p>
      <w:pPr>
        <w:spacing w:after="0" w:line="200" w:lineRule="exact"/>
        <w:rPr>
          <w:sz w:val="20"/>
          <w:szCs w:val="20"/>
          <w:color w:val="auto"/>
        </w:rPr>
      </w:pPr>
    </w:p>
    <w:p>
      <w:pPr>
        <w:spacing w:after="0" w:line="39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311"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7"/>
          <w:szCs w:val="17"/>
          <w:color w:val="auto"/>
        </w:rPr>
        <w:t>13</w:t>
      </w:r>
    </w:p>
    <w:p>
      <w:pPr>
        <w:spacing w:after="0" w:line="201"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arise from the Year 2000 Issue; additionally, this letter is intended to state the Company's position regarding Year 2000 Issues. There can be no assurance that the systems of other companies on which the Company relies will be Year 2000 compliant, or that the failure of such systems to be Year 2000 compliant will not have a material adverse effect on the Company's business, financial condition and results of operations.</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Based upon assumptions and forecasts of management at this time, the Company estimates the cost of becoming Year 2000 compliant to be approximately $3.0 million, funded by operating cash flows. The Company believes it is making the necessary modifications and changes to mitigate the Year 2000 Issue.</w:t>
      </w:r>
    </w:p>
    <w:p>
      <w:pPr>
        <w:spacing w:after="0" w:line="2"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However, there can be no assurance that all the Company's systems will be Year 2000 compliant, that the costs to be Year 2000 compliant will not exceed management's current expectations, or that the failure of such systems to be Year 2000 compliant will not have a material adverse effect on the Company's business, financial condition and results of operations. The Company is establishing contingency plans for all its major IT systems, field office locations, and largest accounts, in case of unexpected Year 2000 failures. As part of its contingency plans, the Company intends to prepare process manuals that will document the necessary procedures in the event of IT-related failures, such as hardware or software applications, as well as non-IT failures. These procedures will be tested to be certain that the procedures are viable alternatives in the case of a Year 2000 disruption. These manuals will be distributed to all offices of the Company for its coordinated preparation for Year 2000. The Company anticipates having the contingency plan in place by August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ACQUISITIONS</w:t>
      </w:r>
    </w:p>
    <w:p>
      <w:pPr>
        <w:spacing w:after="0" w:line="201" w:lineRule="exact"/>
        <w:rPr>
          <w:sz w:val="20"/>
          <w:szCs w:val="20"/>
          <w:color w:val="auto"/>
        </w:rPr>
      </w:pPr>
    </w:p>
    <w:p>
      <w:pPr>
        <w:jc w:val="both"/>
        <w:ind w:right="2259" w:firstLine="816"/>
        <w:spacing w:after="0" w:line="243" w:lineRule="auto"/>
        <w:rPr>
          <w:sz w:val="20"/>
          <w:szCs w:val="20"/>
          <w:color w:val="auto"/>
        </w:rPr>
      </w:pPr>
      <w:r>
        <w:rPr>
          <w:rFonts w:ascii="Courier New" w:cs="Courier New" w:eastAsia="Courier New" w:hAnsi="Courier New"/>
          <w:sz w:val="17"/>
          <w:szCs w:val="17"/>
          <w:color w:val="auto"/>
        </w:rPr>
        <w:t>The operating results of businesses acquired have been included in the accompanying condensed consolidated financial statements from their respective dates of acquisition.</w:t>
      </w:r>
    </w:p>
    <w:p>
      <w:pPr>
        <w:spacing w:after="0" w:line="200" w:lineRule="exact"/>
        <w:rPr>
          <w:sz w:val="20"/>
          <w:szCs w:val="20"/>
          <w:color w:val="auto"/>
        </w:rPr>
      </w:pPr>
    </w:p>
    <w:p>
      <w:pPr>
        <w:ind w:right="2259" w:firstLine="816"/>
        <w:spacing w:after="0" w:line="244" w:lineRule="auto"/>
        <w:rPr>
          <w:sz w:val="20"/>
          <w:szCs w:val="20"/>
          <w:color w:val="auto"/>
        </w:rPr>
      </w:pPr>
      <w:r>
        <w:rPr>
          <w:rFonts w:ascii="Courier New" w:cs="Courier New" w:eastAsia="Courier New" w:hAnsi="Courier New"/>
          <w:sz w:val="17"/>
          <w:szCs w:val="17"/>
          <w:color w:val="auto"/>
        </w:rPr>
        <w:t>Effective February 1, 1999, the Company acquired the operations and selected assets of VIP Valet Parking, with customers located in Austin and Houston, Texas. The terms for the purchase of this acquisition were a cash downpayment made at closing plus annual contingent payments based on operating profits to be made over five years.</w:t>
      </w:r>
    </w:p>
    <w:p>
      <w:pPr>
        <w:spacing w:after="0" w:line="198" w:lineRule="exact"/>
        <w:rPr>
          <w:sz w:val="20"/>
          <w:szCs w:val="20"/>
          <w:color w:val="auto"/>
        </w:rPr>
      </w:pPr>
    </w:p>
    <w:p>
      <w:pPr>
        <w:ind w:right="2059" w:firstLine="816"/>
        <w:spacing w:after="0" w:line="244" w:lineRule="auto"/>
        <w:rPr>
          <w:sz w:val="20"/>
          <w:szCs w:val="20"/>
          <w:color w:val="auto"/>
        </w:rPr>
      </w:pPr>
      <w:r>
        <w:rPr>
          <w:rFonts w:ascii="Courier New" w:cs="Courier New" w:eastAsia="Courier New" w:hAnsi="Courier New"/>
          <w:sz w:val="17"/>
          <w:szCs w:val="17"/>
          <w:color w:val="auto"/>
        </w:rPr>
        <w:t>Effective April 1, 1999, the Company acquired the operations and selected assets of Commercial Landscaping Services, with operations located in the Carolinas and Tennessee. The terms for the purchase of this acquisition were a cash downpayment made at closing plus annual contingent payments based on operating profits to be made over five years.</w:t>
      </w:r>
    </w:p>
    <w:p>
      <w:pPr>
        <w:spacing w:after="0" w:line="198" w:lineRule="exact"/>
        <w:rPr>
          <w:sz w:val="20"/>
          <w:szCs w:val="20"/>
          <w:color w:val="auto"/>
        </w:rPr>
      </w:pPr>
    </w:p>
    <w:p>
      <w:pPr>
        <w:ind w:right="2659" w:firstLine="816"/>
        <w:spacing w:after="0" w:line="243" w:lineRule="auto"/>
        <w:rPr>
          <w:sz w:val="20"/>
          <w:szCs w:val="20"/>
          <w:color w:val="auto"/>
        </w:rPr>
      </w:pPr>
      <w:r>
        <w:rPr>
          <w:rFonts w:ascii="Courier New" w:cs="Courier New" w:eastAsia="Courier New" w:hAnsi="Courier New"/>
          <w:sz w:val="17"/>
          <w:szCs w:val="17"/>
          <w:color w:val="auto"/>
        </w:rPr>
        <w:t>Effective April 1, 1999, the Company acquired the operations and selected assets of Integra Services Corporation, with customers located in</w:t>
      </w:r>
    </w:p>
    <w:p>
      <w:pPr>
        <w:spacing w:after="0" w:line="200" w:lineRule="exact"/>
        <w:rPr>
          <w:sz w:val="20"/>
          <w:szCs w:val="20"/>
          <w:color w:val="auto"/>
        </w:rPr>
      </w:pPr>
    </w:p>
    <w:p>
      <w:pPr>
        <w:spacing w:after="0" w:line="3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311"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7"/>
          <w:szCs w:val="17"/>
          <w:color w:val="auto"/>
        </w:rPr>
        <w:t>14</w:t>
      </w:r>
    </w:p>
    <w:p>
      <w:pPr>
        <w:spacing w:after="0" w:line="201" w:lineRule="exact"/>
        <w:rPr>
          <w:sz w:val="20"/>
          <w:szCs w:val="20"/>
          <w:color w:val="auto"/>
        </w:rPr>
      </w:pPr>
    </w:p>
    <w:p>
      <w:pPr>
        <w:ind w:right="2259"/>
        <w:spacing w:after="0" w:line="243" w:lineRule="auto"/>
        <w:rPr>
          <w:sz w:val="20"/>
          <w:szCs w:val="20"/>
          <w:color w:val="auto"/>
        </w:rPr>
      </w:pPr>
      <w:r>
        <w:rPr>
          <w:rFonts w:ascii="Courier New" w:cs="Courier New" w:eastAsia="Courier New" w:hAnsi="Courier New"/>
          <w:sz w:val="17"/>
          <w:szCs w:val="17"/>
          <w:color w:val="auto"/>
        </w:rPr>
        <w:t>Des Moines, Iowa. The terms for the purchase of this acquisition were a cash downpayment made at closing plus annual contingent payments based on operating profits to be made over five years.</w:t>
      </w:r>
    </w:p>
    <w:p>
      <w:pPr>
        <w:spacing w:after="0" w:line="200" w:lineRule="exact"/>
        <w:rPr>
          <w:sz w:val="20"/>
          <w:szCs w:val="20"/>
          <w:color w:val="auto"/>
        </w:rPr>
      </w:pPr>
    </w:p>
    <w:p>
      <w:pPr>
        <w:ind w:right="2159" w:firstLine="816"/>
        <w:spacing w:after="0" w:line="244" w:lineRule="auto"/>
        <w:rPr>
          <w:sz w:val="20"/>
          <w:szCs w:val="20"/>
          <w:color w:val="auto"/>
        </w:rPr>
      </w:pPr>
      <w:r>
        <w:rPr>
          <w:rFonts w:ascii="Courier New" w:cs="Courier New" w:eastAsia="Courier New" w:hAnsi="Courier New"/>
          <w:sz w:val="17"/>
          <w:szCs w:val="17"/>
          <w:color w:val="auto"/>
        </w:rPr>
        <w:t>These three business combinations were accounted for under the purchase method of accounting. The aggregate consideration paid for these acquisitions consisted of $3,386,000. The aggregate purchase price does not include payments of contingent consideration based upon the results of operations of the businesses acquired.</w:t>
      </w:r>
    </w:p>
    <w:p>
      <w:pPr>
        <w:spacing w:after="0" w:line="198" w:lineRule="exact"/>
        <w:rPr>
          <w:sz w:val="20"/>
          <w:szCs w:val="20"/>
          <w:color w:val="auto"/>
        </w:rPr>
      </w:pPr>
    </w:p>
    <w:p>
      <w:pPr>
        <w:ind w:right="2159" w:firstLine="816"/>
        <w:spacing w:after="0" w:line="244" w:lineRule="auto"/>
        <w:rPr>
          <w:sz w:val="20"/>
          <w:szCs w:val="20"/>
          <w:color w:val="auto"/>
        </w:rPr>
      </w:pPr>
      <w:r>
        <w:rPr>
          <w:rFonts w:ascii="Courier New" w:cs="Courier New" w:eastAsia="Courier New" w:hAnsi="Courier New"/>
          <w:sz w:val="17"/>
          <w:szCs w:val="17"/>
          <w:color w:val="auto"/>
        </w:rPr>
        <w:t>Effective May 1, 1999, the Company acquired the operations and stock of Masterclean Systems, Inc., with customers located in Louisville, Kentucky, and Master-Klean, Inc. with customers in Indianapolis, Indiana. The terms for the purchase of these acquisitions were a cash downpayment made at closing plus annual contingent payments based on operating profits to be made over five years.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201" w:lineRule="exact"/>
        <w:rPr>
          <w:sz w:val="20"/>
          <w:szCs w:val="20"/>
          <w:color w:val="auto"/>
        </w:rPr>
      </w:pPr>
    </w:p>
    <w:p>
      <w:pPr>
        <w:ind w:right="2259" w:firstLine="816"/>
        <w:spacing w:after="0" w:line="244" w:lineRule="auto"/>
        <w:rPr>
          <w:sz w:val="20"/>
          <w:szCs w:val="20"/>
          <w:color w:val="auto"/>
        </w:rPr>
      </w:pPr>
      <w:r>
        <w:rPr>
          <w:rFonts w:ascii="Courier New" w:cs="Courier New" w:eastAsia="Courier New" w:hAnsi="Courier New"/>
          <w:sz w:val="17"/>
          <w:szCs w:val="17"/>
          <w:color w:val="auto"/>
        </w:rPr>
        <w:t>The following discussion should be read in conjunction with the condensed consolidated financial statements of the Company. All information in the discussion and references to the years and quarters are based on the Company's fiscal year and second quarter which end on October 31 and April 30, respectively.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THREE MONTHS ENDED APRIL 30, 1999 VS. THREE MONTHS ENDED APRIL 30, 1998</w:t>
      </w:r>
    </w:p>
    <w:p>
      <w:pPr>
        <w:spacing w:after="0" w:line="201" w:lineRule="exact"/>
        <w:rPr>
          <w:sz w:val="20"/>
          <w:szCs w:val="20"/>
          <w:color w:val="auto"/>
        </w:rPr>
      </w:pPr>
    </w:p>
    <w:p>
      <w:pPr>
        <w:ind w:right="2059" w:firstLine="816"/>
        <w:spacing w:after="0" w:line="244" w:lineRule="auto"/>
        <w:rPr>
          <w:sz w:val="20"/>
          <w:szCs w:val="20"/>
          <w:color w:val="auto"/>
        </w:rPr>
      </w:pPr>
      <w:r>
        <w:rPr>
          <w:rFonts w:ascii="Courier New" w:cs="Courier New" w:eastAsia="Courier New" w:hAnsi="Courier New"/>
          <w:sz w:val="17"/>
          <w:szCs w:val="17"/>
          <w:color w:val="auto"/>
        </w:rPr>
        <w:t>Revenues and other income (hereafter called revenues) for the second quarter of 1999 were $398.3 million compared to $369.0 million in 1998, a 7.9% increase over the same quarter of the prior year. Much of this growth was attributable to new business and price increases, particularly by the Janitorial and Engineering Divisions, as well as acquisitions made during 1998. For the quarter ended April 30, 1999, the increase in revenues relating to acquisitions made during 1998 was approximately $3.5 million, approximately 11.9% of the total revenue increase of $29.3 million.</w:t>
      </w:r>
    </w:p>
    <w:p>
      <w:pPr>
        <w:spacing w:after="0" w:line="199" w:lineRule="exact"/>
        <w:rPr>
          <w:sz w:val="20"/>
          <w:szCs w:val="20"/>
          <w:color w:val="auto"/>
        </w:rPr>
      </w:pPr>
    </w:p>
    <w:p>
      <w:pPr>
        <w:ind w:right="2059" w:firstLine="816"/>
        <w:spacing w:after="0" w:line="244" w:lineRule="auto"/>
        <w:rPr>
          <w:sz w:val="20"/>
          <w:szCs w:val="20"/>
          <w:color w:val="auto"/>
        </w:rPr>
      </w:pPr>
      <w:r>
        <w:rPr>
          <w:rFonts w:ascii="Courier New" w:cs="Courier New" w:eastAsia="Courier New" w:hAnsi="Courier New"/>
          <w:sz w:val="17"/>
          <w:szCs w:val="17"/>
          <w:color w:val="auto"/>
        </w:rPr>
        <w:t>As a percentage of revenues, operating expenses and cost of goods sold were 87.4% for the second quarter of 1999, compared to 86.9% in 1998. Consequently, as a percentage of revenues, the Company's gross profit (revenue minus operating expenses and cost of goods sold) of 12.6% in the second quarter of 1999 was lower than the gross profit of 13.1% for the second quarter of 1998. The gross profit percentage declined mostly due to</w:t>
      </w:r>
    </w:p>
    <w:p>
      <w:pPr>
        <w:spacing w:after="0" w:line="200" w:lineRule="exact"/>
        <w:rPr>
          <w:sz w:val="20"/>
          <w:szCs w:val="20"/>
          <w:color w:val="auto"/>
        </w:rPr>
      </w:pPr>
    </w:p>
    <w:p>
      <w:pPr>
        <w:spacing w:after="0" w:line="3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311"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7"/>
          <w:szCs w:val="17"/>
          <w:color w:val="auto"/>
        </w:rPr>
        <w:t>15</w:t>
      </w:r>
    </w:p>
    <w:p>
      <w:pPr>
        <w:spacing w:after="0" w:line="201" w:lineRule="exact"/>
        <w:rPr>
          <w:sz w:val="20"/>
          <w:szCs w:val="20"/>
          <w:color w:val="auto"/>
        </w:rPr>
      </w:pPr>
    </w:p>
    <w:p>
      <w:pPr>
        <w:ind w:right="2159"/>
        <w:spacing w:after="0" w:line="243" w:lineRule="auto"/>
        <w:rPr>
          <w:sz w:val="20"/>
          <w:szCs w:val="20"/>
          <w:color w:val="auto"/>
        </w:rPr>
      </w:pPr>
      <w:r>
        <w:rPr>
          <w:rFonts w:ascii="Courier New" w:cs="Courier New" w:eastAsia="Courier New" w:hAnsi="Courier New"/>
          <w:sz w:val="17"/>
          <w:szCs w:val="17"/>
          <w:color w:val="auto"/>
        </w:rPr>
        <w:t>higher labor and related costs. The Company expects these costs to be gradually recovered through future price increases.</w:t>
      </w:r>
    </w:p>
    <w:p>
      <w:pPr>
        <w:spacing w:after="0" w:line="199" w:lineRule="exact"/>
        <w:rPr>
          <w:sz w:val="20"/>
          <w:szCs w:val="20"/>
          <w:color w:val="auto"/>
        </w:rPr>
      </w:pPr>
    </w:p>
    <w:p>
      <w:pPr>
        <w:ind w:right="2059" w:firstLine="816"/>
        <w:spacing w:after="0" w:line="261" w:lineRule="auto"/>
        <w:rPr>
          <w:sz w:val="20"/>
          <w:szCs w:val="20"/>
          <w:color w:val="auto"/>
        </w:rPr>
      </w:pPr>
      <w:r>
        <w:rPr>
          <w:rFonts w:ascii="Courier New" w:cs="Courier New" w:eastAsia="Courier New" w:hAnsi="Courier New"/>
          <w:sz w:val="16"/>
          <w:szCs w:val="16"/>
          <w:color w:val="auto"/>
        </w:rPr>
        <w:t>Selling, general and administrative expenses for the second quarter of 1999 were $35.6 million compared to $35.3 million for the corresponding three months of 1998. As a percentage of revenues, selling, general and administrative expenses decreased to 8.9% for the three months ended April 30, 1999, from 9.6% for the same period in 1998, primarily as a result of certain fixed and variable costs not increasing at the same rate as revenues. The $238,000 increase in selling, general and administrative expenses for the three months ended April 30, 1999, compared to the same period in 1998, is primarily due to expenses related to growth, including the amortization of goodwill, and data processing expenses associated with the installation of a new enterprise resource plan.</w:t>
      </w:r>
    </w:p>
    <w:p>
      <w:pPr>
        <w:spacing w:after="0" w:line="187" w:lineRule="exact"/>
        <w:rPr>
          <w:sz w:val="20"/>
          <w:szCs w:val="20"/>
          <w:color w:val="auto"/>
        </w:rPr>
      </w:pPr>
    </w:p>
    <w:p>
      <w:pPr>
        <w:ind w:right="2059" w:firstLine="816"/>
        <w:spacing w:after="0" w:line="266" w:lineRule="auto"/>
        <w:rPr>
          <w:sz w:val="20"/>
          <w:szCs w:val="20"/>
          <w:color w:val="auto"/>
        </w:rPr>
      </w:pPr>
      <w:r>
        <w:rPr>
          <w:rFonts w:ascii="Courier New" w:cs="Courier New" w:eastAsia="Courier New" w:hAnsi="Courier New"/>
          <w:sz w:val="16"/>
          <w:szCs w:val="16"/>
          <w:color w:val="auto"/>
        </w:rPr>
        <w:t>Interest expense was $466,000 for the second quarter of 1999 compared to $1,016,000 for the same period in 1998, a decrease of $550,000. This decrease was due to lower weighted average borrowings during the second quarter of 1999.</w:t>
      </w:r>
    </w:p>
    <w:p>
      <w:pPr>
        <w:spacing w:after="0" w:line="182" w:lineRule="exact"/>
        <w:rPr>
          <w:sz w:val="20"/>
          <w:szCs w:val="20"/>
          <w:color w:val="auto"/>
        </w:rPr>
      </w:pPr>
    </w:p>
    <w:p>
      <w:pPr>
        <w:ind w:right="2059" w:firstLine="816"/>
        <w:spacing w:after="0" w:line="244" w:lineRule="auto"/>
        <w:rPr>
          <w:sz w:val="20"/>
          <w:szCs w:val="20"/>
          <w:color w:val="auto"/>
        </w:rPr>
      </w:pPr>
      <w:r>
        <w:rPr>
          <w:rFonts w:ascii="Courier New" w:cs="Courier New" w:eastAsia="Courier New" w:hAnsi="Courier New"/>
          <w:sz w:val="17"/>
          <w:szCs w:val="17"/>
          <w:color w:val="auto"/>
        </w:rPr>
        <w:t>The pre-tax income for the second quarter of 1999 was $14,180,000 compared to $12,146,000, an increase of 16.7% over the same quarter of 1998. All but two of the Company's Divisions reported profit percentage increases and are discussed below.</w:t>
      </w:r>
    </w:p>
    <w:p>
      <w:pPr>
        <w:spacing w:after="0" w:line="198" w:lineRule="exact"/>
        <w:rPr>
          <w:sz w:val="20"/>
          <w:szCs w:val="20"/>
          <w:color w:val="auto"/>
        </w:rPr>
      </w:pPr>
    </w:p>
    <w:p>
      <w:pPr>
        <w:jc w:val="both"/>
        <w:ind w:right="2259" w:firstLine="816"/>
        <w:spacing w:after="0" w:line="244" w:lineRule="auto"/>
        <w:rPr>
          <w:sz w:val="20"/>
          <w:szCs w:val="20"/>
          <w:color w:val="auto"/>
        </w:rPr>
      </w:pPr>
      <w:r>
        <w:rPr>
          <w:rFonts w:ascii="Courier New" w:cs="Courier New" w:eastAsia="Courier New" w:hAnsi="Courier New"/>
          <w:sz w:val="17"/>
          <w:szCs w:val="17"/>
          <w:color w:val="auto"/>
        </w:rPr>
        <w:t>The estimated effective income tax rate for the second quarter of 1999 was 41.0%, compared to 41.5% in the second quarter of 1998. The lower tax rate was for the most part attributable to an increase in various federal and state estimated tax credits.</w:t>
      </w:r>
    </w:p>
    <w:p>
      <w:pPr>
        <w:spacing w:after="0" w:line="198" w:lineRule="exact"/>
        <w:rPr>
          <w:sz w:val="20"/>
          <w:szCs w:val="20"/>
          <w:color w:val="auto"/>
        </w:rPr>
      </w:pPr>
    </w:p>
    <w:p>
      <w:pPr>
        <w:ind w:right="2159" w:firstLine="816"/>
        <w:spacing w:after="0" w:line="244" w:lineRule="auto"/>
        <w:rPr>
          <w:sz w:val="20"/>
          <w:szCs w:val="20"/>
          <w:color w:val="auto"/>
        </w:rPr>
      </w:pPr>
      <w:r>
        <w:rPr>
          <w:rFonts w:ascii="Courier New" w:cs="Courier New" w:eastAsia="Courier New" w:hAnsi="Courier New"/>
          <w:sz w:val="17"/>
          <w:szCs w:val="17"/>
          <w:color w:val="auto"/>
        </w:rPr>
        <w:t>Net income for the second quarter of 1999 was $8,366,000 an increase of 17.7% compared to the net income of $7,105,000 for the second quarter of 1998. Diluted net income per common share rose 16.7% to 35 cents for the second quarter of 1999 compared to 30 cents for the same period in 1998. The increase in diluted net income per share was slightly disproportional to the increase in net income due to a 2.0% increase in diluted shares outstanding.</w:t>
      </w:r>
    </w:p>
    <w:p>
      <w:pPr>
        <w:spacing w:after="0" w:line="199" w:lineRule="exact"/>
        <w:rPr>
          <w:sz w:val="20"/>
          <w:szCs w:val="20"/>
          <w:color w:val="auto"/>
        </w:rPr>
      </w:pPr>
    </w:p>
    <w:p>
      <w:pPr>
        <w:ind w:right="2059" w:firstLine="816"/>
        <w:spacing w:after="0" w:line="244" w:lineRule="auto"/>
        <w:rPr>
          <w:sz w:val="20"/>
          <w:szCs w:val="20"/>
          <w:color w:val="auto"/>
        </w:rPr>
      </w:pPr>
      <w:r>
        <w:rPr>
          <w:rFonts w:ascii="Courier New" w:cs="Courier New" w:eastAsia="Courier New" w:hAnsi="Courier New"/>
          <w:sz w:val="17"/>
          <w:szCs w:val="17"/>
          <w:color w:val="auto"/>
        </w:rPr>
        <w:t>The results of operations from the Company's three industry segments and its nine operating divisions for the three months ended April 30, 1999, as compared to the three months ended April 30, 1998, are more fully described below:</w:t>
      </w:r>
    </w:p>
    <w:p>
      <w:pPr>
        <w:spacing w:after="0" w:line="198" w:lineRule="exact"/>
        <w:rPr>
          <w:sz w:val="20"/>
          <w:szCs w:val="20"/>
          <w:color w:val="auto"/>
        </w:rPr>
      </w:pPr>
    </w:p>
    <w:p>
      <w:pPr>
        <w:ind w:right="2259" w:firstLine="816"/>
        <w:spacing w:after="0" w:line="244" w:lineRule="auto"/>
        <w:rPr>
          <w:sz w:val="20"/>
          <w:szCs w:val="20"/>
          <w:color w:val="auto"/>
        </w:rPr>
      </w:pPr>
      <w:r>
        <w:rPr>
          <w:rFonts w:ascii="Courier New" w:cs="Courier New" w:eastAsia="Courier New" w:hAnsi="Courier New"/>
          <w:sz w:val="17"/>
          <w:szCs w:val="17"/>
          <w:color w:val="auto"/>
        </w:rPr>
        <w:t>The Janitorial Divisions segment, which includes American Building Maintenance (also known as ABM Janitorial Services) and Easterday Janitorial Supply, reported revenues for the second quarter of 1999 of $235.9 million, an increase of approximately $18.5 million, or 8.5%, over</w:t>
      </w:r>
    </w:p>
    <w:p>
      <w:pPr>
        <w:spacing w:after="0" w:line="200" w:lineRule="exact"/>
        <w:rPr>
          <w:sz w:val="20"/>
          <w:szCs w:val="20"/>
          <w:color w:val="auto"/>
        </w:rPr>
      </w:pPr>
    </w:p>
    <w:p>
      <w:pPr>
        <w:spacing w:after="0" w:line="38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311"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7"/>
          <w:szCs w:val="17"/>
          <w:color w:val="auto"/>
        </w:rPr>
        <w:t>16</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the second quarter of 1998. This segment's operating profits (revenues minus expenses, excluding interest and corporate allocations) increased by 3.1% over the comparable quarter of 1998. This is the Company's largest segment and accounted for approximately 59% of the Company's total revenues for the current quarter. American Building Maintenance revenues increased by 8.9% during the second quarter of 1999 as compared to the same quarter of 1998 as a result of increased business nationwide but particularly in the Mid-Atlantic, Southeast, Southwest and Texas regions. This Division's operating profits increased 3.1% when compared to the same period last year. The increase in operating profits is principally due to increased revenues. Operating profits increased at a slightly lower rate than revenues due primarily to slightly higher labor costs. Easterday Janitorial Supply's 1999 second quarter revenues decreased by approximately 3.5% compared to the same quarter in 1998. The relatively small decrease was generally due to weak sales in the Portland, and San Francisco markets. Operating profits remained basically flat in the second quarter of 1999, compared to the same quarter of 1998. Vendor rebates and higher profit margins offset the effect of lower revenues.</w:t>
      </w:r>
    </w:p>
    <w:p>
      <w:pPr>
        <w:spacing w:after="0" w:line="203" w:lineRule="exact"/>
        <w:rPr>
          <w:sz w:val="20"/>
          <w:szCs w:val="20"/>
          <w:color w:val="auto"/>
        </w:rPr>
      </w:pPr>
    </w:p>
    <w:p>
      <w:pPr>
        <w:ind w:right="2059" w:firstLine="816"/>
        <w:spacing w:after="0" w:line="244" w:lineRule="auto"/>
        <w:rPr>
          <w:sz w:val="20"/>
          <w:szCs w:val="20"/>
          <w:color w:val="auto"/>
        </w:rPr>
      </w:pPr>
      <w:r>
        <w:rPr>
          <w:rFonts w:ascii="Courier New" w:cs="Courier New" w:eastAsia="Courier New" w:hAnsi="Courier New"/>
          <w:sz w:val="17"/>
          <w:szCs w:val="17"/>
          <w:color w:val="auto"/>
        </w:rPr>
        <w:t>Revenues of the Public Service Divisions segment, which includes American Commercial Security Services (also known as "ACSS" and "ABM Security Services"), Ampco System Parking (also known as "Ampco System Airport Parking" and "Ampco Express Airport Parking"), and ABM Facility Services, for the second quarter of 1999 were approximately $66.8 million, a 3.3% increase over the same quarter of 1998. Public Service Divisions accounted for approximately 17% of the Company's revenues for the second quarter of 1999. The operating profits of this segment decreased 1.3% in the second quarter of 1999, due to the Security Division. American Commercial Security Services reported a 4.9% increase in revenues, but its operating profits were down by 37.0% in the second quarter of 1999 compared to the same period of 1998. The revenue increase was largely due to the sale of new business by its Phoenix, New Orleans, Southern California and Texas offices. The decrease in operating profits was primarily due to higher labor and related costs. Ampco System Parking's revenues increased by 1.3%, while its operating profits increased 15.9% during the second quarter of 1999 compared to the second quarter of 1998. The increase in revenues was primarily due to growth in its California and Texas operations. The operating profits increase was due to the increased sales of higher margin management contracts. ABM Facility Services was established in November of 1997 as a result of customer requests to provide services from two or more of its Divisions (the ABM Family of Services) under one management. Because this Division is new and depends primarily on management fees for its income, start up costs exceeded revenues during the current quarter. Management does not expect this Division to be profitable during the current year. Revenues generated by this Division are generally reported by the respective Divisions providing services and contribute to the operating profits of those Divisions.</w:t>
      </w:r>
    </w:p>
    <w:p>
      <w:pPr>
        <w:spacing w:after="0" w:line="200" w:lineRule="exact"/>
        <w:rPr>
          <w:sz w:val="20"/>
          <w:szCs w:val="20"/>
          <w:color w:val="auto"/>
        </w:rPr>
      </w:pPr>
    </w:p>
    <w:p>
      <w:pPr>
        <w:spacing w:after="0" w:line="39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311"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7"/>
          <w:szCs w:val="17"/>
          <w:color w:val="auto"/>
        </w:rPr>
        <w:t>17</w:t>
      </w:r>
    </w:p>
    <w:p>
      <w:pPr>
        <w:spacing w:after="0" w:line="201" w:lineRule="exact"/>
        <w:rPr>
          <w:sz w:val="20"/>
          <w:szCs w:val="20"/>
          <w:color w:val="auto"/>
        </w:rPr>
      </w:pPr>
    </w:p>
    <w:p>
      <w:pPr>
        <w:ind w:right="2059" w:firstLine="816"/>
        <w:spacing w:after="0" w:line="244" w:lineRule="auto"/>
        <w:rPr>
          <w:sz w:val="20"/>
          <w:szCs w:val="20"/>
          <w:color w:val="auto"/>
        </w:rPr>
      </w:pPr>
      <w:r>
        <w:rPr>
          <w:rFonts w:ascii="Courier New" w:cs="Courier New" w:eastAsia="Courier New" w:hAnsi="Courier New"/>
          <w:sz w:val="17"/>
          <w:szCs w:val="17"/>
          <w:color w:val="auto"/>
        </w:rPr>
        <w:t>The Company's Technical Divisions segment includes ABM Engineering Services, Amtech Elevator Services, Amtech Lighting Services and CommAir Mechanical Services. This segment reported revenues of $95.3 million, which represents approximately 24% of the Company's revenues for the second quarter of 1999. Revenues increased approximately 10.0% over the same quarter of last year due to increases in revenues reported by all its Divisions. Operating profits of this segment increased 3.6% compared to the second quarter of 1998 due to increases in operating profits in all of its Divisions except Amtech Lighting. ABM Engineering Services' revenues increased by 14.4% and its operating profits increased 5.8% for the second quarter of 1999 compared to the same period in 1998. The revenue increase was due primarily to new business sold in all its operations with particularly strong sales growth in its newer offices in Chicago and Arizona as well as Southern California. The smaller percentage increase in operating profits is due to lower margins on contracts in its New York office. In addition, profit margins in California have declined due to increased competition. Revenues for Amtech Elevator Services increased by 5.9% compared to the same period in 1998 primarily due to an increase in maintenance contract and modernization sales. As a result of higher sales, the Division posted a 3.5% increase in operating profit for the second quarter compared to the corresponding quarter of 1998. Amtech Lighting Services reported a 6.2% revenue increase, but operating profits decreased by 12.0% during the second quarter of 1999 compared to the same quarter of the prior year. The decrease in operating profits was primarily due to increased labor and related costs. CommAir Mechanical Services' (also known as "CommAir Preferred Mechanical Services") revenues increased by 12.4%, resulting primarily from increased business in nearly all of its branches. Operating profits for the second quarter of 1999 more than doubled from the prior year second quarter as a result of lower administrative labor and related costs.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SIX MONTHS ENDED APRIL 30, 1999 VS. SIX MONTHS ENDED APRIL 30, 1998</w:t>
      </w:r>
    </w:p>
    <w:p>
      <w:pPr>
        <w:spacing w:after="0" w:line="201" w:lineRule="exact"/>
        <w:rPr>
          <w:sz w:val="20"/>
          <w:szCs w:val="20"/>
          <w:color w:val="auto"/>
        </w:rPr>
      </w:pPr>
    </w:p>
    <w:p>
      <w:pPr>
        <w:ind w:right="2259" w:firstLine="816"/>
        <w:spacing w:after="0" w:line="244" w:lineRule="auto"/>
        <w:rPr>
          <w:sz w:val="20"/>
          <w:szCs w:val="20"/>
          <w:color w:val="auto"/>
        </w:rPr>
      </w:pPr>
      <w:r>
        <w:rPr>
          <w:rFonts w:ascii="Courier New" w:cs="Courier New" w:eastAsia="Courier New" w:hAnsi="Courier New"/>
          <w:sz w:val="17"/>
          <w:szCs w:val="17"/>
          <w:color w:val="auto"/>
        </w:rPr>
        <w:t>Revenues and other income for the first six months of 1999 were $790.1 million compared to $727.8 million in 1998, an 8.6% increase over the same period of the prior year. Much of this growth was attributable to new business and price increases, as well as acquisitions made during 1998. For the six months ended April 30, 1999, the increase in revenues relating to acquisitions made during 1998 was approximately $7.0 million or 11.2% of the total revenue increase of $62.3 million.</w:t>
      </w:r>
    </w:p>
    <w:p>
      <w:pPr>
        <w:spacing w:after="0" w:line="199" w:lineRule="exact"/>
        <w:rPr>
          <w:sz w:val="20"/>
          <w:szCs w:val="20"/>
          <w:color w:val="auto"/>
        </w:rPr>
      </w:pPr>
    </w:p>
    <w:p>
      <w:pPr>
        <w:ind w:right="2159" w:firstLine="816"/>
        <w:spacing w:after="0" w:line="244" w:lineRule="auto"/>
        <w:rPr>
          <w:sz w:val="20"/>
          <w:szCs w:val="20"/>
          <w:color w:val="auto"/>
        </w:rPr>
      </w:pPr>
      <w:r>
        <w:rPr>
          <w:rFonts w:ascii="Courier New" w:cs="Courier New" w:eastAsia="Courier New" w:hAnsi="Courier New"/>
          <w:sz w:val="17"/>
          <w:szCs w:val="17"/>
          <w:color w:val="auto"/>
        </w:rPr>
        <w:t>As a percentage of revenues, operating expenses and cost of goods sold were 87.3% for the first half of 1999, compared to 87.0% in 1998. Consequently, as a percentage of revenues, the Company's gross profit of 12.7% in the first six months of 1999 was lower than the gross profit of</w:t>
      </w:r>
    </w:p>
    <w:p>
      <w:pPr>
        <w:spacing w:after="0" w:line="200" w:lineRule="exact"/>
        <w:rPr>
          <w:sz w:val="20"/>
          <w:szCs w:val="20"/>
          <w:color w:val="auto"/>
        </w:rPr>
      </w:pPr>
    </w:p>
    <w:p>
      <w:pPr>
        <w:spacing w:after="0" w:line="38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311"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7"/>
          <w:szCs w:val="17"/>
          <w:color w:val="auto"/>
        </w:rPr>
        <w:t>18</w:t>
      </w:r>
    </w:p>
    <w:p>
      <w:pPr>
        <w:spacing w:after="0" w:line="201" w:lineRule="exact"/>
        <w:rPr>
          <w:sz w:val="20"/>
          <w:szCs w:val="20"/>
          <w:color w:val="auto"/>
        </w:rPr>
      </w:pPr>
    </w:p>
    <w:p>
      <w:pPr>
        <w:ind w:right="2059"/>
        <w:spacing w:after="0" w:line="243" w:lineRule="auto"/>
        <w:rPr>
          <w:sz w:val="20"/>
          <w:szCs w:val="20"/>
          <w:color w:val="auto"/>
        </w:rPr>
      </w:pPr>
      <w:r>
        <w:rPr>
          <w:rFonts w:ascii="Courier New" w:cs="Courier New" w:eastAsia="Courier New" w:hAnsi="Courier New"/>
          <w:sz w:val="17"/>
          <w:szCs w:val="17"/>
          <w:color w:val="auto"/>
        </w:rPr>
        <w:t>13.0% for the first six months of 1998. The gross profit percentage declined mostly due to higher labor and related costs. The Company expects these costs to be gradually recovered through price increases.</w:t>
      </w:r>
    </w:p>
    <w:p>
      <w:pPr>
        <w:spacing w:after="0" w:line="200" w:lineRule="exact"/>
        <w:rPr>
          <w:sz w:val="20"/>
          <w:szCs w:val="20"/>
          <w:color w:val="auto"/>
        </w:rPr>
      </w:pPr>
    </w:p>
    <w:p>
      <w:pPr>
        <w:ind w:right="2059" w:firstLine="816"/>
        <w:spacing w:after="0" w:line="261" w:lineRule="auto"/>
        <w:rPr>
          <w:sz w:val="20"/>
          <w:szCs w:val="20"/>
          <w:color w:val="auto"/>
        </w:rPr>
      </w:pPr>
      <w:r>
        <w:rPr>
          <w:rFonts w:ascii="Courier New" w:cs="Courier New" w:eastAsia="Courier New" w:hAnsi="Courier New"/>
          <w:sz w:val="16"/>
          <w:szCs w:val="16"/>
          <w:color w:val="auto"/>
        </w:rPr>
        <w:t>Selling, general and administrative expenses for the first six months of 1999 were $73.4 million compared to $71.0 million for the corresponding six months of 1998. As a percentage of revenues, selling, general and administrative expenses decreased slightly, from 9.8% for the six months ended April 30, 1998, to 9.3% for the same period in 1999, primarily as a result of certain fixed and variable costs not increasing at the same rate as sales. The increase in the dollar amount, of selling, general and administrative expenses, $2.4 million, for the six months ended April 30, 1999, compared to the same period in 1998, is primarily due to expenses related to growth and to a somewhat lesser extent expenses associated with the installation of a new enterprise resource plan.</w:t>
      </w:r>
    </w:p>
    <w:p>
      <w:pPr>
        <w:spacing w:after="0" w:line="187" w:lineRule="exact"/>
        <w:rPr>
          <w:sz w:val="20"/>
          <w:szCs w:val="20"/>
          <w:color w:val="auto"/>
        </w:rPr>
      </w:pPr>
    </w:p>
    <w:p>
      <w:pPr>
        <w:ind w:right="2059" w:firstLine="816"/>
        <w:spacing w:after="0" w:line="244" w:lineRule="auto"/>
        <w:rPr>
          <w:sz w:val="20"/>
          <w:szCs w:val="20"/>
          <w:color w:val="auto"/>
        </w:rPr>
      </w:pPr>
      <w:r>
        <w:rPr>
          <w:rFonts w:ascii="Courier New" w:cs="Courier New" w:eastAsia="Courier New" w:hAnsi="Courier New"/>
          <w:sz w:val="17"/>
          <w:szCs w:val="17"/>
          <w:color w:val="auto"/>
        </w:rPr>
        <w:t>Interest expense was $1,020,000 for the first six months of 1999 compared to $1,839,000 for the same period in 1998, a decrease of $819,000. This decrease was primarily due to lower weighted average borrowings during the first six months of 1999.</w:t>
      </w:r>
    </w:p>
    <w:p>
      <w:pPr>
        <w:spacing w:after="0" w:line="198" w:lineRule="exact"/>
        <w:rPr>
          <w:sz w:val="20"/>
          <w:szCs w:val="20"/>
          <w:color w:val="auto"/>
        </w:rPr>
      </w:pPr>
    </w:p>
    <w:p>
      <w:pPr>
        <w:ind w:right="2159" w:firstLine="816"/>
        <w:spacing w:after="0" w:line="244" w:lineRule="auto"/>
        <w:rPr>
          <w:sz w:val="20"/>
          <w:szCs w:val="20"/>
          <w:color w:val="auto"/>
        </w:rPr>
      </w:pPr>
      <w:r>
        <w:rPr>
          <w:rFonts w:ascii="Courier New" w:cs="Courier New" w:eastAsia="Courier New" w:hAnsi="Courier New"/>
          <w:sz w:val="17"/>
          <w:szCs w:val="17"/>
          <w:color w:val="auto"/>
        </w:rPr>
        <w:t>The pre-tax income for the first six months of 1999 was $26.0 million compared to $21.9 million, an increase of 18.7% over the same period in 1998. The growth in pre-tax income outpaced revenue growth for the first half of 1999 as a result of lower administrative and interest expense.</w:t>
      </w:r>
    </w:p>
    <w:p>
      <w:pPr>
        <w:spacing w:after="0" w:line="198" w:lineRule="exact"/>
        <w:rPr>
          <w:sz w:val="20"/>
          <w:szCs w:val="20"/>
          <w:color w:val="auto"/>
        </w:rPr>
      </w:pPr>
    </w:p>
    <w:p>
      <w:pPr>
        <w:ind w:right="2059" w:firstLine="816"/>
        <w:spacing w:after="0" w:line="244" w:lineRule="auto"/>
        <w:rPr>
          <w:sz w:val="20"/>
          <w:szCs w:val="20"/>
          <w:color w:val="auto"/>
        </w:rPr>
      </w:pPr>
      <w:r>
        <w:rPr>
          <w:rFonts w:ascii="Courier New" w:cs="Courier New" w:eastAsia="Courier New" w:hAnsi="Courier New"/>
          <w:sz w:val="17"/>
          <w:szCs w:val="17"/>
          <w:color w:val="auto"/>
        </w:rPr>
        <w:t>The estimated effective income tax rate for the first six months of 1999 was 41%, compared to 41.5% in the first six months of 1998. The lower tax rate was due for the most part to an increase in various federal and state tax credits.</w:t>
      </w:r>
    </w:p>
    <w:p>
      <w:pPr>
        <w:spacing w:after="0" w:line="198" w:lineRule="exact"/>
        <w:rPr>
          <w:sz w:val="20"/>
          <w:szCs w:val="20"/>
          <w:color w:val="auto"/>
        </w:rPr>
      </w:pPr>
    </w:p>
    <w:p>
      <w:pPr>
        <w:ind w:right="2159" w:firstLine="816"/>
        <w:spacing w:after="0" w:line="244" w:lineRule="auto"/>
        <w:rPr>
          <w:sz w:val="20"/>
          <w:szCs w:val="20"/>
          <w:color w:val="auto"/>
        </w:rPr>
      </w:pPr>
      <w:r>
        <w:rPr>
          <w:rFonts w:ascii="Courier New" w:cs="Courier New" w:eastAsia="Courier New" w:hAnsi="Courier New"/>
          <w:sz w:val="17"/>
          <w:szCs w:val="17"/>
          <w:color w:val="auto"/>
        </w:rPr>
        <w:t>As a result, net income for the first six months of 1999 was $15.3 million an increase of 19.5%, compared to the net income of $12.8 million for the same period of 1998. Diluted net income per common share rose 16.4% to 64 cents for the first six months of 1999 compared to 55 cents for the same period in 1998. The increase in diluted net income per share was not proportional to the increase in net income due to a 3% increase in the average number of common and common equivalent shares outstanding.</w:t>
      </w:r>
    </w:p>
    <w:p>
      <w:pPr>
        <w:spacing w:after="0" w:line="199" w:lineRule="exact"/>
        <w:rPr>
          <w:sz w:val="20"/>
          <w:szCs w:val="20"/>
          <w:color w:val="auto"/>
        </w:rPr>
      </w:pPr>
    </w:p>
    <w:p>
      <w:pPr>
        <w:ind w:right="2059" w:firstLine="816"/>
        <w:spacing w:after="0" w:line="266" w:lineRule="auto"/>
        <w:rPr>
          <w:sz w:val="20"/>
          <w:szCs w:val="20"/>
          <w:color w:val="auto"/>
        </w:rPr>
      </w:pPr>
      <w:r>
        <w:rPr>
          <w:rFonts w:ascii="Courier New" w:cs="Courier New" w:eastAsia="Courier New" w:hAnsi="Courier New"/>
          <w:sz w:val="16"/>
          <w:szCs w:val="16"/>
          <w:color w:val="auto"/>
        </w:rPr>
        <w:t>The results of operations from the Company's three industry segments and its nine operating Divisions for the six months ended April 30, 1999, as compared to the six months ended April 30, 1998, are more fully described below:</w:t>
      </w:r>
    </w:p>
    <w:p>
      <w:pPr>
        <w:spacing w:after="0" w:line="182" w:lineRule="exact"/>
        <w:rPr>
          <w:sz w:val="20"/>
          <w:szCs w:val="20"/>
          <w:color w:val="auto"/>
        </w:rPr>
      </w:pPr>
    </w:p>
    <w:p>
      <w:pPr>
        <w:ind w:right="2059" w:firstLine="816"/>
        <w:spacing w:after="0" w:line="243" w:lineRule="auto"/>
        <w:rPr>
          <w:sz w:val="20"/>
          <w:szCs w:val="20"/>
          <w:color w:val="auto"/>
        </w:rPr>
      </w:pPr>
      <w:r>
        <w:rPr>
          <w:rFonts w:ascii="Courier New" w:cs="Courier New" w:eastAsia="Courier New" w:hAnsi="Courier New"/>
          <w:sz w:val="17"/>
          <w:szCs w:val="17"/>
          <w:color w:val="auto"/>
        </w:rPr>
        <w:t>The Janitorial Divisions segment, which includes the operating Divisions of American Building Maintenance (also known as ABM Janitorial</w:t>
      </w:r>
    </w:p>
    <w:p>
      <w:pPr>
        <w:spacing w:after="0" w:line="200" w:lineRule="exact"/>
        <w:rPr>
          <w:sz w:val="20"/>
          <w:szCs w:val="20"/>
          <w:color w:val="auto"/>
        </w:rPr>
      </w:pPr>
    </w:p>
    <w:p>
      <w:pPr>
        <w:spacing w:after="0" w:line="3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311"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7"/>
          <w:szCs w:val="17"/>
          <w:color w:val="auto"/>
        </w:rPr>
        <w:t>19</w:t>
      </w:r>
    </w:p>
    <w:p>
      <w:pPr>
        <w:spacing w:after="0" w:line="201"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Services) and Easterday Janitorial Supply, reported revenues for the first six months of 1999 of $469.4 million, an increase of approximately $38.7 million, or 9.0% over the same period of 1998. This segment's operating profits increased by 10.6% over the comparable period of 1998. This is the Company's largest segment and accounted for approximately 59% of the Company's total revenues for the current six months. American Building Maintenance's revenues increased by 9.5% during the first six months of 1999, as compared to the same period of 1998, as a result of increased sales, particularly in the Mid-Atlantic, Southeast, Southwest and Texas regions. This Division's operating profits increased 11.0% when compared to the same period last year due to sales growth. Easterday Janitorial Supply's 1999 first six months revenue decreased by approximately 3.8% compared to the same period in 1998 generally due to weak sales in the Portland and San Francisco markets. However, operating profits remained approximately the same compared to 1998 because higher profit margins and vendor rebates offset the effect of lower sales.</w:t>
      </w:r>
    </w:p>
    <w:p>
      <w:pPr>
        <w:spacing w:after="0" w:line="202" w:lineRule="exact"/>
        <w:rPr>
          <w:sz w:val="20"/>
          <w:szCs w:val="20"/>
          <w:color w:val="auto"/>
        </w:rPr>
      </w:pPr>
    </w:p>
    <w:p>
      <w:pPr>
        <w:ind w:right="2059" w:firstLine="816"/>
        <w:spacing w:after="0" w:line="244" w:lineRule="auto"/>
        <w:rPr>
          <w:sz w:val="20"/>
          <w:szCs w:val="20"/>
          <w:color w:val="auto"/>
        </w:rPr>
      </w:pPr>
      <w:r>
        <w:rPr>
          <w:rFonts w:ascii="Courier New" w:cs="Courier New" w:eastAsia="Courier New" w:hAnsi="Courier New"/>
          <w:sz w:val="17"/>
          <w:szCs w:val="17"/>
          <w:color w:val="auto"/>
        </w:rPr>
        <w:t>Revenues of the Public Service Divisions segment, which includes American Commercial Security Services (also known as "ACSS" and "ABM Security Services"), Ampco System Parking, and ABM Facility Services, for the first six months of 1999 were approximately $132.2 million, a 4.5% increase over the same period of 1998. Public Service Divisions accounted for approximately 17% of the Company's revenues. The operating profits of this segment increased 5.5% in the first six months of 1999 due to Ampco System Parking. American Commercial Security Services reported an increase in revenues of 6.0%, but its operating profits were down by 19.0% in the first six months of 1999 compared to the same period of 1998. The revenue increase was largely due to the sale of new business by its Phoenix, New Orleans, Southern California and Texas offices. The decrease in operating profit was primarily due to higher wages driven by low unemployment levels in this Division's major markets, which were not passed on through price increases due to competition. Ampco System Parking Division's revenues increased by 2.1%, while its profits increased 17.0% during the first six months of 1999 compared to the first six months of 1998. The small increase in revenues was mostly due to growth in its California and Texas regions offset by declines in its national airport business. The proportionally higher operating profit increase was due to sales of higher margin management contracts. ABM Facility Services was established in November of 1997 as a result of customer requests to provide services from two or more of its Divisions (the ABM Family of Services) under one management. Because this Division is new and depends primarily on management fees for its income, start up costs exceeded revenues during the current quarter. Management does not expect this Division to be profitable during the current year. Revenues generated by this Division are generally reported by the respective Divisions providing services and contribute to the operating profits of those Divisions.</w:t>
      </w:r>
    </w:p>
    <w:p>
      <w:pPr>
        <w:spacing w:after="0" w:line="200" w:lineRule="exact"/>
        <w:rPr>
          <w:sz w:val="20"/>
          <w:szCs w:val="20"/>
          <w:color w:val="auto"/>
        </w:rPr>
      </w:pPr>
    </w:p>
    <w:p>
      <w:pPr>
        <w:spacing w:after="0" w:line="3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311"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7"/>
          <w:szCs w:val="17"/>
          <w:color w:val="auto"/>
        </w:rPr>
        <w:t>20</w:t>
      </w:r>
    </w:p>
    <w:p>
      <w:pPr>
        <w:spacing w:after="0" w:line="201" w:lineRule="exact"/>
        <w:rPr>
          <w:sz w:val="20"/>
          <w:szCs w:val="20"/>
          <w:color w:val="auto"/>
        </w:rPr>
      </w:pPr>
    </w:p>
    <w:p>
      <w:pPr>
        <w:ind w:right="2059" w:firstLine="816"/>
        <w:spacing w:after="0" w:line="244" w:lineRule="auto"/>
        <w:rPr>
          <w:sz w:val="20"/>
          <w:szCs w:val="20"/>
          <w:color w:val="auto"/>
        </w:rPr>
      </w:pPr>
      <w:r>
        <w:rPr>
          <w:rFonts w:ascii="Courier New" w:cs="Courier New" w:eastAsia="Courier New" w:hAnsi="Courier New"/>
          <w:sz w:val="17"/>
          <w:szCs w:val="17"/>
          <w:color w:val="auto"/>
        </w:rPr>
        <w:t>The Company's Technical Divisions segment includes ABM Engineering Services (also known as Amtech Engineering Services), Amtech Elevator Services, Amtech Lighting Services and CommAir Mechanical Services. This segment reported revenues of $188.0 million, which represent approximately 24% of the Company's revenues for the first six months of 1999. This represents an increase of approximately 10.4% over the same period of last year due to increases in revenues reported by all its Divisions. Operating profit of this segment increased 4.3% compared to the first six months of 1998 due to increases in operating profits of its CommAir Mechanical and Engineering Divisions, offset by decreases in its Elevator and Lighting Divisions. ABM Engineering Services' revenues increased by 18.3% and its operating profits increased 10.2% for the first six months of 1999 compared to the same period in 1998. The large revenue increase was due primarily to new business in Arizona, California and Chicago. The increase in operating profits is due to increased sales offset by lower profit margins. Revenues for Amtech Elevator Services were up by 1.9% for the first six months of 1999 over the same period of 1998. The Division posted a</w:t>
      </w:r>
    </w:p>
    <w:p>
      <w:pPr>
        <w:spacing w:after="0" w:line="7" w:lineRule="exact"/>
        <w:rPr>
          <w:sz w:val="20"/>
          <w:szCs w:val="20"/>
          <w:color w:val="auto"/>
        </w:rPr>
      </w:pPr>
    </w:p>
    <w:p>
      <w:pPr>
        <w:ind w:right="2059"/>
        <w:spacing w:after="0" w:line="259" w:lineRule="auto"/>
        <w:rPr>
          <w:sz w:val="20"/>
          <w:szCs w:val="20"/>
          <w:color w:val="auto"/>
        </w:rPr>
      </w:pPr>
      <w:r>
        <w:rPr>
          <w:rFonts w:ascii="Courier New" w:cs="Courier New" w:eastAsia="Courier New" w:hAnsi="Courier New"/>
          <w:sz w:val="16"/>
          <w:szCs w:val="16"/>
          <w:color w:val="auto"/>
        </w:rPr>
        <w:t>2.5% decrease in operating profit for the first six months of 1999 compared to the corresponding period of 1998. This decrease in profits can be attributed to slightly higher labor and related costs, as well as an increase in liability insurance. Amtech Lighting Services reported a 7.8% revenue increase due to increased sales in most regions. Operating profits decreased by 10.8% during the first six months of 1999 compared to the same period of the prior year primarily due to lower margins as a result of competition and slightly higher selling and administrative labor costs. CommAir Mechanical Services revenues increased by</w:t>
      </w:r>
    </w:p>
    <w:p>
      <w:pPr>
        <w:spacing w:after="0" w:line="5" w:lineRule="exact"/>
        <w:rPr>
          <w:sz w:val="20"/>
          <w:szCs w:val="20"/>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9.5%, resulting from increased business in nearly all of its branches. Operating profits for the first six months of 1999 increased by 131.6% compared to the prior year period as a result of increased sales and lower administrative expenses.</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SAFE HARBOR STATEMENT</w:t>
      </w:r>
    </w:p>
    <w:p>
      <w:pPr>
        <w:spacing w:after="0" w:line="201" w:lineRule="exact"/>
        <w:rPr>
          <w:sz w:val="20"/>
          <w:szCs w:val="20"/>
          <w:color w:val="auto"/>
        </w:rPr>
      </w:pPr>
    </w:p>
    <w:p>
      <w:pPr>
        <w:ind w:right="2059"/>
        <w:spacing w:after="0" w:line="260" w:lineRule="auto"/>
        <w:rPr>
          <w:sz w:val="20"/>
          <w:szCs w:val="20"/>
          <w:color w:val="auto"/>
        </w:rPr>
      </w:pPr>
      <w:r>
        <w:rPr>
          <w:rFonts w:ascii="Courier New" w:cs="Courier New" w:eastAsia="Courier New" w:hAnsi="Courier New"/>
          <w:sz w:val="16"/>
          <w:szCs w:val="16"/>
          <w:color w:val="auto"/>
        </w:rPr>
        <w:t>Cautionary Safe Harbor Disclosure for Forward Looking Statements under the Private Securities Litigation Reform Act of 1995: Because of the factors set forth below, as well as other variables affecting the Company's operating results, past financial performance should not be considered a reliable indicator of future performance and investors should not use historical trends to anticipate results or trends in future periods. The statements contained herein which are not historical facts are forward-looking statements. Statements which use the words "expects," "will," "may," "anticipates," "believes," or "intends" are forward-looking statements that are subject to meaningful risks and uncertainties, including, but not limited to: (1) the widespread failure of commercial real estate occupancy to improve in the Company's major markets since it relates directly to the need for janitorial and other buildings services, (2) the loss or bankruptcy of one or more of the Company's major customers,</w:t>
      </w:r>
    </w:p>
    <w:p>
      <w:pPr>
        <w:spacing w:after="0" w:line="200" w:lineRule="exact"/>
        <w:rPr>
          <w:sz w:val="20"/>
          <w:szCs w:val="20"/>
          <w:color w:val="auto"/>
        </w:rPr>
      </w:pPr>
    </w:p>
    <w:p>
      <w:pPr>
        <w:spacing w:after="0" w:line="386"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311"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7"/>
          <w:szCs w:val="17"/>
          <w:color w:val="auto"/>
        </w:rPr>
        <w:t>21</w:t>
      </w:r>
    </w:p>
    <w:p>
      <w:pPr>
        <w:spacing w:after="0" w:line="201" w:lineRule="exact"/>
        <w:rPr>
          <w:sz w:val="20"/>
          <w:szCs w:val="20"/>
          <w:color w:val="auto"/>
        </w:rPr>
      </w:pPr>
    </w:p>
    <w:p>
      <w:pPr>
        <w:ind w:right="2059"/>
        <w:spacing w:after="0" w:line="260" w:lineRule="auto"/>
        <w:rPr>
          <w:sz w:val="20"/>
          <w:szCs w:val="20"/>
          <w:color w:val="auto"/>
        </w:rPr>
      </w:pPr>
      <w:r>
        <w:rPr>
          <w:rFonts w:ascii="Courier New" w:cs="Courier New" w:eastAsia="Courier New" w:hAnsi="Courier New"/>
          <w:sz w:val="16"/>
          <w:szCs w:val="16"/>
          <w:color w:val="auto"/>
        </w:rPr>
        <w:t>which could adversely affect the Company's ability to collect deferred costs or its accounts receivable, (3) any major labor disruptions that may cause loss of revenue or cost increases that non-union companies can use to their advantage in obtaining market share, (4) the failure of the Company's IT or non-IT systems, or those of its customers or vendors, to be Year 2000 compliant, (5) significant shortfall in achieving any acquisition plan to acquire either businesses in new markets or expand customer base in existing ones, (6) any legislation or other government action that severely impacts one or more of the Company's lines of business, such as price controls that could prevent cost recovery and fuel restrictions that might increase the cost to deliver services, (7) the reduction or revocation of the Company's lines of credit which would increase interest expense or the cost of capital, (8) the cancellation or non-renewal of the Company's primary insurance policies, as many customers retain services based on the provider's ability to provide adequate insurance including performance bonds and proof of adequate insurance, (9) any catastrophic uninsured or underinsured claims against the Company, which also might include insurance companies financially incapable of paying claims, (10) the untimely departure of one or more of the Company's key executives, which could affect retention of customers as well as the day to day management of operations, (11) the inability to recruit and hire entry level personnel due to labor shortages, and (12) other material factors that are disclosed from time-to-time in the Company's public filings with the United States Securities and Exchange Commission, such as reports on Forms 8-K, 10-K and 10-Q.</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3. Qualitative and Quantitative Disclosures about Market Risk</w:t>
      </w:r>
    </w:p>
    <w:p>
      <w:pPr>
        <w:spacing w:after="0" w:line="201" w:lineRule="exact"/>
        <w:rPr>
          <w:sz w:val="20"/>
          <w:szCs w:val="20"/>
          <w:color w:val="auto"/>
        </w:rPr>
      </w:pPr>
    </w:p>
    <w:p>
      <w:pPr>
        <w:jc w:val="both"/>
        <w:ind w:right="2259" w:firstLine="816"/>
        <w:spacing w:after="0" w:line="244" w:lineRule="auto"/>
        <w:rPr>
          <w:sz w:val="20"/>
          <w:szCs w:val="20"/>
          <w:color w:val="auto"/>
        </w:rPr>
      </w:pPr>
      <w:r>
        <w:rPr>
          <w:rFonts w:ascii="Courier New" w:cs="Courier New" w:eastAsia="Courier New" w:hAnsi="Courier New"/>
          <w:sz w:val="17"/>
          <w:szCs w:val="17"/>
          <w:color w:val="auto"/>
        </w:rPr>
        <w:t>The Company does not issue or invest in financial instruments or their derivatives for trading or speculative purposes. The operations of the Company are conducted primarily in the United States, and, as such, are not subject to material foreign currency exchange rate risk. Although the Company has market risk in interest rate exposure in the United States, outstanding debt and the related interest expense is currently not material.</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 II. OTHER INFORMATION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4. Submission of Matters to a Vote of Stockholders.</w:t>
      </w:r>
    </w:p>
    <w:p>
      <w:pPr>
        <w:spacing w:after="0" w:line="200" w:lineRule="exact"/>
        <w:rPr>
          <w:sz w:val="20"/>
          <w:szCs w:val="20"/>
          <w:color w:val="auto"/>
        </w:rPr>
      </w:pPr>
    </w:p>
    <w:p>
      <w:pPr>
        <w:ind w:left="1120" w:hanging="299"/>
        <w:spacing w:after="0"/>
        <w:tabs>
          <w:tab w:leader="none" w:pos="11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Annual Meeting of Stockholders was held on March 16, 1999.</w:t>
      </w:r>
    </w:p>
    <w:p>
      <w:pPr>
        <w:spacing w:after="0" w:line="200" w:lineRule="exact"/>
        <w:rPr>
          <w:rFonts w:ascii="Courier New" w:cs="Courier New" w:eastAsia="Courier New" w:hAnsi="Courier New"/>
          <w:sz w:val="17"/>
          <w:szCs w:val="17"/>
          <w:color w:val="auto"/>
        </w:rPr>
      </w:pPr>
    </w:p>
    <w:p>
      <w:pPr>
        <w:ind w:right="2459" w:firstLine="821"/>
        <w:spacing w:after="0" w:line="243" w:lineRule="auto"/>
        <w:tabs>
          <w:tab w:leader="none" w:pos="1122"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directors nominated by management were elected by a vote of stockholders: Maryellen B. Cattani, Esq., John F. Egan, Charles T. Horngren.</w:t>
      </w:r>
    </w:p>
    <w:p>
      <w:pPr>
        <w:spacing w:after="0" w:line="200" w:lineRule="exact"/>
        <w:rPr>
          <w:sz w:val="20"/>
          <w:szCs w:val="20"/>
          <w:color w:val="auto"/>
        </w:rPr>
      </w:pPr>
    </w:p>
    <w:p>
      <w:pPr>
        <w:spacing w:after="0" w:line="391"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311"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7"/>
          <w:szCs w:val="17"/>
          <w:color w:val="auto"/>
        </w:rPr>
        <w:t>22</w:t>
      </w:r>
    </w:p>
    <w:p>
      <w:pPr>
        <w:spacing w:after="0" w:line="201" w:lineRule="exact"/>
        <w:rPr>
          <w:sz w:val="20"/>
          <w:szCs w:val="20"/>
          <w:color w:val="auto"/>
        </w:rPr>
      </w:pPr>
    </w:p>
    <w:p>
      <w:pPr>
        <w:jc w:val="both"/>
        <w:ind w:right="2259"/>
        <w:spacing w:after="0" w:line="243" w:lineRule="auto"/>
        <w:rPr>
          <w:sz w:val="20"/>
          <w:szCs w:val="20"/>
          <w:color w:val="auto"/>
        </w:rPr>
      </w:pPr>
      <w:r>
        <w:rPr>
          <w:rFonts w:ascii="Courier New" w:cs="Courier New" w:eastAsia="Courier New" w:hAnsi="Courier New"/>
          <w:sz w:val="17"/>
          <w:szCs w:val="17"/>
          <w:color w:val="auto"/>
        </w:rPr>
        <w:t>The following directors remained in office: Linda Chavez, Luke S. Helms, Henry L. Kotkins, Jr., Martinn H. Mandles, Theodore Rosenberg, William W. Steele and William E. Walsh</w:t>
      </w:r>
    </w:p>
    <w:p>
      <w:pPr>
        <w:spacing w:after="0" w:line="395"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c) Proposal 1 - Election of Directors</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0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480" w:type="dxa"/>
            <w:vAlign w:val="bottom"/>
          </w:tcPr>
          <w:p>
            <w:pPr>
              <w:ind w:left="360"/>
              <w:spacing w:after="0"/>
              <w:rPr>
                <w:sz w:val="20"/>
                <w:szCs w:val="20"/>
                <w:color w:val="auto"/>
              </w:rPr>
            </w:pPr>
            <w:r>
              <w:rPr>
                <w:rFonts w:ascii="Courier New" w:cs="Courier New" w:eastAsia="Courier New" w:hAnsi="Courier New"/>
                <w:sz w:val="17"/>
                <w:szCs w:val="17"/>
                <w:color w:val="auto"/>
              </w:rPr>
              <w:t>Against</w:t>
            </w:r>
          </w:p>
        </w:tc>
        <w:tc>
          <w:tcPr>
            <w:tcW w:w="18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6"/>
        </w:trPr>
        <w:tc>
          <w:tcPr>
            <w:tcW w:w="30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7"/>
                <w:szCs w:val="17"/>
                <w:color w:val="auto"/>
                <w:w w:val="97"/>
              </w:rPr>
              <w:t>or</w:t>
            </w:r>
          </w:p>
        </w:tc>
        <w:tc>
          <w:tcPr>
            <w:tcW w:w="1800" w:type="dxa"/>
            <w:vAlign w:val="bottom"/>
          </w:tcPr>
          <w:p>
            <w:pPr>
              <w:spacing w:after="0"/>
              <w:rPr>
                <w:sz w:val="17"/>
                <w:szCs w:val="17"/>
                <w:color w:val="auto"/>
              </w:rPr>
            </w:pPr>
          </w:p>
        </w:tc>
        <w:tc>
          <w:tcPr>
            <w:tcW w:w="11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Broker</w:t>
            </w:r>
          </w:p>
        </w:tc>
      </w:tr>
      <w:tr>
        <w:trPr>
          <w:trHeight w:val="196"/>
        </w:trPr>
        <w:tc>
          <w:tcPr>
            <w:tcW w:w="3020" w:type="dxa"/>
            <w:vAlign w:val="bottom"/>
          </w:tcPr>
          <w:p>
            <w:pPr>
              <w:spacing w:after="0"/>
              <w:rPr>
                <w:sz w:val="20"/>
                <w:szCs w:val="20"/>
                <w:color w:val="auto"/>
              </w:rPr>
            </w:pPr>
            <w:r>
              <w:rPr>
                <w:rFonts w:ascii="Courier New" w:cs="Courier New" w:eastAsia="Courier New" w:hAnsi="Courier New"/>
                <w:sz w:val="17"/>
                <w:szCs w:val="17"/>
                <w:color w:val="auto"/>
              </w:rPr>
              <w:t>Nominee:</w:t>
            </w:r>
          </w:p>
        </w:tc>
        <w:tc>
          <w:tcPr>
            <w:tcW w:w="1720" w:type="dxa"/>
            <w:vAlign w:val="bottom"/>
          </w:tcPr>
          <w:p>
            <w:pPr>
              <w:jc w:val="right"/>
              <w:ind w:right="575"/>
              <w:spacing w:after="0"/>
              <w:rPr>
                <w:sz w:val="20"/>
                <w:szCs w:val="20"/>
                <w:color w:val="auto"/>
              </w:rPr>
            </w:pPr>
            <w:r>
              <w:rPr>
                <w:rFonts w:ascii="Courier New" w:cs="Courier New" w:eastAsia="Courier New" w:hAnsi="Courier New"/>
                <w:sz w:val="17"/>
                <w:szCs w:val="17"/>
                <w:color w:val="auto"/>
              </w:rPr>
              <w:t>For</w:t>
            </w:r>
          </w:p>
        </w:tc>
        <w:tc>
          <w:tcPr>
            <w:tcW w:w="1480" w:type="dxa"/>
            <w:vAlign w:val="bottom"/>
          </w:tcPr>
          <w:p>
            <w:pPr>
              <w:jc w:val="center"/>
              <w:spacing w:after="0"/>
              <w:rPr>
                <w:sz w:val="20"/>
                <w:szCs w:val="20"/>
                <w:color w:val="auto"/>
              </w:rPr>
            </w:pPr>
            <w:r>
              <w:rPr>
                <w:rFonts w:ascii="Courier New" w:cs="Courier New" w:eastAsia="Courier New" w:hAnsi="Courier New"/>
                <w:sz w:val="17"/>
                <w:szCs w:val="17"/>
                <w:color w:val="auto"/>
              </w:rPr>
              <w:t>Withheld</w:t>
            </w:r>
          </w:p>
        </w:tc>
        <w:tc>
          <w:tcPr>
            <w:tcW w:w="1800" w:type="dxa"/>
            <w:vAlign w:val="bottom"/>
          </w:tcPr>
          <w:p>
            <w:pPr>
              <w:jc w:val="center"/>
              <w:spacing w:after="0"/>
              <w:rPr>
                <w:sz w:val="20"/>
                <w:szCs w:val="20"/>
                <w:color w:val="auto"/>
              </w:rPr>
            </w:pPr>
            <w:r>
              <w:rPr>
                <w:rFonts w:ascii="Courier New" w:cs="Courier New" w:eastAsia="Courier New" w:hAnsi="Courier New"/>
                <w:sz w:val="17"/>
                <w:szCs w:val="17"/>
                <w:color w:val="auto"/>
                <w:w w:val="99"/>
              </w:rPr>
              <w:t>Abstentions</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Nonvotes</w:t>
            </w:r>
          </w:p>
        </w:tc>
      </w:tr>
      <w:tr>
        <w:trPr>
          <w:trHeight w:val="392"/>
        </w:trPr>
        <w:tc>
          <w:tcPr>
            <w:tcW w:w="3020" w:type="dxa"/>
            <w:vAlign w:val="bottom"/>
          </w:tcPr>
          <w:p>
            <w:pPr>
              <w:spacing w:after="0"/>
              <w:rPr>
                <w:sz w:val="20"/>
                <w:szCs w:val="20"/>
                <w:color w:val="auto"/>
              </w:rPr>
            </w:pPr>
            <w:r>
              <w:rPr>
                <w:rFonts w:ascii="Courier New" w:cs="Courier New" w:eastAsia="Courier New" w:hAnsi="Courier New"/>
                <w:sz w:val="17"/>
                <w:szCs w:val="17"/>
                <w:color w:val="auto"/>
              </w:rPr>
              <w:t>Maryellen B. Cattani, Esq.</w:t>
            </w:r>
          </w:p>
        </w:tc>
        <w:tc>
          <w:tcPr>
            <w:tcW w:w="17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18,044,345</w:t>
            </w:r>
          </w:p>
        </w:tc>
        <w:tc>
          <w:tcPr>
            <w:tcW w:w="1480" w:type="dxa"/>
            <w:vAlign w:val="bottom"/>
          </w:tcPr>
          <w:p>
            <w:pPr>
              <w:jc w:val="center"/>
              <w:spacing w:after="0"/>
              <w:rPr>
                <w:sz w:val="20"/>
                <w:szCs w:val="20"/>
                <w:color w:val="auto"/>
              </w:rPr>
            </w:pPr>
            <w:r>
              <w:rPr>
                <w:rFonts w:ascii="Courier New" w:cs="Courier New" w:eastAsia="Courier New" w:hAnsi="Courier New"/>
                <w:sz w:val="17"/>
                <w:szCs w:val="17"/>
                <w:color w:val="auto"/>
              </w:rPr>
              <w:t>78,980</w:t>
            </w:r>
          </w:p>
        </w:tc>
        <w:tc>
          <w:tcPr>
            <w:tcW w:w="1800" w:type="dxa"/>
            <w:vAlign w:val="bottom"/>
          </w:tcPr>
          <w:p>
            <w:pPr>
              <w:jc w:val="center"/>
              <w:spacing w:after="0"/>
              <w:rPr>
                <w:sz w:val="20"/>
                <w:szCs w:val="20"/>
                <w:color w:val="auto"/>
              </w:rPr>
            </w:pPr>
            <w:r>
              <w:rPr>
                <w:rFonts w:ascii="Courier New" w:cs="Courier New" w:eastAsia="Courier New" w:hAnsi="Courier New"/>
                <w:sz w:val="17"/>
                <w:szCs w:val="17"/>
                <w:color w:val="auto"/>
                <w:w w:val="97"/>
              </w:rPr>
              <w:t>0</w:t>
            </w:r>
          </w:p>
        </w:tc>
        <w:tc>
          <w:tcPr>
            <w:tcW w:w="11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0</w:t>
            </w:r>
          </w:p>
        </w:tc>
      </w:tr>
      <w:tr>
        <w:trPr>
          <w:trHeight w:val="196"/>
        </w:trPr>
        <w:tc>
          <w:tcPr>
            <w:tcW w:w="3020" w:type="dxa"/>
            <w:vAlign w:val="bottom"/>
          </w:tcPr>
          <w:p>
            <w:pPr>
              <w:spacing w:after="0"/>
              <w:rPr>
                <w:sz w:val="20"/>
                <w:szCs w:val="20"/>
                <w:color w:val="auto"/>
              </w:rPr>
            </w:pPr>
            <w:r>
              <w:rPr>
                <w:rFonts w:ascii="Courier New" w:cs="Courier New" w:eastAsia="Courier New" w:hAnsi="Courier New"/>
                <w:sz w:val="17"/>
                <w:szCs w:val="17"/>
                <w:color w:val="auto"/>
              </w:rPr>
              <w:t>John F. Egan.</w:t>
            </w:r>
          </w:p>
        </w:tc>
        <w:tc>
          <w:tcPr>
            <w:tcW w:w="17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18,032,706</w:t>
            </w:r>
          </w:p>
        </w:tc>
        <w:tc>
          <w:tcPr>
            <w:tcW w:w="1480" w:type="dxa"/>
            <w:vAlign w:val="bottom"/>
          </w:tcPr>
          <w:p>
            <w:pPr>
              <w:jc w:val="center"/>
              <w:spacing w:after="0"/>
              <w:rPr>
                <w:sz w:val="20"/>
                <w:szCs w:val="20"/>
                <w:color w:val="auto"/>
              </w:rPr>
            </w:pPr>
            <w:r>
              <w:rPr>
                <w:rFonts w:ascii="Courier New" w:cs="Courier New" w:eastAsia="Courier New" w:hAnsi="Courier New"/>
                <w:sz w:val="17"/>
                <w:szCs w:val="17"/>
                <w:color w:val="auto"/>
              </w:rPr>
              <w:t>90,619</w:t>
            </w:r>
          </w:p>
        </w:tc>
        <w:tc>
          <w:tcPr>
            <w:tcW w:w="1800" w:type="dxa"/>
            <w:vAlign w:val="bottom"/>
          </w:tcPr>
          <w:p>
            <w:pPr>
              <w:jc w:val="center"/>
              <w:spacing w:after="0"/>
              <w:rPr>
                <w:sz w:val="20"/>
                <w:szCs w:val="20"/>
                <w:color w:val="auto"/>
              </w:rPr>
            </w:pPr>
            <w:r>
              <w:rPr>
                <w:rFonts w:ascii="Courier New" w:cs="Courier New" w:eastAsia="Courier New" w:hAnsi="Courier New"/>
                <w:sz w:val="17"/>
                <w:szCs w:val="17"/>
                <w:color w:val="auto"/>
                <w:w w:val="97"/>
              </w:rPr>
              <w:t>0</w:t>
            </w:r>
          </w:p>
        </w:tc>
        <w:tc>
          <w:tcPr>
            <w:tcW w:w="11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0</w:t>
            </w:r>
          </w:p>
        </w:tc>
      </w:tr>
      <w:tr>
        <w:trPr>
          <w:trHeight w:val="196"/>
        </w:trPr>
        <w:tc>
          <w:tcPr>
            <w:tcW w:w="3020" w:type="dxa"/>
            <w:vAlign w:val="bottom"/>
          </w:tcPr>
          <w:p>
            <w:pPr>
              <w:spacing w:after="0"/>
              <w:rPr>
                <w:sz w:val="20"/>
                <w:szCs w:val="20"/>
                <w:color w:val="auto"/>
              </w:rPr>
            </w:pPr>
            <w:r>
              <w:rPr>
                <w:rFonts w:ascii="Courier New" w:cs="Courier New" w:eastAsia="Courier New" w:hAnsi="Courier New"/>
                <w:sz w:val="17"/>
                <w:szCs w:val="17"/>
                <w:color w:val="auto"/>
              </w:rPr>
              <w:t>Charles T. Horngren</w:t>
            </w:r>
          </w:p>
        </w:tc>
        <w:tc>
          <w:tcPr>
            <w:tcW w:w="1720" w:type="dxa"/>
            <w:vAlign w:val="bottom"/>
          </w:tcPr>
          <w:p>
            <w:pPr>
              <w:jc w:val="right"/>
              <w:ind w:right="255"/>
              <w:spacing w:after="0"/>
              <w:rPr>
                <w:sz w:val="20"/>
                <w:szCs w:val="20"/>
                <w:color w:val="auto"/>
              </w:rPr>
            </w:pPr>
            <w:r>
              <w:rPr>
                <w:rFonts w:ascii="Courier New" w:cs="Courier New" w:eastAsia="Courier New" w:hAnsi="Courier New"/>
                <w:sz w:val="17"/>
                <w:szCs w:val="17"/>
                <w:color w:val="auto"/>
              </w:rPr>
              <w:t>18,037,076</w:t>
            </w:r>
          </w:p>
        </w:tc>
        <w:tc>
          <w:tcPr>
            <w:tcW w:w="1480" w:type="dxa"/>
            <w:vAlign w:val="bottom"/>
          </w:tcPr>
          <w:p>
            <w:pPr>
              <w:jc w:val="center"/>
              <w:spacing w:after="0"/>
              <w:rPr>
                <w:sz w:val="20"/>
                <w:szCs w:val="20"/>
                <w:color w:val="auto"/>
              </w:rPr>
            </w:pPr>
            <w:r>
              <w:rPr>
                <w:rFonts w:ascii="Courier New" w:cs="Courier New" w:eastAsia="Courier New" w:hAnsi="Courier New"/>
                <w:sz w:val="17"/>
                <w:szCs w:val="17"/>
                <w:color w:val="auto"/>
              </w:rPr>
              <w:t>86,249</w:t>
            </w:r>
          </w:p>
        </w:tc>
        <w:tc>
          <w:tcPr>
            <w:tcW w:w="1800" w:type="dxa"/>
            <w:vAlign w:val="bottom"/>
          </w:tcPr>
          <w:p>
            <w:pPr>
              <w:jc w:val="center"/>
              <w:spacing w:after="0"/>
              <w:rPr>
                <w:sz w:val="20"/>
                <w:szCs w:val="20"/>
                <w:color w:val="auto"/>
              </w:rPr>
            </w:pPr>
            <w:r>
              <w:rPr>
                <w:rFonts w:ascii="Courier New" w:cs="Courier New" w:eastAsia="Courier New" w:hAnsi="Courier New"/>
                <w:sz w:val="17"/>
                <w:szCs w:val="17"/>
                <w:color w:val="auto"/>
                <w:w w:val="97"/>
              </w:rPr>
              <w:t>0</w:t>
            </w:r>
          </w:p>
        </w:tc>
        <w:tc>
          <w:tcPr>
            <w:tcW w:w="11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0</w:t>
            </w:r>
          </w:p>
        </w:tc>
      </w:tr>
    </w:tbl>
    <w:p>
      <w:pPr>
        <w:spacing w:after="0" w:line="200" w:lineRule="exact"/>
        <w:rPr>
          <w:sz w:val="20"/>
          <w:szCs w:val="20"/>
          <w:color w:val="auto"/>
        </w:rPr>
      </w:pPr>
    </w:p>
    <w:p>
      <w:pPr>
        <w:spacing w:after="0" w:line="393" w:lineRule="exact"/>
        <w:rPr>
          <w:sz w:val="20"/>
          <w:szCs w:val="20"/>
          <w:color w:val="auto"/>
        </w:rPr>
      </w:pPr>
    </w:p>
    <w:p>
      <w:pPr>
        <w:ind w:right="2059" w:firstLine="821"/>
        <w:spacing w:after="0" w:line="244" w:lineRule="auto"/>
        <w:tabs>
          <w:tab w:leader="none" w:pos="1122"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Proposal 2 - Approval of an amendment to the Company's Certificate of Incorporation to increase the number of shares of Common Stock, par value $.01 per share, that the Company shall have authority to issue from 28,000,000 to 100,000,000.</w:t>
      </w:r>
    </w:p>
    <w:p>
      <w:pPr>
        <w:spacing w:after="0" w:line="200" w:lineRule="exact"/>
        <w:rPr>
          <w:sz w:val="20"/>
          <w:szCs w:val="20"/>
          <w:color w:val="auto"/>
        </w:rPr>
      </w:pPr>
    </w:p>
    <w:p>
      <w:pPr>
        <w:spacing w:after="0" w:line="389"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1580" w:type="dxa"/>
            <w:vAlign w:val="bottom"/>
          </w:tcPr>
          <w:p>
            <w:pPr>
              <w:spacing w:after="0"/>
              <w:rPr>
                <w:sz w:val="16"/>
                <w:szCs w:val="16"/>
                <w:color w:val="auto"/>
              </w:rPr>
            </w:pPr>
          </w:p>
        </w:tc>
        <w:tc>
          <w:tcPr>
            <w:tcW w:w="198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Against</w:t>
            </w:r>
          </w:p>
        </w:tc>
        <w:tc>
          <w:tcPr>
            <w:tcW w:w="20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96"/>
        </w:trPr>
        <w:tc>
          <w:tcPr>
            <w:tcW w:w="1580" w:type="dxa"/>
            <w:vAlign w:val="bottom"/>
          </w:tcPr>
          <w:p>
            <w:pPr>
              <w:spacing w:after="0"/>
              <w:rPr>
                <w:sz w:val="17"/>
                <w:szCs w:val="17"/>
                <w:color w:val="auto"/>
              </w:rPr>
            </w:pPr>
          </w:p>
        </w:tc>
        <w:tc>
          <w:tcPr>
            <w:tcW w:w="1980" w:type="dxa"/>
            <w:vAlign w:val="bottom"/>
          </w:tcPr>
          <w:p>
            <w:pPr>
              <w:jc w:val="right"/>
              <w:ind w:right="735"/>
              <w:spacing w:after="0"/>
              <w:rPr>
                <w:sz w:val="20"/>
                <w:szCs w:val="20"/>
                <w:color w:val="auto"/>
              </w:rPr>
            </w:pPr>
            <w:r>
              <w:rPr>
                <w:rFonts w:ascii="Courier New" w:cs="Courier New" w:eastAsia="Courier New" w:hAnsi="Courier New"/>
                <w:sz w:val="17"/>
                <w:szCs w:val="17"/>
                <w:color w:val="auto"/>
              </w:rPr>
              <w:t>or</w:t>
            </w:r>
          </w:p>
        </w:tc>
        <w:tc>
          <w:tcPr>
            <w:tcW w:w="2040" w:type="dxa"/>
            <w:vAlign w:val="bottom"/>
          </w:tcPr>
          <w:p>
            <w:pPr>
              <w:spacing w:after="0"/>
              <w:rPr>
                <w:sz w:val="17"/>
                <w:szCs w:val="17"/>
                <w:color w:val="auto"/>
              </w:rPr>
            </w:pPr>
          </w:p>
        </w:tc>
        <w:tc>
          <w:tcPr>
            <w:tcW w:w="1220" w:type="dxa"/>
            <w:vAlign w:val="bottom"/>
          </w:tcPr>
          <w:p>
            <w:pPr>
              <w:jc w:val="center"/>
              <w:ind w:left="335"/>
              <w:spacing w:after="0"/>
              <w:rPr>
                <w:sz w:val="20"/>
                <w:szCs w:val="20"/>
                <w:color w:val="auto"/>
              </w:rPr>
            </w:pPr>
            <w:r>
              <w:rPr>
                <w:rFonts w:ascii="Courier New" w:cs="Courier New" w:eastAsia="Courier New" w:hAnsi="Courier New"/>
                <w:sz w:val="17"/>
                <w:szCs w:val="17"/>
                <w:color w:val="auto"/>
                <w:w w:val="97"/>
              </w:rPr>
              <w:t>Broker</w:t>
            </w:r>
          </w:p>
        </w:tc>
      </w:tr>
      <w:tr>
        <w:trPr>
          <w:trHeight w:val="196"/>
        </w:trPr>
        <w:tc>
          <w:tcPr>
            <w:tcW w:w="1580" w:type="dxa"/>
            <w:vAlign w:val="bottom"/>
          </w:tcPr>
          <w:p>
            <w:pPr>
              <w:jc w:val="right"/>
              <w:ind w:right="895"/>
              <w:spacing w:after="0"/>
              <w:rPr>
                <w:sz w:val="20"/>
                <w:szCs w:val="20"/>
                <w:color w:val="auto"/>
              </w:rPr>
            </w:pPr>
            <w:r>
              <w:rPr>
                <w:rFonts w:ascii="Courier New" w:cs="Courier New" w:eastAsia="Courier New" w:hAnsi="Courier New"/>
                <w:sz w:val="17"/>
                <w:szCs w:val="17"/>
                <w:color w:val="auto"/>
              </w:rPr>
              <w:t>For</w:t>
            </w:r>
          </w:p>
        </w:tc>
        <w:tc>
          <w:tcPr>
            <w:tcW w:w="198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Withheld</w:t>
            </w:r>
          </w:p>
        </w:tc>
        <w:tc>
          <w:tcPr>
            <w:tcW w:w="204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Abstentions</w:t>
            </w:r>
          </w:p>
        </w:tc>
        <w:tc>
          <w:tcPr>
            <w:tcW w:w="1220" w:type="dxa"/>
            <w:vAlign w:val="bottom"/>
          </w:tcPr>
          <w:p>
            <w:pPr>
              <w:jc w:val="center"/>
              <w:ind w:left="335"/>
              <w:spacing w:after="0"/>
              <w:rPr>
                <w:sz w:val="20"/>
                <w:szCs w:val="20"/>
                <w:color w:val="auto"/>
              </w:rPr>
            </w:pPr>
            <w:r>
              <w:rPr>
                <w:rFonts w:ascii="Courier New" w:cs="Courier New" w:eastAsia="Courier New" w:hAnsi="Courier New"/>
                <w:sz w:val="17"/>
                <w:szCs w:val="17"/>
                <w:color w:val="auto"/>
                <w:w w:val="97"/>
              </w:rPr>
              <w:t>Nonvotes</w:t>
            </w:r>
          </w:p>
        </w:tc>
      </w:tr>
      <w:tr>
        <w:trPr>
          <w:trHeight w:val="392"/>
        </w:trPr>
        <w:tc>
          <w:tcPr>
            <w:tcW w:w="1580" w:type="dxa"/>
            <w:vAlign w:val="bottom"/>
          </w:tcPr>
          <w:p>
            <w:pPr>
              <w:jc w:val="right"/>
              <w:ind w:right="475"/>
              <w:spacing w:after="0"/>
              <w:rPr>
                <w:sz w:val="20"/>
                <w:szCs w:val="20"/>
                <w:color w:val="auto"/>
              </w:rPr>
            </w:pPr>
            <w:r>
              <w:rPr>
                <w:rFonts w:ascii="Courier New" w:cs="Courier New" w:eastAsia="Courier New" w:hAnsi="Courier New"/>
                <w:sz w:val="17"/>
                <w:szCs w:val="17"/>
                <w:color w:val="auto"/>
                <w:w w:val="97"/>
              </w:rPr>
              <w:t>14,341,704</w:t>
            </w:r>
          </w:p>
        </w:tc>
        <w:tc>
          <w:tcPr>
            <w:tcW w:w="198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3,720,565</w:t>
            </w:r>
          </w:p>
        </w:tc>
        <w:tc>
          <w:tcPr>
            <w:tcW w:w="204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61,056</w:t>
            </w:r>
          </w:p>
        </w:tc>
        <w:tc>
          <w:tcPr>
            <w:tcW w:w="122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0</w:t>
            </w:r>
          </w:p>
        </w:tc>
      </w:tr>
    </w:tbl>
    <w:p>
      <w:pPr>
        <w:spacing w:after="0" w:line="200" w:lineRule="exact"/>
        <w:rPr>
          <w:sz w:val="20"/>
          <w:szCs w:val="20"/>
          <w:color w:val="auto"/>
        </w:rPr>
      </w:pPr>
    </w:p>
    <w:p>
      <w:pPr>
        <w:spacing w:after="0" w:line="393" w:lineRule="exact"/>
        <w:rPr>
          <w:sz w:val="20"/>
          <w:szCs w:val="20"/>
          <w:color w:val="auto"/>
        </w:rPr>
      </w:pPr>
    </w:p>
    <w:p>
      <w:pPr>
        <w:ind w:right="2059" w:firstLine="821"/>
        <w:spacing w:after="0" w:line="243" w:lineRule="auto"/>
        <w:tabs>
          <w:tab w:leader="none" w:pos="1122"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Proposal 3 - Approval of an amendment to the Company's Employee Stock Purchase Plan adopted in 1985, to increase the number of shares authorized for issuance thereunder by 1,200,000 shares.</w:t>
      </w:r>
    </w:p>
    <w:p>
      <w:pPr>
        <w:spacing w:after="0" w:line="200" w:lineRule="exact"/>
        <w:rPr>
          <w:sz w:val="20"/>
          <w:szCs w:val="20"/>
          <w:color w:val="auto"/>
        </w:rPr>
      </w:pPr>
    </w:p>
    <w:p>
      <w:pPr>
        <w:spacing w:after="0" w:line="391" w:lineRule="exact"/>
        <w:rPr>
          <w:sz w:val="20"/>
          <w:szCs w:val="20"/>
          <w:color w:val="auto"/>
        </w:rPr>
      </w:pPr>
    </w:p>
    <w:tbl>
      <w:tblPr>
        <w:tblLayout w:type="fixed"/>
        <w:tblInd w:w="1440" w:type="dxa"/>
        <w:tblCellMar>
          <w:top w:w="0" w:type="dxa"/>
          <w:left w:w="0" w:type="dxa"/>
          <w:bottom w:w="0" w:type="dxa"/>
          <w:right w:w="0" w:type="dxa"/>
        </w:tblCellMar>
      </w:tblPr>
      <w:tr>
        <w:trPr>
          <w:trHeight w:val="193"/>
        </w:trPr>
        <w:tc>
          <w:tcPr>
            <w:tcW w:w="1520" w:type="dxa"/>
            <w:vAlign w:val="bottom"/>
          </w:tcPr>
          <w:p>
            <w:pPr>
              <w:spacing w:after="0"/>
              <w:rPr>
                <w:sz w:val="16"/>
                <w:szCs w:val="16"/>
                <w:color w:val="auto"/>
              </w:rPr>
            </w:pPr>
          </w:p>
        </w:tc>
        <w:tc>
          <w:tcPr>
            <w:tcW w:w="2000" w:type="dxa"/>
            <w:vAlign w:val="bottom"/>
          </w:tcPr>
          <w:p>
            <w:pPr>
              <w:jc w:val="right"/>
              <w:ind w:right="595"/>
              <w:spacing w:after="0"/>
              <w:rPr>
                <w:sz w:val="20"/>
                <w:szCs w:val="20"/>
                <w:color w:val="auto"/>
              </w:rPr>
            </w:pPr>
            <w:r>
              <w:rPr>
                <w:rFonts w:ascii="Courier New" w:cs="Courier New" w:eastAsia="Courier New" w:hAnsi="Courier New"/>
                <w:sz w:val="17"/>
                <w:szCs w:val="17"/>
                <w:color w:val="auto"/>
              </w:rPr>
              <w:t>Against</w:t>
            </w:r>
          </w:p>
        </w:tc>
        <w:tc>
          <w:tcPr>
            <w:tcW w:w="208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6"/>
        </w:trPr>
        <w:tc>
          <w:tcPr>
            <w:tcW w:w="1520" w:type="dxa"/>
            <w:vAlign w:val="bottom"/>
          </w:tcPr>
          <w:p>
            <w:pPr>
              <w:spacing w:after="0"/>
              <w:rPr>
                <w:sz w:val="17"/>
                <w:szCs w:val="17"/>
                <w:color w:val="auto"/>
              </w:rPr>
            </w:pPr>
          </w:p>
        </w:tc>
        <w:tc>
          <w:tcPr>
            <w:tcW w:w="2000" w:type="dxa"/>
            <w:vAlign w:val="bottom"/>
          </w:tcPr>
          <w:p>
            <w:pPr>
              <w:jc w:val="right"/>
              <w:ind w:right="795"/>
              <w:spacing w:after="0"/>
              <w:rPr>
                <w:sz w:val="20"/>
                <w:szCs w:val="20"/>
                <w:color w:val="auto"/>
              </w:rPr>
            </w:pPr>
            <w:r>
              <w:rPr>
                <w:rFonts w:ascii="Courier New" w:cs="Courier New" w:eastAsia="Courier New" w:hAnsi="Courier New"/>
                <w:sz w:val="17"/>
                <w:szCs w:val="17"/>
                <w:color w:val="auto"/>
              </w:rPr>
              <w:t>or</w:t>
            </w:r>
          </w:p>
        </w:tc>
        <w:tc>
          <w:tcPr>
            <w:tcW w:w="2080" w:type="dxa"/>
            <w:vAlign w:val="bottom"/>
          </w:tcPr>
          <w:p>
            <w:pPr>
              <w:spacing w:after="0"/>
              <w:rPr>
                <w:sz w:val="17"/>
                <w:szCs w:val="17"/>
                <w:color w:val="auto"/>
              </w:rPr>
            </w:pPr>
          </w:p>
        </w:tc>
        <w:tc>
          <w:tcPr>
            <w:tcW w:w="1340" w:type="dxa"/>
            <w:vAlign w:val="bottom"/>
          </w:tcPr>
          <w:p>
            <w:pPr>
              <w:jc w:val="right"/>
              <w:ind w:right="35"/>
              <w:spacing w:after="0"/>
              <w:rPr>
                <w:sz w:val="20"/>
                <w:szCs w:val="20"/>
                <w:color w:val="auto"/>
              </w:rPr>
            </w:pPr>
            <w:r>
              <w:rPr>
                <w:rFonts w:ascii="Courier New" w:cs="Courier New" w:eastAsia="Courier New" w:hAnsi="Courier New"/>
                <w:sz w:val="17"/>
                <w:szCs w:val="17"/>
                <w:color w:val="auto"/>
              </w:rPr>
              <w:t>Broker</w:t>
            </w:r>
          </w:p>
        </w:tc>
      </w:tr>
      <w:tr>
        <w:trPr>
          <w:trHeight w:val="196"/>
        </w:trPr>
        <w:tc>
          <w:tcPr>
            <w:tcW w:w="1520" w:type="dxa"/>
            <w:vAlign w:val="bottom"/>
          </w:tcPr>
          <w:p>
            <w:pPr>
              <w:jc w:val="right"/>
              <w:ind w:right="835"/>
              <w:spacing w:after="0"/>
              <w:rPr>
                <w:sz w:val="20"/>
                <w:szCs w:val="20"/>
                <w:color w:val="auto"/>
              </w:rPr>
            </w:pPr>
            <w:r>
              <w:rPr>
                <w:rFonts w:ascii="Courier New" w:cs="Courier New" w:eastAsia="Courier New" w:hAnsi="Courier New"/>
                <w:sz w:val="17"/>
                <w:szCs w:val="17"/>
                <w:color w:val="auto"/>
              </w:rPr>
              <w:t>For</w:t>
            </w:r>
          </w:p>
        </w:tc>
        <w:tc>
          <w:tcPr>
            <w:tcW w:w="200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Withheld</w:t>
            </w:r>
          </w:p>
        </w:tc>
        <w:tc>
          <w:tcPr>
            <w:tcW w:w="2080" w:type="dxa"/>
            <w:vAlign w:val="bottom"/>
          </w:tcPr>
          <w:p>
            <w:pPr>
              <w:jc w:val="center"/>
              <w:ind w:left="75"/>
              <w:spacing w:after="0"/>
              <w:rPr>
                <w:sz w:val="20"/>
                <w:szCs w:val="20"/>
                <w:color w:val="auto"/>
              </w:rPr>
            </w:pPr>
            <w:r>
              <w:rPr>
                <w:rFonts w:ascii="Courier New" w:cs="Courier New" w:eastAsia="Courier New" w:hAnsi="Courier New"/>
                <w:sz w:val="17"/>
                <w:szCs w:val="17"/>
                <w:color w:val="auto"/>
                <w:w w:val="99"/>
              </w:rPr>
              <w:t>Abstentions</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Nonvotes</w:t>
            </w:r>
          </w:p>
        </w:tc>
      </w:tr>
      <w:tr>
        <w:trPr>
          <w:trHeight w:val="392"/>
        </w:trPr>
        <w:tc>
          <w:tcPr>
            <w:tcW w:w="1520" w:type="dxa"/>
            <w:vAlign w:val="bottom"/>
          </w:tcPr>
          <w:p>
            <w:pPr>
              <w:jc w:val="right"/>
              <w:ind w:right="415"/>
              <w:spacing w:after="0"/>
              <w:rPr>
                <w:sz w:val="20"/>
                <w:szCs w:val="20"/>
                <w:color w:val="auto"/>
              </w:rPr>
            </w:pPr>
            <w:r>
              <w:rPr>
                <w:rFonts w:ascii="Courier New" w:cs="Courier New" w:eastAsia="Courier New" w:hAnsi="Courier New"/>
                <w:sz w:val="17"/>
                <w:szCs w:val="17"/>
                <w:color w:val="auto"/>
                <w:w w:val="97"/>
              </w:rPr>
              <w:t>14,515,018</w:t>
            </w:r>
          </w:p>
        </w:tc>
        <w:tc>
          <w:tcPr>
            <w:tcW w:w="2000" w:type="dxa"/>
            <w:vAlign w:val="bottom"/>
          </w:tcPr>
          <w:p>
            <w:pPr>
              <w:jc w:val="right"/>
              <w:ind w:right="475"/>
              <w:spacing w:after="0"/>
              <w:rPr>
                <w:sz w:val="20"/>
                <w:szCs w:val="20"/>
                <w:color w:val="auto"/>
              </w:rPr>
            </w:pPr>
            <w:r>
              <w:rPr>
                <w:rFonts w:ascii="Courier New" w:cs="Courier New" w:eastAsia="Courier New" w:hAnsi="Courier New"/>
                <w:sz w:val="17"/>
                <w:szCs w:val="17"/>
                <w:color w:val="auto"/>
              </w:rPr>
              <w:t>1,168,839</w:t>
            </w:r>
          </w:p>
        </w:tc>
        <w:tc>
          <w:tcPr>
            <w:tcW w:w="2080" w:type="dxa"/>
            <w:vAlign w:val="bottom"/>
          </w:tcPr>
          <w:p>
            <w:pPr>
              <w:jc w:val="right"/>
              <w:ind w:right="515"/>
              <w:spacing w:after="0"/>
              <w:rPr>
                <w:sz w:val="20"/>
                <w:szCs w:val="20"/>
                <w:color w:val="auto"/>
              </w:rPr>
            </w:pPr>
            <w:r>
              <w:rPr>
                <w:rFonts w:ascii="Courier New" w:cs="Courier New" w:eastAsia="Courier New" w:hAnsi="Courier New"/>
                <w:sz w:val="17"/>
                <w:szCs w:val="17"/>
                <w:color w:val="auto"/>
              </w:rPr>
              <w:t>230,802</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2,208,666</w:t>
            </w: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311"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7"/>
          <w:szCs w:val="17"/>
          <w:color w:val="auto"/>
        </w:rPr>
        <w:t>23</w:t>
      </w:r>
    </w:p>
    <w:p>
      <w:pPr>
        <w:spacing w:after="0" w:line="200"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0" w:lineRule="exact"/>
        <w:rPr>
          <w:sz w:val="20"/>
          <w:szCs w:val="20"/>
          <w:color w:val="auto"/>
        </w:rPr>
      </w:pPr>
    </w:p>
    <w:p>
      <w:pPr>
        <w:ind w:left="820" w:hanging="815"/>
        <w:spacing w:after="0"/>
        <w:tabs>
          <w:tab w:leader="none" w:pos="8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199" w:lineRule="exact"/>
        <w:rPr>
          <w:rFonts w:ascii="Courier New" w:cs="Courier New" w:eastAsia="Courier New" w:hAnsi="Courier New"/>
          <w:sz w:val="17"/>
          <w:szCs w:val="17"/>
          <w:color w:val="auto"/>
        </w:rPr>
      </w:pPr>
    </w:p>
    <w:p>
      <w:pPr>
        <w:ind w:left="8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Exhibit 3.1.1 - Certificate of Amendment of Certificate</w:t>
      </w:r>
    </w:p>
    <w:p>
      <w:pPr>
        <w:spacing w:after="0" w:line="4" w:lineRule="exact"/>
        <w:rPr>
          <w:sz w:val="20"/>
          <w:szCs w:val="20"/>
          <w:color w:val="auto"/>
        </w:rPr>
      </w:pPr>
    </w:p>
    <w:p>
      <w:pPr>
        <w:ind w:left="2460"/>
        <w:spacing w:after="0"/>
        <w:rPr>
          <w:sz w:val="20"/>
          <w:szCs w:val="20"/>
          <w:color w:val="auto"/>
        </w:rPr>
      </w:pPr>
      <w:r>
        <w:rPr>
          <w:rFonts w:ascii="Courier New" w:cs="Courier New" w:eastAsia="Courier New" w:hAnsi="Courier New"/>
          <w:sz w:val="17"/>
          <w:szCs w:val="17"/>
          <w:color w:val="auto"/>
        </w:rPr>
        <w:t>of Incorporation dated March 16, 1999</w:t>
      </w:r>
    </w:p>
    <w:p>
      <w:pPr>
        <w:spacing w:after="0" w:line="5" w:lineRule="exact"/>
        <w:rPr>
          <w:sz w:val="20"/>
          <w:szCs w:val="20"/>
          <w:color w:val="auto"/>
        </w:rPr>
      </w:pPr>
    </w:p>
    <w:p>
      <w:pPr>
        <w:ind w:left="2460" w:right="2259" w:hanging="1631"/>
        <w:spacing w:after="0" w:line="259" w:lineRule="auto"/>
        <w:rPr>
          <w:sz w:val="20"/>
          <w:szCs w:val="20"/>
          <w:color w:val="auto"/>
        </w:rPr>
      </w:pPr>
      <w:r>
        <w:rPr>
          <w:rFonts w:ascii="Courier New" w:cs="Courier New" w:eastAsia="Courier New" w:hAnsi="Courier New"/>
          <w:sz w:val="16"/>
          <w:szCs w:val="16"/>
          <w:color w:val="auto"/>
        </w:rPr>
        <w:t>Exhibit 10.46 - Amendment numbers 1, 2 and 3 to the Employee Stock Purchase Plan (Incorporated by reference to exhibits 99.1, 99.2 and 99.3 to Form S-8 Registration Statement (File No. 333-78425) filed by the registrant)</w:t>
      </w:r>
    </w:p>
    <w:p>
      <w:pPr>
        <w:spacing w:after="0" w:line="1" w:lineRule="exact"/>
        <w:rPr>
          <w:sz w:val="20"/>
          <w:szCs w:val="20"/>
          <w:color w:val="auto"/>
        </w:rPr>
      </w:pPr>
    </w:p>
    <w:p>
      <w:pPr>
        <w:ind w:left="820"/>
        <w:spacing w:after="0"/>
        <w:tabs>
          <w:tab w:leader="none" w:pos="2220" w:val="left"/>
        </w:tabs>
        <w:rPr>
          <w:sz w:val="20"/>
          <w:szCs w:val="20"/>
          <w:color w:val="auto"/>
        </w:rPr>
      </w:pPr>
      <w:r>
        <w:rPr>
          <w:rFonts w:ascii="Courier New" w:cs="Courier New" w:eastAsia="Courier New" w:hAnsi="Courier New"/>
          <w:sz w:val="17"/>
          <w:szCs w:val="17"/>
          <w:color w:val="auto"/>
        </w:rPr>
        <w:t>Exhibit 27.1</w:t>
        <w:tab/>
        <w:t>- Financial Data Schedule</w:t>
      </w:r>
    </w:p>
    <w:p>
      <w:pPr>
        <w:spacing w:after="0" w:line="201" w:lineRule="exact"/>
        <w:rPr>
          <w:sz w:val="20"/>
          <w:szCs w:val="20"/>
          <w:color w:val="auto"/>
        </w:rPr>
      </w:pPr>
    </w:p>
    <w:p>
      <w:pPr>
        <w:ind w:left="820" w:right="2759" w:hanging="815"/>
        <w:spacing w:after="0" w:line="243" w:lineRule="auto"/>
        <w:tabs>
          <w:tab w:leader="none" w:pos="8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 No reports on form 8-K were filed during the quarter ended April 30, 1999.</w:t>
      </w:r>
    </w:p>
    <w:p>
      <w:pPr>
        <w:spacing w:after="0" w:line="200" w:lineRule="exact"/>
        <w:rPr>
          <w:sz w:val="20"/>
          <w:szCs w:val="20"/>
          <w:color w:val="auto"/>
        </w:rPr>
      </w:pPr>
    </w:p>
    <w:p>
      <w:pPr>
        <w:spacing w:after="0" w:line="3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311"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7"/>
          <w:szCs w:val="17"/>
          <w:color w:val="auto"/>
        </w:rPr>
        <w:t>24</w:t>
      </w:r>
    </w:p>
    <w:p>
      <w:pPr>
        <w:spacing w:after="0" w:line="200"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SIGNATURES</w:t>
      </w:r>
    </w:p>
    <w:p>
      <w:pPr>
        <w:spacing w:after="0" w:line="397" w:lineRule="exact"/>
        <w:rPr>
          <w:sz w:val="20"/>
          <w:szCs w:val="20"/>
          <w:color w:val="auto"/>
        </w:rPr>
      </w:pPr>
    </w:p>
    <w:p>
      <w:pPr>
        <w:jc w:val="both"/>
        <w:ind w:right="2859"/>
        <w:spacing w:after="0" w:line="243"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ABM Industries Incorporated</w:t>
      </w:r>
    </w:p>
    <w:p>
      <w:pPr>
        <w:sectPr>
          <w:pgSz w:w="11900" w:h="16838" w:orient="portrait"/>
          <w:cols w:equalWidth="0" w:num="1">
            <w:col w:w="10219"/>
          </w:cols>
          <w:pgMar w:left="240" w:top="311" w:right="1440" w:bottom="1440" w:gutter="0" w:footer="0" w:header="0"/>
        </w:sect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11, 1999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David H. Hebble</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 Principal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Officer</w:t>
      </w:r>
    </w:p>
    <w:p>
      <w:pPr>
        <w:spacing w:after="0" w:line="200" w:lineRule="exact"/>
        <w:rPr>
          <w:sz w:val="20"/>
          <w:szCs w:val="20"/>
          <w:color w:val="auto"/>
        </w:rPr>
      </w:pPr>
    </w:p>
    <w:p>
      <w:pPr>
        <w:sectPr>
          <w:pgSz w:w="11900" w:h="16838" w:orient="portrait"/>
          <w:cols w:equalWidth="0" w:num="2">
            <w:col w:w="3260" w:space="720"/>
            <w:col w:w="6239"/>
          </w:cols>
          <w:pgMar w:left="240" w:top="311" w:right="1440" w:bottom="1440" w:gutter="0" w:footer="0" w:header="0"/>
          <w:type w:val="continuous"/>
        </w:sectPr>
      </w:pPr>
    </w:p>
    <w:p>
      <w:pPr>
        <w:spacing w:after="0" w:line="393" w:lineRule="exact"/>
        <w:rPr>
          <w:sz w:val="20"/>
          <w:szCs w:val="20"/>
          <w:color w:val="auto"/>
        </w:rPr>
      </w:pPr>
    </w:p>
    <w:p>
      <w:pPr>
        <w:ind w:left="3980"/>
        <w:spacing w:after="0"/>
        <w:rPr>
          <w:sz w:val="20"/>
          <w:szCs w:val="20"/>
          <w:color w:val="auto"/>
        </w:rPr>
      </w:pPr>
      <w:r>
        <w:rPr>
          <w:rFonts w:ascii="Courier New" w:cs="Courier New" w:eastAsia="Courier New" w:hAnsi="Courier New"/>
          <w:sz w:val="16"/>
          <w:szCs w:val="16"/>
          <w:color w:val="auto"/>
        </w:rPr>
        <w:t>23</w:t>
      </w:r>
    </w:p>
    <w:p>
      <w:pPr>
        <w:sectPr>
          <w:pgSz w:w="11900" w:h="16838" w:orient="portrait"/>
          <w:cols w:equalWidth="0" w:num="1">
            <w:col w:w="10219"/>
          </w:cols>
          <w:pgMar w:left="240" w:top="311" w:right="1440" w:bottom="1440" w:gutter="0" w:footer="0" w:header="0"/>
          <w:type w:val="continuous"/>
        </w:sectPr>
      </w:pPr>
    </w:p>
    <w:bookmarkStart w:id="24" w:name="page25"/>
    <w:bookmarkEnd w:id="24"/>
    <w:p>
      <w:pPr>
        <w:spacing w:after="0"/>
        <w:rPr>
          <w:sz w:val="20"/>
          <w:szCs w:val="20"/>
          <w:color w:val="auto"/>
        </w:rPr>
      </w:pPr>
      <w:r>
        <w:rPr>
          <w:rFonts w:ascii="Courier New" w:cs="Courier New" w:eastAsia="Courier New" w:hAnsi="Courier New"/>
          <w:sz w:val="17"/>
          <w:szCs w:val="17"/>
          <w:color w:val="auto"/>
        </w:rPr>
        <w:t>25</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9899"/>
          </w:cols>
          <w:pgMar w:left="560" w:top="3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740"/>
        <w:spacing w:after="0"/>
        <w:rPr>
          <w:sz w:val="20"/>
          <w:szCs w:val="20"/>
          <w:color w:val="auto"/>
        </w:rPr>
      </w:pPr>
      <w:r>
        <w:rPr>
          <w:rFonts w:ascii="Courier New" w:cs="Courier New" w:eastAsia="Courier New" w:hAnsi="Courier New"/>
          <w:sz w:val="16"/>
          <w:szCs w:val="16"/>
          <w:color w:val="auto"/>
        </w:rPr>
        <w:t>Exhibit</w:t>
      </w:r>
    </w:p>
    <w:p>
      <w:pPr>
        <w:spacing w:after="0" w:line="14" w:lineRule="exact"/>
        <w:rPr>
          <w:sz w:val="20"/>
          <w:szCs w:val="20"/>
          <w:color w:val="auto"/>
        </w:rPr>
      </w:pPr>
    </w:p>
    <w:p>
      <w:pPr>
        <w:jc w:val="center"/>
        <w:ind w:right="1740"/>
        <w:spacing w:after="0"/>
        <w:rPr>
          <w:sz w:val="20"/>
          <w:szCs w:val="20"/>
          <w:color w:val="auto"/>
        </w:rPr>
      </w:pPr>
      <w:r>
        <w:rPr>
          <w:rFonts w:ascii="Courier New" w:cs="Courier New" w:eastAsia="Courier New" w:hAnsi="Courier New"/>
          <w:sz w:val="17"/>
          <w:szCs w:val="17"/>
          <w:color w:val="auto"/>
        </w:rPr>
        <w:t>No.</w:t>
      </w:r>
    </w:p>
    <w:p>
      <w:pPr>
        <w:spacing w:after="0" w:line="5" w:lineRule="exact"/>
        <w:rPr>
          <w:sz w:val="20"/>
          <w:szCs w:val="20"/>
          <w:color w:val="auto"/>
        </w:rPr>
      </w:pPr>
    </w:p>
    <w:p>
      <w:pPr>
        <w:jc w:val="center"/>
        <w:ind w:right="17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440" w:space="720"/>
            <w:col w:w="6739"/>
          </w:cols>
          <w:pgMar w:left="560" w:top="311" w:right="1440" w:bottom="1440" w:gutter="0" w:footer="0" w:header="0"/>
          <w:type w:val="continuous"/>
        </w:sectPr>
      </w:pPr>
    </w:p>
    <w:p>
      <w:pPr>
        <w:spacing w:after="0" w:line="10"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7"/>
          <w:szCs w:val="17"/>
          <w:color w:val="auto"/>
        </w:rPr>
        <w:t>3.1.1</w:t>
      </w:r>
      <w:r>
        <w:rPr>
          <w:sz w:val="20"/>
          <w:szCs w:val="20"/>
          <w:color w:val="auto"/>
        </w:rPr>
        <w:tab/>
      </w:r>
      <w:r>
        <w:rPr>
          <w:rFonts w:ascii="Courier New" w:cs="Courier New" w:eastAsia="Courier New" w:hAnsi="Courier New"/>
          <w:sz w:val="16"/>
          <w:szCs w:val="16"/>
          <w:color w:val="auto"/>
        </w:rPr>
        <w:t>Certificate of Amendment of Certificate of Incorporation dated</w:t>
      </w:r>
    </w:p>
    <w:p>
      <w:pPr>
        <w:spacing w:after="0" w:line="4" w:lineRule="exact"/>
        <w:rPr>
          <w:sz w:val="20"/>
          <w:szCs w:val="20"/>
          <w:color w:val="auto"/>
        </w:rPr>
      </w:pPr>
    </w:p>
    <w:p>
      <w:pPr>
        <w:ind w:left="1420"/>
        <w:spacing w:after="0"/>
        <w:rPr>
          <w:sz w:val="20"/>
          <w:szCs w:val="20"/>
          <w:color w:val="auto"/>
        </w:rPr>
      </w:pPr>
      <w:r>
        <w:rPr>
          <w:rFonts w:ascii="Courier New" w:cs="Courier New" w:eastAsia="Courier New" w:hAnsi="Courier New"/>
          <w:sz w:val="17"/>
          <w:szCs w:val="17"/>
          <w:color w:val="auto"/>
        </w:rPr>
        <w:t>March 16, 1999</w:t>
      </w:r>
    </w:p>
    <w:p>
      <w:pPr>
        <w:spacing w:after="0" w:line="201" w:lineRule="exact"/>
        <w:rPr>
          <w:sz w:val="20"/>
          <w:szCs w:val="20"/>
          <w:color w:val="auto"/>
        </w:rPr>
      </w:pPr>
    </w:p>
    <w:p>
      <w:pPr>
        <w:ind w:left="1420" w:right="2059" w:hanging="1427"/>
        <w:spacing w:after="0" w:line="244" w:lineRule="auto"/>
        <w:tabs>
          <w:tab w:leader="none" w:pos="1400" w:val="left"/>
        </w:tabs>
        <w:rPr>
          <w:sz w:val="20"/>
          <w:szCs w:val="20"/>
          <w:color w:val="auto"/>
        </w:rPr>
      </w:pPr>
      <w:r>
        <w:rPr>
          <w:rFonts w:ascii="Courier New" w:cs="Courier New" w:eastAsia="Courier New" w:hAnsi="Courier New"/>
          <w:sz w:val="17"/>
          <w:szCs w:val="17"/>
          <w:color w:val="auto"/>
        </w:rPr>
        <w:t>10.46</w:t>
      </w:r>
      <w:r>
        <w:rPr>
          <w:sz w:val="20"/>
          <w:szCs w:val="20"/>
          <w:color w:val="auto"/>
        </w:rPr>
        <w:tab/>
      </w:r>
      <w:r>
        <w:rPr>
          <w:rFonts w:ascii="Courier New" w:cs="Courier New" w:eastAsia="Courier New" w:hAnsi="Courier New"/>
          <w:sz w:val="17"/>
          <w:szCs w:val="17"/>
          <w:color w:val="auto"/>
        </w:rPr>
        <w:t>Amendment numbers 1, 2 and 3 to the Employee Stock Purchase Plan (Incorporated by reference to exhibits 99.1, 99.2 and 99.3 to Form S-8 Registration Statement (File No. 333-78425) filed by the registrant)</w:t>
      </w:r>
    </w:p>
    <w:p>
      <w:pPr>
        <w:spacing w:after="0" w:line="197"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7"/>
          <w:szCs w:val="17"/>
          <w:color w:val="auto"/>
        </w:rPr>
        <w:t>27.1</w:t>
      </w:r>
      <w:r>
        <w:rPr>
          <w:sz w:val="20"/>
          <w:szCs w:val="20"/>
          <w:color w:val="auto"/>
        </w:rPr>
        <w:tab/>
      </w:r>
      <w:r>
        <w:rPr>
          <w:rFonts w:ascii="Courier New" w:cs="Courier New" w:eastAsia="Courier New" w:hAnsi="Courier New"/>
          <w:sz w:val="16"/>
          <w:szCs w:val="16"/>
          <w:color w:val="auto"/>
        </w:rPr>
        <w:t>Financial Data Schedule</w:t>
      </w:r>
    </w:p>
    <w:p>
      <w:pPr>
        <w:sectPr>
          <w:pgSz w:w="11900" w:h="16838" w:orient="portrait"/>
          <w:cols w:equalWidth="0" w:num="1">
            <w:col w:w="9899"/>
          </w:cols>
          <w:pgMar w:left="560" w:top="311" w:right="1440" w:bottom="1440" w:gutter="0" w:footer="0" w:header="0"/>
          <w:type w:val="continuous"/>
        </w:sectPr>
      </w:pPr>
    </w:p>
    <w:bookmarkStart w:id="25" w:name="page26"/>
    <w:bookmarkEnd w:id="25"/>
    <w:p>
      <w:pPr>
        <w:ind w:left="32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0"/>
          <w:szCs w:val="20"/>
          <w:color w:val="auto"/>
        </w:rPr>
      </w:pPr>
    </w:p>
    <w:p>
      <w:pPr>
        <w:jc w:val="right"/>
        <w:ind w:right="2059"/>
        <w:spacing w:after="0"/>
        <w:rPr>
          <w:sz w:val="20"/>
          <w:szCs w:val="20"/>
          <w:color w:val="auto"/>
        </w:rPr>
      </w:pPr>
      <w:r>
        <w:rPr>
          <w:rFonts w:ascii="Courier New" w:cs="Courier New" w:eastAsia="Courier New" w:hAnsi="Courier New"/>
          <w:sz w:val="17"/>
          <w:szCs w:val="17"/>
          <w:color w:val="auto"/>
        </w:rPr>
        <w:t>EXHIBIT 3.1.1</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CERTIFICATE OF AMENDMENT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THE CERTIFICATE OF INCORPORATION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ABM INDUSTRIES INCORPORATED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William W. Steele and Lorraine P. O'Hara, hereby certify that:</w:t>
      </w:r>
    </w:p>
    <w:p>
      <w:pPr>
        <w:spacing w:after="0" w:line="201" w:lineRule="exact"/>
        <w:rPr>
          <w:sz w:val="20"/>
          <w:szCs w:val="20"/>
          <w:color w:val="auto"/>
        </w:rPr>
      </w:pPr>
    </w:p>
    <w:p>
      <w:pPr>
        <w:ind w:left="820" w:right="2559" w:hanging="815"/>
        <w:spacing w:after="0" w:line="243" w:lineRule="auto"/>
        <w:tabs>
          <w:tab w:leader="none" w:pos="8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They are the President and Assistant Secretary, respectively of ABM Industries Incorporated, a Delaware corporation.</w:t>
      </w:r>
    </w:p>
    <w:p>
      <w:pPr>
        <w:spacing w:after="0" w:line="198" w:lineRule="exact"/>
        <w:rPr>
          <w:rFonts w:ascii="Courier New" w:cs="Courier New" w:eastAsia="Courier New" w:hAnsi="Courier New"/>
          <w:sz w:val="17"/>
          <w:szCs w:val="17"/>
          <w:color w:val="auto"/>
        </w:rPr>
      </w:pPr>
    </w:p>
    <w:p>
      <w:pPr>
        <w:ind w:left="820" w:right="2059" w:hanging="815"/>
        <w:spacing w:after="0" w:line="266" w:lineRule="auto"/>
        <w:tabs>
          <w:tab w:leader="none" w:pos="8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Certificate of Incorporation of this corporation is amended by deleting paragraph (a) of Article Fifth in its entirety and adding a new paragraph (a) of Article Fifth to such Certificate, to read as follows:</w:t>
      </w:r>
    </w:p>
    <w:p>
      <w:pPr>
        <w:spacing w:after="0" w:line="182" w:lineRule="exact"/>
        <w:rPr>
          <w:sz w:val="20"/>
          <w:szCs w:val="20"/>
          <w:color w:val="auto"/>
        </w:rPr>
      </w:pPr>
    </w:p>
    <w:p>
      <w:pPr>
        <w:ind w:right="2159"/>
        <w:spacing w:after="0" w:line="244" w:lineRule="auto"/>
        <w:rPr>
          <w:sz w:val="20"/>
          <w:szCs w:val="20"/>
          <w:color w:val="auto"/>
        </w:rPr>
      </w:pPr>
      <w:r>
        <w:rPr>
          <w:rFonts w:ascii="Courier New" w:cs="Courier New" w:eastAsia="Courier New" w:hAnsi="Courier New"/>
          <w:sz w:val="17"/>
          <w:szCs w:val="17"/>
          <w:color w:val="auto"/>
        </w:rPr>
        <w:t>FIFTH (a) The corporation is authorized to issue two classes of shares to be designated, respectively, "Preferred Stock" and "Common Stock." The number of shares of Preferred Stock authorized to be issued Five Hundred Thousand (500,000) and the number of shares of Common Stock authorized to be issued is One Hundred Million (100,000,000). The stock, whether Preferred Stock or Common Stock, shall have a par value of $0.01 per share.</w:t>
      </w:r>
    </w:p>
    <w:p>
      <w:pPr>
        <w:spacing w:after="0" w:line="199" w:lineRule="exact"/>
        <w:rPr>
          <w:sz w:val="20"/>
          <w:szCs w:val="20"/>
          <w:color w:val="auto"/>
        </w:rPr>
      </w:pPr>
    </w:p>
    <w:p>
      <w:pPr>
        <w:ind w:right="2159" w:firstLine="510"/>
        <w:spacing w:after="0" w:line="244" w:lineRule="auto"/>
        <w:rPr>
          <w:sz w:val="20"/>
          <w:szCs w:val="20"/>
          <w:color w:val="auto"/>
        </w:rPr>
      </w:pPr>
      <w:r>
        <w:rPr>
          <w:rFonts w:ascii="Courier New" w:cs="Courier New" w:eastAsia="Courier New" w:hAnsi="Courier New"/>
          <w:sz w:val="17"/>
          <w:szCs w:val="17"/>
          <w:color w:val="auto"/>
        </w:rPr>
        <w:t>The amendment of the Certificate of Incorporation was duly adopted by the Board of Directors on December 15, 1998 and by the stockholders of the corporation on March 16, 1999, in accordance with the provisions of Section 242 of the General Corporation law of the State of Delaware.</w:t>
      </w:r>
    </w:p>
    <w:p>
      <w:pPr>
        <w:spacing w:after="0" w:line="198" w:lineRule="exact"/>
        <w:rPr>
          <w:sz w:val="20"/>
          <w:szCs w:val="20"/>
          <w:color w:val="auto"/>
        </w:rPr>
      </w:pPr>
    </w:p>
    <w:p>
      <w:pPr>
        <w:ind w:right="2159" w:firstLine="510"/>
        <w:spacing w:after="0" w:line="243" w:lineRule="auto"/>
        <w:rPr>
          <w:sz w:val="20"/>
          <w:szCs w:val="20"/>
          <w:color w:val="auto"/>
        </w:rPr>
      </w:pPr>
      <w:r>
        <w:rPr>
          <w:rFonts w:ascii="Courier New" w:cs="Courier New" w:eastAsia="Courier New" w:hAnsi="Courier New"/>
          <w:sz w:val="17"/>
          <w:szCs w:val="17"/>
          <w:color w:val="auto"/>
        </w:rPr>
        <w:t>IN WITNESS WHEREOF, the undersigned have hereunto set their hands and seal this 16th day of March 1999.</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ABM INDUSTRIES INCORPORATED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William W. Steele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William W. Steele, President</w:t>
      </w: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Attest: /s/ Lorraine P. O'Hara</w:t>
      </w:r>
    </w:p>
    <w:p>
      <w:pPr>
        <w:spacing w:after="0" w:line="4" w:lineRule="exact"/>
        <w:rPr>
          <w:sz w:val="20"/>
          <w:szCs w:val="20"/>
          <w:color w:val="auto"/>
        </w:rPr>
      </w:pPr>
    </w:p>
    <w:p>
      <w:pPr>
        <w:ind w:left="1220"/>
        <w:spacing w:after="0"/>
        <w:rPr>
          <w:sz w:val="20"/>
          <w:szCs w:val="20"/>
          <w:color w:val="auto"/>
        </w:rPr>
      </w:pPr>
      <w:r>
        <w:rPr>
          <w:rFonts w:ascii="Courier New" w:cs="Courier New" w:eastAsia="Courier New" w:hAnsi="Courier New"/>
          <w:sz w:val="17"/>
          <w:szCs w:val="17"/>
          <w:color w:val="auto"/>
        </w:rPr>
        <w:t>Lorraine P. O'Hara, Assistant Secretary</w:t>
      </w:r>
    </w:p>
    <w:p>
      <w:pPr>
        <w:sectPr>
          <w:pgSz w:w="11900" w:h="16838" w:orient="portrait"/>
          <w:cols w:equalWidth="0" w:num="1">
            <w:col w:w="10219"/>
          </w:cols>
          <w:pgMar w:left="240" w:top="141"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7"/>
          <w:szCs w:val="17"/>
          <w:color w:val="auto"/>
        </w:rPr>
        <w:t>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1,000</w:t>
      </w:r>
    </w:p>
    <w:p>
      <w:pPr>
        <w:spacing w:after="0" w:line="396"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6-MOS</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OCT-31-1999</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APR-30-1999</w:t>
      </w:r>
    </w:p>
    <w:p>
      <w:pPr>
        <w:spacing w:after="0" w:line="4"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1,878</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267,827</w:t>
      </w:r>
    </w:p>
    <w:p>
      <w:pPr>
        <w:spacing w:after="0" w:line="4"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22,709</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336,144</w:t>
      </w:r>
    </w:p>
    <w:p>
      <w:pPr>
        <w:spacing w:after="0" w:line="4"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89,045</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58,540</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522,359</w:t>
      </w:r>
    </w:p>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177,027</w:t>
      </w:r>
    </w:p>
    <w:p>
      <w:pPr>
        <w:spacing w:after="0" w:line="4" w:lineRule="exact"/>
        <w:rPr>
          <w:sz w:val="20"/>
          <w:szCs w:val="20"/>
          <w:color w:val="auto"/>
        </w:rPr>
      </w:pPr>
    </w:p>
    <w:p>
      <w:pPr>
        <w:ind w:left="460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6,400</w:t>
      </w:r>
    </w:p>
    <w:p>
      <w:pPr>
        <w:spacing w:after="0" w:line="4" w:lineRule="exact"/>
        <w:rPr>
          <w:sz w:val="20"/>
          <w:szCs w:val="20"/>
          <w:color w:val="auto"/>
        </w:rPr>
      </w:pPr>
    </w:p>
    <w:p>
      <w:pPr>
        <w:ind w:left="4300"/>
        <w:spacing w:after="0"/>
        <w:rPr>
          <w:sz w:val="20"/>
          <w:szCs w:val="20"/>
          <w:color w:val="auto"/>
        </w:rPr>
      </w:pPr>
      <w:r>
        <w:rPr>
          <w:rFonts w:ascii="Courier New" w:cs="Courier New" w:eastAsia="Courier New" w:hAnsi="Courier New"/>
          <w:sz w:val="17"/>
          <w:szCs w:val="17"/>
          <w:color w:val="auto"/>
        </w:rPr>
        <w:t>221</w:t>
      </w:r>
    </w:p>
    <w:p>
      <w:pPr>
        <w:spacing w:after="0" w:line="4"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255,653</w:t>
      </w:r>
    </w:p>
    <w:p>
      <w:pPr>
        <w:spacing w:after="0" w:line="4" w:lineRule="exact"/>
        <w:rPr>
          <w:sz w:val="20"/>
          <w:szCs w:val="20"/>
          <w:color w:val="auto"/>
        </w:rPr>
      </w:pPr>
    </w:p>
    <w:p>
      <w:pPr>
        <w:ind w:left="1840"/>
        <w:spacing w:after="0"/>
        <w:rPr>
          <w:sz w:val="20"/>
          <w:szCs w:val="20"/>
          <w:color w:val="auto"/>
        </w:rPr>
      </w:pPr>
      <w:r>
        <w:rPr>
          <w:rFonts w:ascii="Courier New" w:cs="Courier New" w:eastAsia="Courier New" w:hAnsi="Courier New"/>
          <w:sz w:val="17"/>
          <w:szCs w:val="17"/>
          <w:color w:val="auto"/>
        </w:rPr>
        <w:t>522,359</w:t>
      </w:r>
    </w:p>
    <w:p>
      <w:pPr>
        <w:spacing w:after="0" w:line="4"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790,122</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790,122</w:t>
      </w:r>
    </w:p>
    <w:p>
      <w:pPr>
        <w:spacing w:after="0" w:line="4" w:lineRule="exact"/>
        <w:rPr>
          <w:sz w:val="20"/>
          <w:szCs w:val="20"/>
          <w:color w:val="auto"/>
        </w:rPr>
      </w:pPr>
    </w:p>
    <w:p>
      <w:pPr>
        <w:jc w:val="right"/>
        <w:ind w:right="5219"/>
        <w:spacing w:after="0"/>
        <w:rPr>
          <w:sz w:val="20"/>
          <w:szCs w:val="20"/>
          <w:color w:val="auto"/>
        </w:rPr>
      </w:pPr>
      <w:r>
        <w:rPr>
          <w:rFonts w:ascii="Courier New" w:cs="Courier New" w:eastAsia="Courier New" w:hAnsi="Courier New"/>
          <w:sz w:val="17"/>
          <w:szCs w:val="17"/>
          <w:color w:val="auto"/>
        </w:rPr>
        <w:t>689,739</w:t>
      </w:r>
    </w:p>
    <w:p>
      <w:pPr>
        <w:spacing w:after="0" w:line="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7"/>
          <w:szCs w:val="17"/>
          <w:color w:val="auto"/>
        </w:rPr>
        <w:t>689,739</w:t>
      </w:r>
    </w:p>
    <w:p>
      <w:pPr>
        <w:spacing w:after="0" w:line="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1,020</w:t>
      </w:r>
    </w:p>
    <w:p>
      <w:pPr>
        <w:spacing w:after="0" w:line="4"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25,992</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10,657</w:t>
      </w:r>
    </w:p>
    <w:p>
      <w:pPr>
        <w:spacing w:after="0" w:line="4" w:lineRule="exact"/>
        <w:rPr>
          <w:sz w:val="20"/>
          <w:szCs w:val="20"/>
          <w:color w:val="auto"/>
        </w:rPr>
      </w:pPr>
    </w:p>
    <w:p>
      <w:pPr>
        <w:ind w:left="2860"/>
        <w:spacing w:after="0"/>
        <w:rPr>
          <w:sz w:val="20"/>
          <w:szCs w:val="20"/>
          <w:color w:val="auto"/>
        </w:rPr>
      </w:pPr>
      <w:r>
        <w:rPr>
          <w:rFonts w:ascii="Courier New" w:cs="Courier New" w:eastAsia="Courier New" w:hAnsi="Courier New"/>
          <w:sz w:val="17"/>
          <w:szCs w:val="17"/>
          <w:color w:val="auto"/>
        </w:rPr>
        <w:t>15,335</w:t>
      </w:r>
    </w:p>
    <w:p>
      <w:pPr>
        <w:spacing w:after="0" w:line="4"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378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ind w:left="4400"/>
        <w:spacing w:after="0"/>
        <w:rPr>
          <w:sz w:val="20"/>
          <w:szCs w:val="20"/>
          <w:color w:val="auto"/>
        </w:rPr>
      </w:pPr>
      <w:r>
        <w:rPr>
          <w:rFonts w:ascii="Courier New" w:cs="Courier New" w:eastAsia="Courier New" w:hAnsi="Courier New"/>
          <w:sz w:val="17"/>
          <w:szCs w:val="17"/>
          <w:color w:val="auto"/>
        </w:rPr>
        <w:t>0</w:t>
      </w:r>
    </w:p>
    <w:p>
      <w:pPr>
        <w:spacing w:after="0" w:line="4"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15,335</w:t>
      </w:r>
    </w:p>
    <w:p>
      <w:pPr>
        <w:spacing w:after="0" w:line="4"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0.69</w:t>
      </w:r>
    </w:p>
    <w:p>
      <w:pPr>
        <w:spacing w:after="0" w:line="4"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7"/>
          <w:szCs w:val="17"/>
          <w:color w:val="auto"/>
        </w:rPr>
        <w:t>0.64</w:t>
      </w:r>
    </w:p>
    <w:sectPr>
      <w:pgSz w:w="11900" w:h="16838" w:orient="portrait"/>
      <w:cols w:equalWidth="0" w:num="1">
        <w:col w:w="10119"/>
      </w:cols>
      <w:pgMar w:left="340" w:top="5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2"/>
    </w:lvl>
  </w:abstractNum>
  <w:abstractNum w:abstractNumId="8">
    <w:nsid w:val="66EF438D"/>
    <w:multiLevelType w:val="hybridMultilevel"/>
    <w:lvl w:ilvl="0">
      <w:lvlJc w:val="left"/>
      <w:lvlText w:val="%1."/>
      <w:numFmt w:val="decimal"/>
      <w:start w:val="3"/>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4"/>
    </w:lvl>
  </w:abstractNum>
  <w:abstractNum w:abstractNumId="11">
    <w:nsid w:val="109CF92E"/>
    <w:multiLevelType w:val="hybridMultilevel"/>
    <w:lvl w:ilvl="0">
      <w:lvlJc w:val="left"/>
      <w:lvlText w:val="%1)"/>
      <w:numFmt w:val="lowerLetter"/>
      <w:start w:val="5"/>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2"/>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2020-02-22T11:53:44Z</dcterms:created>
  <dcterms:modified xsi:type="dcterms:W3CDTF">2020-02-22T11:53:44Z</dcterms:modified>
</cp:coreProperties>
</file>