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7, 2024, ABM Industries Incorporated (the “Company”) issued a press release announcing financial results related to the quarter ended January 31, 2024. A copy of the press release is being furnished as Exhibit 99.1 to this Form 8-K,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7, 2024, the Company announced that the Board of Directors of the Company declared a quarterly dividend of $0.225 per share, payable on May 6, 2024 to stockholders of record on April 4,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March 7, 2024, announcing financial results related to the quarter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6672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2580" cy="889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FF"/>
        </w:rPr>
        <w:t>2024, and the declaration of a dividend payable May 6, 2024, to stockholders of record on 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-19050</wp:posOffset>
            </wp:positionV>
            <wp:extent cx="4787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8790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Andrea R. Newborn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3444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0046AD"/>
        </w:rPr>
        <w:t>ABM REPORTS FIRST QUARTER FISCAL 2024 RESULTS AND RAISES OUTLOOK FOR FISCAL YEAR 2024 ADJUSTED EPS</w:t>
      </w:r>
    </w:p>
    <w:p>
      <w:pPr>
        <w:spacing w:after="0" w:line="13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Revenue up 3.9% to $2.1 billion, all organic growth</w:t>
      </w:r>
    </w:p>
    <w:p>
      <w:pPr>
        <w:spacing w:after="0" w:line="16" w:lineRule="exact"/>
        <w:rPr>
          <w:rFonts w:ascii="Times New Roman" w:cs="Times New Roman" w:eastAsia="Times New Roman" w:hAnsi="Times New Roman"/>
          <w:sz w:val="20"/>
          <w:szCs w:val="20"/>
          <w:color w:val="auto"/>
        </w:rPr>
      </w:pPr>
    </w:p>
    <w:p>
      <w:pPr>
        <w:ind w:left="760" w:right="58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Net income of $44.7 million and GAAP EPS of $0.70, up 16% and 21%, respectively, includes certain discrete tax benefits of $4.4 million, or $0.07 per share</w:t>
      </w:r>
    </w:p>
    <w:p>
      <w:pPr>
        <w:spacing w:after="0" w:line="1" w:lineRule="exact"/>
        <w:rPr>
          <w:rFonts w:ascii="Times New Roman" w:cs="Times New Roman" w:eastAsia="Times New Roman" w:hAnsi="Times New Roman"/>
          <w:sz w:val="20"/>
          <w:szCs w:val="20"/>
          <w:i w:val="1"/>
          <w:iCs w:val="1"/>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of $116.7 million, down 5%</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EPS of $0.86, up 9%</w:t>
      </w:r>
    </w:p>
    <w:p>
      <w:pPr>
        <w:spacing w:after="0" w:line="12" w:lineRule="exact"/>
        <w:rPr>
          <w:rFonts w:ascii="Times New Roman" w:cs="Times New Roman" w:eastAsia="Times New Roman" w:hAnsi="Times New Roman"/>
          <w:sz w:val="20"/>
          <w:szCs w:val="20"/>
          <w:i w:val="1"/>
          <w:iCs w:val="1"/>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Raises outlook for fiscal year 2024 adjusted EPS to $3.30 to $3.45, up from $3.20 to $3.40 </w:t>
      </w:r>
      <w:r>
        <w:rPr>
          <w:rFonts w:ascii="Arial" w:cs="Arial" w:eastAsia="Arial" w:hAnsi="Arial"/>
          <w:sz w:val="26"/>
          <w:szCs w:val="26"/>
          <w:i w:val="1"/>
          <w:iCs w:val="1"/>
          <w:color w:val="auto"/>
          <w:vertAlign w:val="superscript"/>
        </w:rPr>
        <w:t>(1)</w:t>
      </w: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NEW YORK, NY - March 7, 2024 - ABM (NYSE: ABM), a leading provider of facility solutions, today announced financial results for the first quarter of fiscal 2024.</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is off to an excellent start in 2024, generating revenue growth of 3.9%,” said Scott Salmirs, President &amp; Chief Executive Officer. “We are particularly pleased with the double-digit revenue growth we posted in our Aviation and Technical Solutions segments, while Manufacturing &amp; Distribution and Education were solid as well. Despite soft demand in the commercial real estate market, Business &amp; Industry’s revenue was essentially flat, benefiting from our focus on higher performing Class A properties and exposure to the vibrant sports and entertainment markets.”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Mr. Salmirs continued, “Our strategic investments in enhanced services like </w:t>
      </w:r>
      <w:r>
        <w:rPr>
          <w:rFonts w:ascii="Arial" w:cs="Arial" w:eastAsia="Arial" w:hAnsi="Arial"/>
          <w:sz w:val="20"/>
          <w:szCs w:val="20"/>
          <w:i w:val="1"/>
          <w:iCs w:val="1"/>
          <w:color w:val="auto"/>
        </w:rPr>
        <w:t>ABM Performance Solutions</w:t>
      </w:r>
      <w:r>
        <w:rPr>
          <w:rFonts w:ascii="Arial" w:cs="Arial" w:eastAsia="Arial" w:hAnsi="Arial"/>
          <w:sz w:val="20"/>
          <w:szCs w:val="20"/>
          <w:color w:val="auto"/>
        </w:rPr>
        <w:t xml:space="preserve"> and </w:t>
      </w:r>
      <w:r>
        <w:rPr>
          <w:rFonts w:ascii="Arial" w:cs="Arial" w:eastAsia="Arial" w:hAnsi="Arial"/>
          <w:sz w:val="20"/>
          <w:szCs w:val="20"/>
          <w:i w:val="1"/>
          <w:iCs w:val="1"/>
          <w:color w:val="auto"/>
        </w:rPr>
        <w:t>ABM Clean</w:t>
      </w:r>
      <w:r>
        <w:rPr>
          <w:rFonts w:ascii="Arial" w:cs="Arial" w:eastAsia="Arial" w:hAnsi="Arial"/>
          <w:sz w:val="20"/>
          <w:szCs w:val="20"/>
          <w:color w:val="auto"/>
        </w:rPr>
        <w:t>, as well as in new markets such as microgrids, continued to expand our market opportunities. We were pleased to book several new programs in the first quarter, including a $180 million multi-year microgrid project with a major retailer. As we continue to pursue many attractive opportunities in our sales pipeline, we will continue to invest in our team and capabilities to ensure ABM delivers leading-edge technology and superior client satisfaction to the benefit of all our stakeholders.”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are raising the outlook for full year adjusted EPS based on our overall first quarter results, which included the recognition of certain discrete tax benefits, further supported by the resilience of B&amp;I and solid revenue growth across the rest of our segments. As such, we now expect full year adjusted EPS to be in the range of $3.30 to $3.45, up from the previous range of $3.20 to $3.40.”</w:t>
      </w:r>
    </w:p>
    <w:p>
      <w:pPr>
        <w:spacing w:after="0" w:line="211" w:lineRule="exact"/>
        <w:rPr>
          <w:sz w:val="20"/>
          <w:szCs w:val="20"/>
          <w:color w:val="auto"/>
        </w:rPr>
      </w:pPr>
    </w:p>
    <w:p>
      <w:pPr>
        <w:jc w:val="both"/>
        <w:ind w:right="20" w:firstLine="8"/>
        <w:spacing w:after="0" w:line="271"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on a forward-looking basis, a reconciliation of the differences between these non-GAAP expectations and the corresponding GAAP measure generally is not available without unreasonable effort. See “Outlook” and “Use of Non-GAAP Financial Information” below for additional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0046AD"/>
        </w:rPr>
        <w:t>First Quarter Fiscal 2024 Results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For the first quarter of fiscal 2024, the Company reported revenue of $2.1 billion, up 3.9% over the prior year period, all of which was organic growth. </w:t>
      </w:r>
      <w:r>
        <w:rPr>
          <w:rFonts w:ascii="Arial" w:cs="Arial" w:eastAsia="Arial" w:hAnsi="Arial"/>
          <w:sz w:val="20"/>
          <w:szCs w:val="20"/>
          <w:color w:val="242424"/>
        </w:rPr>
        <w:t>Aviation grew 17.5% driven by strong travel activity and new business wins. Technical Solutions’ revenue</w:t>
      </w:r>
      <w:r>
        <w:rPr>
          <w:rFonts w:ascii="Arial" w:cs="Arial" w:eastAsia="Arial" w:hAnsi="Arial"/>
          <w:sz w:val="20"/>
          <w:szCs w:val="20"/>
          <w:color w:val="auto"/>
        </w:rPr>
        <w:t xml:space="preserve"> </w:t>
      </w:r>
      <w:r>
        <w:rPr>
          <w:rFonts w:ascii="Arial" w:cs="Arial" w:eastAsia="Arial" w:hAnsi="Arial"/>
          <w:sz w:val="20"/>
          <w:szCs w:val="20"/>
          <w:color w:val="242424"/>
        </w:rPr>
        <w:t>increased 12.9% due to project closeouts in our microgrid service line. Manufacturing &amp; Distribution grew 5.4% reflecting solid eCommerce, logistics and industrial markets, and Education grew 2.4% primarily driven by business wins last year. Business &amp; Industry’s revenue declined 0.3%, as strong sports and entertainment markets and parking activity largely offset ongoing softness in the commercial office market.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GAAP net income was $44.7 million, or $0.70 per diluted share, compared to $ 38.5 million, or $0.58 per diluted share, in the prior year period, representing increases of 16% and 21%, respectively. These increases were primarily attributable to lower year-over-year ELEVATE costs, certain discrete tax benefits of $4.4 million, and higher segment earnings on higher revenue. These gains were partially offset by higher corporate investments, primarily technology related, the impact of prior-year self-insurance adjustments, and higher interest expense. Diluted EPS was positively impacted by a lower share count as compared to the prior year period.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Adjusted net income was $54.8 million, or $ 0.86 per diluted share, compared to $52.7 million, or $0.79 per diluted share, in the prior year period, representing increases of 4% and 9%, respectively. These increases primarily reflected discrete tax benefits and higher segment earnings, partially offset by higher corporate investments and increased interest expense. Adjusted EPS was also positively impacted by a lower share count as compared to the prior year period. Adjusted results exclude items impacting comparability. A description of items impacting comparability can be found in the “Reconciliation of Non-GAAP Financial Measures” table.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EBITDA for the first quarter decreased 5% to $116.7 million and adjusted EBITDA margin was 5.9% versus 6.4% last year. The changes in adjusted EBITDA and adjusted EBITDA margin were largely due to higher corporate investments and project mix in Technical Solutions, partially offset by cost controls and price increases. Adjusted results exclude items impacting comparability. A description of items impacting comparability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&amp; Capital Structure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first quarter with total indebtedness of $1,410.8 million, including $58.2 million in standby letters of credit, resulting in a total leverage ratio, as defined by the Company's credit facility of 2.4x. The Company had available liquidity of $507.8 million, inclusive of cash and cash equivalents of $58.0 million.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Company’s Board of Directors declared a cash dividend of $0.225 per common share payable on May 6, 2024 to shareholders of record on April 4, 2024. This will be the Company’s 232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consecutive quarterly cash dividend.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0"/>
          <w:szCs w:val="20"/>
          <w:color w:val="auto"/>
        </w:rPr>
        <w:t>Based on solid first quarter results and the recognition of certain discrete tax benefits, ABM is raising its outlook for fiscal year 2024 (“FY24”) adjusted EPS. The Company now expects FY24 adjusted EPS to be in the range of $3.30 to $3.45, as compared to the prior range of $ 3.20 to $3.40. All other components of the Company’s prior outlook remain unchanged. Adjusted EBITDA margin is anticipated to be 6.2% to 6.5%. Interest expense is expected to be $82 million to $86 million and the tax rate, excluding discrete items and non-taxable items, is anticipated to be 29% to 30%.</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measures for Adjusted EPS and adjusted EBITDA margin in 2024 without unreasonable effort due to the uncertainty of timing of any gains or losses related to, but not limited to, items such as prior-year self-insurance adjustments, acquisition and integration related costs, legal costs and other settlements, as well as transformation initiative costs. Although we have attempted to estimate the amount of gains and losses of such items for the purpose of explaining the probable significance of these components, this calculation involves a number of unknown variables, resulting in a GAAP range that we believe is too large and variable to be meaningful.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Thursday, March 7, 2024,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two hours after the webcast through March 21, 2024, and can be accessed by dialing</w:t>
      </w:r>
    </w:p>
    <w:p>
      <w:pPr>
        <w:ind w:left="540" w:hanging="532"/>
        <w:spacing w:after="0" w:line="22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512-2921 and then entering ID #13743786.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ABM (NYSE: ABM) is one of the world’s largest providers of integrated facility solutions. A driving force for a cleaner, healthier, and more sustainable world, ABM provides essential services and forward-looking solutions that improve the spaces and places that matter most. From curbside to rooftop, ABM provides comprehensive facility services that includes janitorial, engineering, parking, electrical &amp; lighting, energy solutions, HVAC &amp; mechanical, landscape &amp; turf, and mission critical solutions. ABM delivers these custom facility solutions to properties across a wide range of industries – from commercial office buildings to universities, airports, hospitals, data centers, manufacturing plants and distribution centers, entertainment venues and more. Founded in 1909, ABM serves over 20,000 clients, with annualized revenue of over $8 billion and more than 100,000 team members in 350+ offices throughout the United States, United Kingdom and other international locations. For more information, visit </w:t>
      </w:r>
      <w:r>
        <w:rPr>
          <w:rFonts w:ascii="Arial" w:cs="Arial" w:eastAsia="Arial" w:hAnsi="Arial"/>
          <w:sz w:val="20"/>
          <w:szCs w:val="20"/>
          <w:color w:val="0000FF"/>
        </w:rPr>
        <w:t>www.abm.com</w:t>
      </w:r>
      <w:r>
        <w:rPr>
          <w:rFonts w:ascii="Arial" w:cs="Arial" w:eastAsia="Arial" w:hAnsi="Arial"/>
          <w:sz w:val="20"/>
          <w:szCs w:val="20"/>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could adversely affect our financial conditions;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acquisitions, divestitures, and other strategic transactions could fail to achieve financial or strategic objectives, disrupt our ongoing business, and adversely impact our results of operations;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or in interest rates could affect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both"/>
        <w:spacing w:after="0" w:line="230" w:lineRule="auto"/>
        <w:rPr>
          <w:sz w:val="20"/>
          <w:szCs w:val="20"/>
          <w:color w:val="auto"/>
        </w:rPr>
      </w:pPr>
      <w:r>
        <w:rPr>
          <w:rFonts w:ascii="Arial" w:cs="Arial" w:eastAsia="Arial" w:hAnsi="Arial"/>
          <w:sz w:val="20"/>
          <w:szCs w:val="20"/>
          <w:i w:val="1"/>
          <w:iCs w:val="1"/>
          <w:color w:val="auto"/>
        </w:rPr>
        <w:t>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first quarter of fiscal years 2024 and 2023.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first quarter of fiscal years 2024 and 2023. Adjusted EBITDA is among the 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110" w:lineRule="exact"/>
        <w:rPr>
          <w:sz w:val="20"/>
          <w:szCs w:val="20"/>
          <w:color w:val="auto"/>
        </w:rPr>
      </w:pPr>
    </w:p>
    <w:p>
      <w:pPr>
        <w:ind w:left="60"/>
        <w:spacing w:after="0"/>
        <w:tabs>
          <w:tab w:leader="none" w:pos="286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108" w:lineRule="exact"/>
        <w:rPr>
          <w:sz w:val="20"/>
          <w:szCs w:val="20"/>
          <w:color w:val="auto"/>
        </w:rPr>
      </w:pPr>
    </w:p>
    <w:p>
      <w:pPr>
        <w:ind w:left="3400" w:hanging="523"/>
        <w:spacing w:after="0"/>
        <w:tabs>
          <w:tab w:leader="none" w:pos="3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297-9721</w:t>
      </w:r>
    </w:p>
    <w:p>
      <w:pPr>
        <w:spacing w:after="0" w:line="107" w:lineRule="exact"/>
        <w:rPr>
          <w:rFonts w:ascii="Arial" w:cs="Arial" w:eastAsia="Arial" w:hAnsi="Arial"/>
          <w:sz w:val="20"/>
          <w:szCs w:val="20"/>
          <w:color w:val="auto"/>
        </w:rPr>
      </w:pPr>
    </w:p>
    <w:p>
      <w:pPr>
        <w:ind w:left="288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right="4800"/>
        <w:spacing w:after="0" w:line="286"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60" w:type="dxa"/>
            <w:vAlign w:val="bottom"/>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January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Increase /</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6"/>
                <w:szCs w:val="16"/>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1160" w:type="dxa"/>
            <w:vAlign w:val="bottom"/>
            <w:tcBorders>
              <w:bottom w:val="single" w:sz="8" w:color="DCE2EF"/>
            </w:tcBorders>
            <w:gridSpan w:val="2"/>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1,991.3</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1,826.3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1,749.8</w:t>
            </w:r>
          </w:p>
        </w:tc>
        <w:tc>
          <w:tcPr>
            <w:tcW w:w="17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154.6</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150.6</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w:t>
            </w:r>
          </w:p>
        </w:tc>
        <w:tc>
          <w:tcPr>
            <w:tcW w:w="172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2240" w:type="dxa"/>
            <w:vAlign w:val="bottom"/>
            <w:tcBorders>
              <w:bottom w:val="single" w:sz="8" w:color="DCE2EF"/>
            </w:tcBorders>
          </w:tcPr>
          <w:p>
            <w:pPr>
              <w:spacing w:after="0"/>
              <w:rPr>
                <w:sz w:val="2"/>
                <w:szCs w:val="2"/>
                <w:color w:val="auto"/>
              </w:rPr>
            </w:pPr>
          </w:p>
        </w:tc>
        <w:tc>
          <w:tcPr>
            <w:tcW w:w="396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bottom w:val="single" w:sz="8" w:color="DCE2EF"/>
            </w:tcBorders>
            <w:shd w:val="clear" w:color="auto" w:fill="DCE2EF"/>
          </w:tcPr>
          <w:p>
            <w:pPr>
              <w:spacing w:after="0"/>
              <w:rPr>
                <w:sz w:val="23"/>
                <w:szCs w:val="23"/>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Borders>
              <w:bottom w:val="single" w:sz="8" w:color="DCE2EF"/>
            </w:tcBorders>
            <w:shd w:val="clear" w:color="auto" w:fill="DCE2EF"/>
          </w:tcPr>
          <w:p>
            <w:pPr>
              <w:spacing w:after="0"/>
              <w:rPr>
                <w:sz w:val="23"/>
                <w:szCs w:val="23"/>
                <w:color w:val="auto"/>
              </w:rPr>
            </w:pPr>
          </w:p>
        </w:tc>
        <w:tc>
          <w:tcPr>
            <w:tcW w:w="94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71.4</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72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(19.8)</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4"/>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52.7</w:t>
            </w:r>
          </w:p>
        </w:tc>
        <w:tc>
          <w:tcPr>
            <w:tcW w:w="17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(14.2)</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6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220" w:type="dxa"/>
            <w:vAlign w:val="bottom"/>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72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2240" w:type="dxa"/>
            <w:vAlign w:val="bottom"/>
            <w:tcBorders>
              <w:bottom w:val="single" w:sz="8" w:color="DCE2EF"/>
            </w:tcBorders>
          </w:tcPr>
          <w:p>
            <w:pPr>
              <w:spacing w:after="0"/>
              <w:rPr>
                <w:sz w:val="2"/>
                <w:szCs w:val="2"/>
                <w:color w:val="auto"/>
              </w:rPr>
            </w:pPr>
          </w:p>
        </w:tc>
        <w:tc>
          <w:tcPr>
            <w:tcW w:w="396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60" w:type="dxa"/>
            <w:vAlign w:val="bottom"/>
            <w:tcBorders>
              <w:bottom w:val="single" w:sz="8" w:color="DCE2EF"/>
            </w:tcBorders>
            <w:shd w:val="clear" w:color="auto" w:fill="DCE2EF"/>
          </w:tcPr>
          <w:p>
            <w:pPr>
              <w:spacing w:after="0"/>
              <w:rPr>
                <w:sz w:val="22"/>
                <w:szCs w:val="22"/>
                <w:color w:val="auto"/>
              </w:rPr>
            </w:pPr>
          </w:p>
        </w:tc>
        <w:tc>
          <w:tcPr>
            <w:tcW w:w="56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spacing w:after="0"/>
              <w:rPr>
                <w:sz w:val="22"/>
                <w:szCs w:val="22"/>
                <w:color w:val="auto"/>
              </w:rPr>
            </w:pPr>
          </w:p>
        </w:tc>
        <w:tc>
          <w:tcPr>
            <w:tcW w:w="580" w:type="dxa"/>
            <w:vAlign w:val="bottom"/>
            <w:tcBorders>
              <w:bottom w:val="single" w:sz="8" w:color="DCE2EF"/>
            </w:tcBorders>
            <w:shd w:val="clear" w:color="auto" w:fill="DCE2EF"/>
          </w:tcPr>
          <w:p>
            <w:pPr>
              <w:spacing w:after="0"/>
              <w:rPr>
                <w:sz w:val="22"/>
                <w:szCs w:val="22"/>
                <w:color w:val="auto"/>
              </w:rPr>
            </w:pPr>
          </w:p>
        </w:tc>
        <w:tc>
          <w:tcPr>
            <w:tcW w:w="17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620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0.58</w:t>
            </w:r>
          </w:p>
        </w:tc>
        <w:tc>
          <w:tcPr>
            <w:tcW w:w="172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Borders>
              <w:bottom w:val="single" w:sz="8" w:color="DCE2EF"/>
            </w:tcBorders>
            <w:shd w:val="clear" w:color="auto" w:fill="DCE2EF"/>
          </w:tcPr>
          <w:p>
            <w:pPr>
              <w:spacing w:after="0"/>
              <w:rPr>
                <w:sz w:val="24"/>
                <w:szCs w:val="24"/>
                <w:color w:val="auto"/>
              </w:rPr>
            </w:pPr>
          </w:p>
        </w:tc>
        <w:tc>
          <w:tcPr>
            <w:tcW w:w="62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0.70</w:t>
            </w:r>
          </w:p>
        </w:tc>
        <w:tc>
          <w:tcPr>
            <w:tcW w:w="116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0.58</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83"/>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Borders>
              <w:bottom w:val="single" w:sz="8" w:color="DCE2EF"/>
            </w:tcBorders>
            <w:shd w:val="clear" w:color="auto" w:fill="DCE2EF"/>
          </w:tcPr>
          <w:p>
            <w:pPr>
              <w:spacing w:after="0"/>
              <w:rPr>
                <w:sz w:val="24"/>
                <w:szCs w:val="24"/>
                <w:color w:val="auto"/>
              </w:rPr>
            </w:pPr>
          </w:p>
        </w:tc>
        <w:tc>
          <w:tcPr>
            <w:tcW w:w="62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66.3</w:t>
            </w:r>
          </w:p>
        </w:tc>
        <w:tc>
          <w:tcPr>
            <w:tcW w:w="172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620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0.225</w:t>
            </w:r>
          </w:p>
        </w:tc>
        <w:tc>
          <w:tcPr>
            <w:tcW w:w="1160" w:type="dxa"/>
            <w:vAlign w:val="bottom"/>
            <w:gridSpan w:val="2"/>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0.220</w:t>
            </w:r>
          </w:p>
        </w:tc>
        <w:tc>
          <w:tcPr>
            <w:tcW w:w="17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shd w:val="clear" w:color="auto" w:fill="DCE2EF"/>
          </w:tcPr>
          <w:p>
            <w:pPr>
              <w:spacing w:after="0" w:line="20" w:lineRule="exact"/>
              <w:rPr>
                <w:sz w:val="1"/>
                <w:szCs w:val="1"/>
                <w:color w:val="auto"/>
              </w:rPr>
            </w:pPr>
          </w:p>
        </w:tc>
        <w:tc>
          <w:tcPr>
            <w:tcW w:w="2240" w:type="dxa"/>
            <w:vAlign w:val="bottom"/>
            <w:shd w:val="clear" w:color="auto" w:fill="DCE2EF"/>
          </w:tcPr>
          <w:p>
            <w:pPr>
              <w:spacing w:after="0" w:line="20" w:lineRule="exact"/>
              <w:rPr>
                <w:sz w:val="1"/>
                <w:szCs w:val="1"/>
                <w:color w:val="auto"/>
              </w:rPr>
            </w:pPr>
          </w:p>
        </w:tc>
        <w:tc>
          <w:tcPr>
            <w:tcW w:w="3960" w:type="dxa"/>
            <w:vAlign w:val="bottom"/>
            <w:shd w:val="clear" w:color="auto" w:fill="DCE2EF"/>
          </w:tcPr>
          <w:p>
            <w:pPr>
              <w:spacing w:after="0" w:line="20" w:lineRule="exact"/>
              <w:rPr>
                <w:sz w:val="1"/>
                <w:szCs w:val="1"/>
                <w:color w:val="auto"/>
              </w:rPr>
            </w:pPr>
          </w:p>
        </w:tc>
        <w:tc>
          <w:tcPr>
            <w:tcW w:w="960" w:type="dxa"/>
            <w:vAlign w:val="bottom"/>
            <w:shd w:val="clear" w:color="auto" w:fill="DCE2EF"/>
          </w:tcPr>
          <w:p>
            <w:pPr>
              <w:spacing w:after="0" w:line="20" w:lineRule="exact"/>
              <w:rPr>
                <w:sz w:val="1"/>
                <w:szCs w:val="1"/>
                <w:color w:val="auto"/>
              </w:rPr>
            </w:pPr>
          </w:p>
        </w:tc>
        <w:tc>
          <w:tcPr>
            <w:tcW w:w="560" w:type="dxa"/>
            <w:vAlign w:val="bottom"/>
            <w:shd w:val="clear" w:color="auto" w:fill="DCE2EF"/>
          </w:tcPr>
          <w:p>
            <w:pPr>
              <w:spacing w:after="0" w:line="20" w:lineRule="exact"/>
              <w:rPr>
                <w:sz w:val="1"/>
                <w:szCs w:val="1"/>
                <w:color w:val="auto"/>
              </w:rPr>
            </w:pPr>
          </w:p>
        </w:tc>
        <w:tc>
          <w:tcPr>
            <w:tcW w:w="220" w:type="dxa"/>
            <w:vAlign w:val="bottom"/>
            <w:shd w:val="clear" w:color="auto" w:fill="DCE2EF"/>
          </w:tcPr>
          <w:p>
            <w:pPr>
              <w:spacing w:after="0" w:line="20" w:lineRule="exact"/>
              <w:rPr>
                <w:sz w:val="1"/>
                <w:szCs w:val="1"/>
                <w:color w:val="auto"/>
              </w:rPr>
            </w:pPr>
          </w:p>
        </w:tc>
        <w:tc>
          <w:tcPr>
            <w:tcW w:w="940" w:type="dxa"/>
            <w:vAlign w:val="bottom"/>
            <w:shd w:val="clear" w:color="auto" w:fill="DCE2EF"/>
          </w:tcPr>
          <w:p>
            <w:pPr>
              <w:spacing w:after="0" w:line="20" w:lineRule="exact"/>
              <w:rPr>
                <w:sz w:val="1"/>
                <w:szCs w:val="1"/>
                <w:color w:val="auto"/>
              </w:rPr>
            </w:pPr>
          </w:p>
        </w:tc>
        <w:tc>
          <w:tcPr>
            <w:tcW w:w="580" w:type="dxa"/>
            <w:vAlign w:val="bottom"/>
            <w:shd w:val="clear" w:color="auto" w:fill="DCE2EF"/>
          </w:tcPr>
          <w:p>
            <w:pPr>
              <w:spacing w:after="0" w:line="20" w:lineRule="exact"/>
              <w:rPr>
                <w:sz w:val="1"/>
                <w:szCs w:val="1"/>
                <w:color w:val="auto"/>
              </w:rPr>
            </w:pPr>
          </w:p>
        </w:tc>
        <w:tc>
          <w:tcPr>
            <w:tcW w:w="172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-3792220</wp:posOffset>
            </wp:positionV>
            <wp:extent cx="162560" cy="334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33401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-2691130</wp:posOffset>
            </wp:positionV>
            <wp:extent cx="13716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-2691130</wp:posOffset>
            </wp:positionV>
            <wp:extent cx="13716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-2102485</wp:posOffset>
            </wp:positionV>
            <wp:extent cx="1371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-2102485</wp:posOffset>
            </wp:positionV>
            <wp:extent cx="13716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-1508125</wp:posOffset>
            </wp:positionV>
            <wp:extent cx="1371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-1508125</wp:posOffset>
            </wp:positionV>
            <wp:extent cx="13716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57"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January 31,</w:t>
      </w:r>
    </w:p>
    <w:p>
      <w:pPr>
        <w:sectPr>
          <w:pgSz w:w="11900" w:h="16838" w:orient="portrait"/>
          <w:cols w:equalWidth="0" w:num="1">
            <w:col w:w="11220"/>
          </w:cols>
          <w:pgMar w:left="320" w:top="885" w:right="359" w:bottom="1440" w:gutter="0" w:footer="0" w:header="0"/>
        </w:sectPr>
      </w:pP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Net cash used in operating activities </w:t>
      </w:r>
      <w:r>
        <w:rPr>
          <w:rFonts w:ascii="Arial" w:cs="Arial" w:eastAsia="Arial" w:hAnsi="Arial"/>
          <w:sz w:val="21"/>
          <w:szCs w:val="21"/>
          <w:b w:val="1"/>
          <w:bCs w:val="1"/>
          <w:color w:val="auto"/>
          <w:vertAlign w:val="superscript"/>
        </w:rPr>
        <w:t>(a)</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 awards, net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31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Financing of energy savings performance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81" w:lineRule="exact"/>
        <w:rPr>
          <w:sz w:val="20"/>
          <w:szCs w:val="20"/>
          <w:color w:val="auto"/>
        </w:rPr>
      </w:pPr>
    </w:p>
    <w:p>
      <w:pPr>
        <w:ind w:left="620" w:hanging="368"/>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(0.1)</w:t>
      </w:r>
    </w:p>
    <w:p>
      <w:pPr>
        <w:spacing w:after="0" w:line="192"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(13.6)</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0.5</w:t>
      </w:r>
    </w:p>
    <w:p>
      <w:pPr>
        <w:spacing w:after="0" w:line="167" w:lineRule="exact"/>
        <w:rPr>
          <w:sz w:val="20"/>
          <w:szCs w:val="20"/>
          <w:color w:val="auto"/>
        </w:rPr>
      </w:pPr>
    </w:p>
    <w:p>
      <w:pPr>
        <w:ind w:left="520" w:hanging="358"/>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46355</wp:posOffset>
            </wp:positionV>
            <wp:extent cx="985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72390</wp:posOffset>
            </wp:positionV>
            <wp:extent cx="9855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7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(9.5)</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(14.1)</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301.0</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(284.1)</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8.2</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w:t>
      </w:r>
    </w:p>
    <w:p>
      <w:pPr>
        <w:spacing w:after="0" w:line="167" w:lineRule="exact"/>
        <w:rPr>
          <w:sz w:val="20"/>
          <w:szCs w:val="20"/>
          <w:color w:val="auto"/>
        </w:rPr>
      </w:pPr>
    </w:p>
    <w:p>
      <w:pPr>
        <w:ind w:left="720" w:hanging="360"/>
        <w:spacing w:after="0"/>
        <w:tabs>
          <w:tab w:leader="none" w:pos="720" w:val="left"/>
        </w:tabs>
        <w:numPr>
          <w:ilvl w:val="0"/>
          <w:numId w:val="8"/>
        </w:numPr>
        <w:rPr>
          <w:rFonts w:ascii="Arial" w:cs="Arial" w:eastAsia="Arial" w:hAnsi="Arial"/>
          <w:sz w:val="15"/>
          <w:szCs w:val="15"/>
          <w:color w:val="auto"/>
        </w:rPr>
      </w:pPr>
      <w:r>
        <w:rPr>
          <w:rFonts w:ascii="Arial" w:cs="Arial" w:eastAsia="Arial" w:hAnsi="Arial"/>
          <w:sz w:val="15"/>
          <w:szCs w:val="15"/>
          <w:color w:val="auto"/>
        </w:rPr>
        <w:t>0.5</w:t>
      </w:r>
    </w:p>
    <w:p>
      <w:pPr>
        <w:spacing w:after="0" w:line="205"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-185420</wp:posOffset>
            </wp:positionV>
            <wp:extent cx="985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-160020</wp:posOffset>
            </wp:positionV>
            <wp:extent cx="985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81" w:lineRule="exact"/>
        <w:rPr>
          <w:sz w:val="20"/>
          <w:szCs w:val="20"/>
          <w:color w:val="auto"/>
        </w:rPr>
      </w:pPr>
    </w:p>
    <w:p>
      <w:pPr>
        <w:ind w:left="520" w:hanging="356"/>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(70.9)</w:t>
      </w:r>
    </w:p>
    <w:p>
      <w:pPr>
        <w:spacing w:after="0" w:line="180"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(13.8)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167" w:lineRule="exact"/>
        <w:rPr>
          <w:sz w:val="20"/>
          <w:szCs w:val="20"/>
          <w:color w:val="auto"/>
        </w:rPr>
      </w:pPr>
    </w:p>
    <w:p>
      <w:pPr>
        <w:ind w:left="520" w:hanging="356"/>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(12.5)</w:t>
      </w:r>
    </w:p>
    <w:p>
      <w:pPr>
        <w:spacing w:after="0" w:line="194"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(12.7)</w:t>
      </w:r>
    </w:p>
    <w:p>
      <w:pPr>
        <w:spacing w:after="0" w:line="180"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-424180</wp:posOffset>
            </wp:positionV>
            <wp:extent cx="986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-398780</wp:posOffset>
            </wp:positionV>
            <wp:extent cx="986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264.5</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(147.6)</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167" w:lineRule="exact"/>
        <w:rPr>
          <w:sz w:val="20"/>
          <w:szCs w:val="20"/>
          <w:color w:val="auto"/>
        </w:rPr>
      </w:pPr>
    </w:p>
    <w:p>
      <w:pPr>
        <w:ind w:left="640" w:hanging="368"/>
        <w:spacing w:after="0"/>
        <w:tabs>
          <w:tab w:leader="none" w:pos="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96.2</w:t>
      </w:r>
    </w:p>
    <w:p>
      <w:pPr>
        <w:spacing w:after="0" w:line="205"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-185420</wp:posOffset>
            </wp:positionV>
            <wp:extent cx="9861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-160020</wp:posOffset>
            </wp:positionV>
            <wp:extent cx="986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7780" w:space="720"/>
            <w:col w:w="1060" w:space="720"/>
            <w:col w:w="940"/>
          </w:cols>
          <w:pgMar w:left="320" w:top="885" w:right="359" w:bottom="1440" w:gutter="0" w:footer="0" w:header="0"/>
          <w:type w:val="continuous"/>
        </w:sectPr>
      </w:pPr>
    </w:p>
    <w:p>
      <w:pPr>
        <w:spacing w:after="0" w:line="81"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The three months ended January 31, 2023, include a $66 million payment for deferred payroll taxes under the Coronavirus Aid Relief and Economic Security Act (“CARES Act”).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January 31, 2024</w:t>
            </w:r>
          </w:p>
        </w:tc>
        <w:tc>
          <w:tcPr>
            <w:tcW w:w="220" w:type="dxa"/>
            <w:vAlign w:val="bottom"/>
          </w:tcPr>
          <w:p>
            <w:pPr>
              <w:spacing w:after="0"/>
              <w:rPr>
                <w:sz w:val="17"/>
                <w:szCs w:val="17"/>
                <w:color w:val="auto"/>
              </w:rPr>
            </w:pPr>
          </w:p>
        </w:tc>
        <w:tc>
          <w:tcPr>
            <w:tcW w:w="16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October 31, 2023</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58.0</w:t>
            </w:r>
          </w:p>
        </w:tc>
        <w:tc>
          <w:tcPr>
            <w:tcW w:w="13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Trade accounts receivable, net of allowances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1,382.0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1,365.0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Costs incurred in excess of amounts billed</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120.4</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600" w:type="dxa"/>
            <w:vAlign w:val="bottom"/>
            <w:gridSpan w:val="2"/>
          </w:tcPr>
          <w:p>
            <w:pPr>
              <w:ind w:left="520"/>
              <w:spacing w:after="0"/>
              <w:rPr>
                <w:sz w:val="20"/>
                <w:szCs w:val="20"/>
                <w:color w:val="auto"/>
              </w:rPr>
            </w:pPr>
            <w:r>
              <w:rPr>
                <w:rFonts w:ascii="Arial" w:cs="Arial" w:eastAsia="Arial" w:hAnsi="Arial"/>
                <w:sz w:val="16"/>
                <w:szCs w:val="16"/>
                <w:color w:val="auto"/>
              </w:rPr>
              <w:t>Total current assets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1,723.9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1,710.7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28.3</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95"/>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 net of accumulated depreciation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109.0</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95"/>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288.5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2,494.3</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318"/>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356"/>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4,955.4</w:t>
            </w:r>
          </w:p>
        </w:tc>
        <w:tc>
          <w:tcPr>
            <w:tcW w:w="132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243"/>
        </w:trPr>
        <w:tc>
          <w:tcPr>
            <w:tcW w:w="76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 net</w:t>
            </w: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Trade accounts payable</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243.5</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compensation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Accrued taxes—other than income</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62.0</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Insurance claims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190.5</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Income taxes payable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Current portion of lease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Other accrued liabilities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315"/>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520"/>
              <w:spacing w:after="0"/>
              <w:rPr>
                <w:sz w:val="20"/>
                <w:szCs w:val="20"/>
                <w:color w:val="auto"/>
              </w:rPr>
            </w:pPr>
            <w:r>
              <w:rPr>
                <w:rFonts w:ascii="Arial" w:cs="Arial" w:eastAsia="Arial" w:hAnsi="Arial"/>
                <w:sz w:val="16"/>
                <w:szCs w:val="16"/>
                <w:color w:val="auto"/>
              </w:rPr>
              <w:t>Total current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1,165.3</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262"/>
        </w:trPr>
        <w:tc>
          <w:tcPr>
            <w:tcW w:w="76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Long-term debt, net</w:t>
            </w:r>
          </w:p>
        </w:tc>
        <w:tc>
          <w:tcPr>
            <w:tcW w:w="9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1,296.9</w:t>
            </w:r>
          </w:p>
        </w:tc>
        <w:tc>
          <w:tcPr>
            <w:tcW w:w="220" w:type="dxa"/>
            <w:vAlign w:val="bottom"/>
            <w:tcBorders>
              <w:top w:val="single" w:sz="8" w:color="DCE2EF"/>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1,279.8</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95"/>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417.4</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295"/>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8"/>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3,132.7</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3,133.8</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1,822.7</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1,799.9</w:t>
            </w:r>
          </w:p>
        </w:tc>
        <w:tc>
          <w:tcPr>
            <w:tcW w:w="0" w:type="dxa"/>
            <w:vAlign w:val="bottom"/>
          </w:tcPr>
          <w:p>
            <w:pPr>
              <w:spacing w:after="0"/>
              <w:rPr>
                <w:sz w:val="1"/>
                <w:szCs w:val="1"/>
                <w:color w:val="auto"/>
              </w:rPr>
            </w:pPr>
          </w:p>
        </w:tc>
      </w:tr>
      <w:tr>
        <w:trPr>
          <w:trHeight w:val="268"/>
        </w:trPr>
        <w:tc>
          <w:tcPr>
            <w:tcW w:w="766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4,955.4</w:t>
            </w:r>
          </w:p>
        </w:tc>
        <w:tc>
          <w:tcPr>
            <w:tcW w:w="13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42"/>
        </w:trPr>
        <w:tc>
          <w:tcPr>
            <w:tcW w:w="7660" w:type="dxa"/>
            <w:vAlign w:val="bottom"/>
            <w:gridSpan w:val="3"/>
            <w:vMerge w:val="continue"/>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-6002655</wp:posOffset>
            </wp:positionV>
            <wp:extent cx="14605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-4354195</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-4328160</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-2093595</wp:posOffset>
            </wp:positionV>
            <wp:extent cx="14605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-1887855</wp:posOffset>
            </wp:positionV>
            <wp:extent cx="14605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-653415</wp:posOffset>
            </wp:positionV>
            <wp:extent cx="14605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-241935</wp:posOffset>
            </wp:positionV>
            <wp:extent cx="14605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ind w:right="4940"/>
        <w:spacing w:after="0" w:line="297"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8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January 31,</w:t>
            </w:r>
          </w:p>
        </w:tc>
        <w:tc>
          <w:tcPr>
            <w:tcW w:w="200" w:type="dxa"/>
            <w:vAlign w:val="bottom"/>
          </w:tcPr>
          <w:p>
            <w:pPr>
              <w:spacing w:after="0"/>
              <w:rPr>
                <w:sz w:val="19"/>
                <w:szCs w:val="19"/>
                <w:color w:val="auto"/>
              </w:rPr>
            </w:pPr>
          </w:p>
        </w:tc>
        <w:tc>
          <w:tcPr>
            <w:tcW w:w="15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8"/>
                <w:szCs w:val="8"/>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2"/>
                <w:szCs w:val="22"/>
                <w:color w:val="auto"/>
              </w:rPr>
            </w:pPr>
          </w:p>
        </w:tc>
        <w:tc>
          <w:tcPr>
            <w:tcW w:w="58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spacing w:after="0"/>
              <w:rPr>
                <w:sz w:val="22"/>
                <w:szCs w:val="22"/>
                <w:color w:val="auto"/>
              </w:rPr>
            </w:pPr>
          </w:p>
        </w:tc>
        <w:tc>
          <w:tcPr>
            <w:tcW w:w="580" w:type="dxa"/>
            <w:vAlign w:val="bottom"/>
            <w:tcBorders>
              <w:bottom w:val="single" w:sz="8" w:color="DCE2EF"/>
            </w:tcBorders>
            <w:shd w:val="clear" w:color="auto" w:fill="DCE2EF"/>
          </w:tcPr>
          <w:p>
            <w:pPr>
              <w:spacing w:after="0"/>
              <w:rPr>
                <w:sz w:val="22"/>
                <w:szCs w:val="22"/>
                <w:color w:val="auto"/>
              </w:rPr>
            </w:pPr>
          </w:p>
        </w:tc>
        <w:tc>
          <w:tcPr>
            <w:tcW w:w="200" w:type="dxa"/>
            <w:vAlign w:val="bottom"/>
            <w:tcBorders>
              <w:bottom w:val="single" w:sz="8" w:color="DCE2EF"/>
            </w:tcBorders>
            <w:shd w:val="clear" w:color="auto" w:fill="DCE2EF"/>
          </w:tcPr>
          <w:p>
            <w:pPr>
              <w:spacing w:after="0"/>
              <w:rPr>
                <w:sz w:val="22"/>
                <w:szCs w:val="22"/>
                <w:color w:val="auto"/>
              </w:rPr>
            </w:pPr>
          </w:p>
        </w:tc>
        <w:tc>
          <w:tcPr>
            <w:tcW w:w="15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1,033.1</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1,036.6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400.9</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380.5</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214.9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249.5</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212.3</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700" w:type="dxa"/>
            <w:vAlign w:val="bottom"/>
            <w:tcBorders>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1160" w:type="dxa"/>
            <w:vAlign w:val="bottom"/>
            <w:gridSpan w:val="2"/>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1,991.3</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3"/>
        </w:trPr>
        <w:tc>
          <w:tcPr>
            <w:tcW w:w="62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52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79.6</w:t>
            </w:r>
          </w:p>
        </w:tc>
        <w:tc>
          <w:tcPr>
            <w:tcW w:w="116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75.9</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11.8</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2"/>
                <w:szCs w:val="22"/>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58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52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DCE2EF"/>
            </w:tcBorders>
            <w:shd w:val="clear" w:color="auto" w:fill="DCE2EF"/>
          </w:tcPr>
          <w:p>
            <w:pPr>
              <w:spacing w:after="0"/>
              <w:rPr>
                <w:sz w:val="19"/>
                <w:szCs w:val="19"/>
                <w:color w:val="auto"/>
              </w:rPr>
            </w:pPr>
          </w:p>
        </w:tc>
        <w:tc>
          <w:tcPr>
            <w:tcW w:w="618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19"/>
                <w:szCs w:val="19"/>
                <w:color w:val="auto"/>
              </w:rPr>
            </w:pPr>
          </w:p>
        </w:tc>
        <w:tc>
          <w:tcPr>
            <w:tcW w:w="580" w:type="dxa"/>
            <w:vAlign w:val="bottom"/>
            <w:tcBorders>
              <w:bottom w:val="single" w:sz="8" w:color="DCE2EF"/>
            </w:tcBorders>
            <w:vMerge w:val="continue"/>
            <w:shd w:val="clear" w:color="auto" w:fill="DCE2EF"/>
          </w:tcPr>
          <w:p>
            <w:pPr>
              <w:spacing w:after="0"/>
              <w:rPr>
                <w:sz w:val="19"/>
                <w:szCs w:val="19"/>
                <w:color w:val="auto"/>
              </w:rPr>
            </w:pPr>
          </w:p>
        </w:tc>
        <w:tc>
          <w:tcPr>
            <w:tcW w:w="220" w:type="dxa"/>
            <w:vAlign w:val="bottom"/>
            <w:tcBorders>
              <w:bottom w:val="single" w:sz="8" w:color="DCE2EF"/>
            </w:tcBorders>
            <w:shd w:val="clear" w:color="auto" w:fill="DCE2EF"/>
          </w:tcPr>
          <w:p>
            <w:pPr>
              <w:spacing w:after="0"/>
              <w:rPr>
                <w:sz w:val="19"/>
                <w:szCs w:val="19"/>
                <w:color w:val="auto"/>
              </w:rPr>
            </w:pPr>
          </w:p>
        </w:tc>
        <w:tc>
          <w:tcPr>
            <w:tcW w:w="940" w:type="dxa"/>
            <w:vAlign w:val="bottom"/>
            <w:tcBorders>
              <w:bottom w:val="single" w:sz="8" w:color="DCE2EF"/>
            </w:tcBorders>
            <w:shd w:val="clear" w:color="auto" w:fill="DCE2EF"/>
          </w:tcPr>
          <w:p>
            <w:pPr>
              <w:spacing w:after="0"/>
              <w:rPr>
                <w:sz w:val="19"/>
                <w:szCs w:val="19"/>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5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w:t>
            </w:r>
          </w:p>
        </w:tc>
        <w:tc>
          <w:tcPr>
            <w:tcW w:w="96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180" w:type="dxa"/>
            <w:vAlign w:val="bottom"/>
            <w:gridSpan w:val="2"/>
          </w:tcPr>
          <w:p>
            <w:pPr>
              <w:ind w:left="160"/>
              <w:spacing w:after="0"/>
              <w:rPr>
                <w:sz w:val="20"/>
                <w:szCs w:val="20"/>
                <w:color w:val="auto"/>
              </w:rPr>
            </w:pPr>
            <w:r>
              <w:rPr>
                <w:rFonts w:ascii="Arial" w:cs="Arial" w:eastAsia="Arial" w:hAnsi="Arial"/>
                <w:sz w:val="16"/>
                <w:szCs w:val="16"/>
                <w:color w:val="auto"/>
              </w:rPr>
              <w:t>in Technical Solutions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71.4</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(19.8)</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5"/>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45"/>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22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-4648200</wp:posOffset>
            </wp:positionV>
            <wp:extent cx="145415"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-4648200</wp:posOffset>
            </wp:positionV>
            <wp:extent cx="13716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-3265170</wp:posOffset>
            </wp:positionV>
            <wp:extent cx="145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-3239770</wp:posOffset>
            </wp:positionV>
            <wp:extent cx="145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-3462655</wp:posOffset>
            </wp:positionV>
            <wp:extent cx="145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-3265170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-3239770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-3462655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-1253490</wp:posOffset>
            </wp:positionV>
            <wp:extent cx="145415"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-1253490</wp:posOffset>
            </wp:positionV>
            <wp:extent cx="13716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-662305</wp:posOffset>
            </wp:positionV>
            <wp:extent cx="14541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-662305</wp:posOffset>
            </wp:positionV>
            <wp:extent cx="13716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1" w:name="page12"/>
    <w:bookmarkEnd w:id="11"/>
    <w:p>
      <w:pPr>
        <w:ind w:right="418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71"/>
        </w:trPr>
        <w:tc>
          <w:tcPr>
            <w:tcW w:w="1980" w:type="dxa"/>
            <w:vAlign w:val="bottom"/>
            <w:tcBorders>
              <w:top w:val="single" w:sz="8" w:color="auto"/>
            </w:tcBorders>
          </w:tcPr>
          <w:p>
            <w:pPr>
              <w:spacing w:after="0"/>
              <w:rPr>
                <w:sz w:val="23"/>
                <w:szCs w:val="23"/>
                <w:color w:val="auto"/>
              </w:rPr>
            </w:pPr>
          </w:p>
        </w:tc>
        <w:tc>
          <w:tcPr>
            <w:tcW w:w="5940" w:type="dxa"/>
            <w:vAlign w:val="bottom"/>
          </w:tcPr>
          <w:p>
            <w:pPr>
              <w:spacing w:after="0"/>
              <w:rPr>
                <w:sz w:val="23"/>
                <w:szCs w:val="23"/>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January 31,</w:t>
            </w:r>
          </w:p>
        </w:tc>
        <w:tc>
          <w:tcPr>
            <w:tcW w:w="360" w:type="dxa"/>
            <w:vAlign w:val="bottom"/>
            <w:tcBorders>
              <w:bottom w:val="single" w:sz="8" w:color="auto"/>
            </w:tcBorders>
          </w:tcPr>
          <w:p>
            <w:pPr>
              <w:spacing w:after="0"/>
              <w:rPr>
                <w:sz w:val="23"/>
                <w:szCs w:val="23"/>
                <w:color w:val="auto"/>
              </w:rPr>
            </w:pPr>
          </w:p>
        </w:tc>
      </w:tr>
      <w:tr>
        <w:trPr>
          <w:trHeight w:val="263"/>
        </w:trPr>
        <w:tc>
          <w:tcPr>
            <w:tcW w:w="7920" w:type="dxa"/>
            <w:vAlign w:val="bottom"/>
            <w:gridSpan w:val="2"/>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2023</w:t>
            </w:r>
          </w:p>
        </w:tc>
        <w:tc>
          <w:tcPr>
            <w:tcW w:w="360" w:type="dxa"/>
            <w:vAlign w:val="bottom"/>
            <w:tcBorders>
              <w:bottom w:val="single" w:sz="8" w:color="auto"/>
            </w:tcBorders>
          </w:tcPr>
          <w:p>
            <w:pPr>
              <w:spacing w:after="0"/>
              <w:rPr>
                <w:sz w:val="22"/>
                <w:szCs w:val="22"/>
                <w:color w:val="auto"/>
              </w:rPr>
            </w:pPr>
          </w:p>
        </w:tc>
      </w:tr>
      <w:tr>
        <w:trPr>
          <w:trHeight w:val="244"/>
        </w:trPr>
        <w:tc>
          <w:tcPr>
            <w:tcW w:w="8940" w:type="dxa"/>
            <w:vAlign w:val="bottom"/>
            <w:gridSpan w:val="3"/>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tc>
        <w:tc>
          <w:tcPr>
            <w:tcW w:w="220" w:type="dxa"/>
            <w:vAlign w:val="bottom"/>
            <w:shd w:val="clear" w:color="auto" w:fill="DCE2EF"/>
          </w:tcPr>
          <w:p>
            <w:pPr>
              <w:spacing w:after="0"/>
              <w:rPr>
                <w:sz w:val="21"/>
                <w:szCs w:val="21"/>
                <w:color w:val="auto"/>
              </w:rPr>
            </w:pPr>
          </w:p>
        </w:tc>
        <w:tc>
          <w:tcPr>
            <w:tcW w:w="740" w:type="dxa"/>
            <w:vAlign w:val="bottom"/>
            <w:shd w:val="clear" w:color="auto" w:fill="DCE2EF"/>
          </w:tcPr>
          <w:p>
            <w:pPr>
              <w:spacing w:after="0"/>
              <w:rPr>
                <w:sz w:val="21"/>
                <w:szCs w:val="21"/>
                <w:color w:val="auto"/>
              </w:rPr>
            </w:pPr>
          </w:p>
        </w:tc>
        <w:tc>
          <w:tcPr>
            <w:tcW w:w="860" w:type="dxa"/>
            <w:vAlign w:val="bottom"/>
            <w:shd w:val="clear" w:color="auto" w:fill="DCE2EF"/>
          </w:tcPr>
          <w:p>
            <w:pPr>
              <w:spacing w:after="0"/>
              <w:rPr>
                <w:sz w:val="21"/>
                <w:szCs w:val="21"/>
                <w:color w:val="auto"/>
              </w:rPr>
            </w:pPr>
          </w:p>
        </w:tc>
        <w:tc>
          <w:tcPr>
            <w:tcW w:w="360" w:type="dxa"/>
            <w:vAlign w:val="bottom"/>
            <w:shd w:val="clear" w:color="auto" w:fill="DCE2EF"/>
          </w:tcPr>
          <w:p>
            <w:pPr>
              <w:spacing w:after="0"/>
              <w:rPr>
                <w:sz w:val="21"/>
                <w:szCs w:val="21"/>
                <w:color w:val="auto"/>
              </w:rPr>
            </w:pPr>
          </w:p>
        </w:tc>
      </w:tr>
      <w:tr>
        <w:trPr>
          <w:trHeight w:val="147"/>
        </w:trPr>
        <w:tc>
          <w:tcPr>
            <w:tcW w:w="1980" w:type="dxa"/>
            <w:vAlign w:val="bottom"/>
            <w:shd w:val="clear" w:color="auto" w:fill="DCE2EF"/>
          </w:tcPr>
          <w:p>
            <w:pPr>
              <w:spacing w:after="0"/>
              <w:rPr>
                <w:sz w:val="12"/>
                <w:szCs w:val="12"/>
                <w:color w:val="auto"/>
              </w:rPr>
            </w:pPr>
          </w:p>
        </w:tc>
        <w:tc>
          <w:tcPr>
            <w:tcW w:w="594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220" w:type="dxa"/>
            <w:vAlign w:val="bottom"/>
            <w:shd w:val="clear" w:color="auto" w:fill="DCE2EF"/>
          </w:tcPr>
          <w:p>
            <w:pPr>
              <w:spacing w:after="0"/>
              <w:rPr>
                <w:sz w:val="12"/>
                <w:szCs w:val="12"/>
                <w:color w:val="auto"/>
              </w:rPr>
            </w:pPr>
          </w:p>
        </w:tc>
        <w:tc>
          <w:tcPr>
            <w:tcW w:w="740" w:type="dxa"/>
            <w:vAlign w:val="bottom"/>
            <w:shd w:val="clear" w:color="auto" w:fill="DCE2EF"/>
          </w:tcPr>
          <w:p>
            <w:pPr>
              <w:spacing w:after="0"/>
              <w:rPr>
                <w:sz w:val="12"/>
                <w:szCs w:val="12"/>
                <w:color w:val="auto"/>
              </w:rPr>
            </w:pPr>
          </w:p>
        </w:tc>
        <w:tc>
          <w:tcPr>
            <w:tcW w:w="860" w:type="dxa"/>
            <w:vAlign w:val="bottom"/>
            <w:shd w:val="clear" w:color="auto" w:fill="DCE2EF"/>
          </w:tcPr>
          <w:p>
            <w:pPr>
              <w:spacing w:after="0"/>
              <w:rPr>
                <w:sz w:val="12"/>
                <w:szCs w:val="12"/>
                <w:color w:val="auto"/>
              </w:rPr>
            </w:pPr>
          </w:p>
        </w:tc>
        <w:tc>
          <w:tcPr>
            <w:tcW w:w="360" w:type="dxa"/>
            <w:vAlign w:val="bottom"/>
            <w:shd w:val="clear" w:color="auto" w:fill="DCE2EF"/>
          </w:tcPr>
          <w:p>
            <w:pPr>
              <w:spacing w:after="0"/>
              <w:rPr>
                <w:sz w:val="12"/>
                <w:szCs w:val="12"/>
                <w:color w:val="auto"/>
              </w:rPr>
            </w:pPr>
          </w:p>
        </w:tc>
      </w:tr>
      <w:tr>
        <w:trPr>
          <w:trHeight w:val="278"/>
        </w:trPr>
        <w:tc>
          <w:tcPr>
            <w:tcW w:w="8940" w:type="dxa"/>
            <w:vAlign w:val="bottom"/>
            <w:gridSpan w:val="3"/>
          </w:tcPr>
          <w:p>
            <w:pPr>
              <w:ind w:left="60"/>
              <w:spacing w:after="0"/>
              <w:rPr>
                <w:sz w:val="20"/>
                <w:szCs w:val="20"/>
                <w:color w:val="auto"/>
              </w:rPr>
            </w:pPr>
            <w:r>
              <w:rPr>
                <w:rFonts w:ascii="Arial" w:cs="Arial" w:eastAsia="Arial" w:hAnsi="Arial"/>
                <w:sz w:val="15"/>
                <w:szCs w:val="15"/>
                <w:b w:val="1"/>
                <w:bCs w:val="1"/>
                <w:color w:val="auto"/>
              </w:rPr>
              <w:t>Net income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44.7</w:t>
            </w:r>
          </w:p>
        </w:tc>
        <w:tc>
          <w:tcPr>
            <w:tcW w:w="8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38.5</w:t>
            </w:r>
          </w:p>
        </w:tc>
      </w:tr>
      <w:tr>
        <w:trPr>
          <w:trHeight w:val="289"/>
        </w:trPr>
        <w:tc>
          <w:tcPr>
            <w:tcW w:w="8940" w:type="dxa"/>
            <w:vAlign w:val="bottom"/>
            <w:gridSpan w:val="3"/>
            <w:shd w:val="clear" w:color="auto" w:fill="DCE2EF"/>
          </w:tcPr>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w:t>
            </w:r>
          </w:p>
        </w:tc>
        <w:tc>
          <w:tcPr>
            <w:tcW w:w="220" w:type="dxa"/>
            <w:vAlign w:val="bottom"/>
            <w:shd w:val="clear" w:color="auto" w:fill="DCE2EF"/>
          </w:tcPr>
          <w:p>
            <w:pPr>
              <w:spacing w:after="0"/>
              <w:rPr>
                <w:sz w:val="24"/>
                <w:szCs w:val="24"/>
                <w:color w:val="auto"/>
              </w:rPr>
            </w:pPr>
          </w:p>
        </w:tc>
        <w:tc>
          <w:tcPr>
            <w:tcW w:w="74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r>
      <w:tr>
        <w:trPr>
          <w:trHeight w:val="283"/>
        </w:trPr>
        <w:tc>
          <w:tcPr>
            <w:tcW w:w="8940" w:type="dxa"/>
            <w:vAlign w:val="bottom"/>
            <w:gridSpan w:val="3"/>
          </w:tcPr>
          <w:p>
            <w:pPr>
              <w:ind w:left="260"/>
              <w:spacing w:after="0"/>
              <w:rPr>
                <w:sz w:val="20"/>
                <w:szCs w:val="20"/>
                <w:color w:val="auto"/>
              </w:rPr>
            </w:pPr>
            <w:r>
              <w:rPr>
                <w:rFonts w:ascii="Arial" w:cs="Arial" w:eastAsia="Arial" w:hAnsi="Arial"/>
                <w:sz w:val="15"/>
                <w:szCs w:val="15"/>
                <w:color w:val="auto"/>
              </w:rPr>
              <w:t>Prior year self-insurance adjustment</w:t>
            </w:r>
            <w:r>
              <w:rPr>
                <w:rFonts w:ascii="Arial" w:cs="Arial" w:eastAsia="Arial" w:hAnsi="Arial"/>
                <w:sz w:val="20"/>
                <w:szCs w:val="20"/>
                <w:color w:val="auto"/>
                <w:vertAlign w:val="superscript"/>
              </w:rPr>
              <w:t>(b)</w:t>
            </w:r>
          </w:p>
        </w:tc>
        <w:tc>
          <w:tcPr>
            <w:tcW w:w="22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5.3</w:t>
            </w:r>
          </w:p>
        </w:tc>
        <w:tc>
          <w:tcPr>
            <w:tcW w:w="8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83"/>
        </w:trPr>
        <w:tc>
          <w:tcPr>
            <w:tcW w:w="8940" w:type="dxa"/>
            <w:vAlign w:val="bottom"/>
            <w:gridSpan w:val="3"/>
            <w:shd w:val="clear" w:color="auto" w:fill="DCE2EF"/>
          </w:tcPr>
          <w:p>
            <w:pPr>
              <w:ind w:left="26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(c)</w:t>
            </w:r>
          </w:p>
        </w:tc>
        <w:tc>
          <w:tcPr>
            <w:tcW w:w="220" w:type="dxa"/>
            <w:vAlign w:val="bottom"/>
            <w:shd w:val="clear" w:color="auto" w:fill="DCE2EF"/>
          </w:tcPr>
          <w:p>
            <w:pPr>
              <w:spacing w:after="0"/>
              <w:rPr>
                <w:sz w:val="24"/>
                <w:szCs w:val="24"/>
                <w:color w:val="auto"/>
              </w:rPr>
            </w:pPr>
          </w:p>
        </w:tc>
        <w:tc>
          <w:tcPr>
            <w:tcW w:w="740" w:type="dxa"/>
            <w:vAlign w:val="bottom"/>
            <w:shd w:val="clear" w:color="auto" w:fill="DCE2EF"/>
          </w:tcPr>
          <w:p>
            <w:pPr>
              <w:jc w:val="right"/>
              <w:ind w:right="224"/>
              <w:spacing w:after="0"/>
              <w:rPr>
                <w:sz w:val="20"/>
                <w:szCs w:val="20"/>
                <w:color w:val="auto"/>
              </w:rPr>
            </w:pPr>
            <w:r>
              <w:rPr>
                <w:rFonts w:ascii="Arial" w:cs="Arial" w:eastAsia="Arial" w:hAnsi="Arial"/>
                <w:sz w:val="15"/>
                <w:szCs w:val="15"/>
                <w:color w:val="auto"/>
              </w:rPr>
              <w:t>1.4</w:t>
            </w:r>
          </w:p>
        </w:tc>
        <w:tc>
          <w:tcPr>
            <w:tcW w:w="860" w:type="dxa"/>
            <w:vAlign w:val="bottom"/>
            <w:shd w:val="clear" w:color="auto" w:fill="DCE2EF"/>
          </w:tcPr>
          <w:p>
            <w:pPr>
              <w:spacing w:after="0"/>
              <w:rPr>
                <w:sz w:val="24"/>
                <w:szCs w:val="24"/>
                <w:color w:val="auto"/>
              </w:rPr>
            </w:pPr>
          </w:p>
        </w:tc>
        <w:tc>
          <w:tcPr>
            <w:tcW w:w="3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w:t>
            </w:r>
          </w:p>
        </w:tc>
      </w:tr>
      <w:tr>
        <w:trPr>
          <w:trHeight w:val="283"/>
        </w:trPr>
        <w:tc>
          <w:tcPr>
            <w:tcW w:w="8940" w:type="dxa"/>
            <w:vAlign w:val="bottom"/>
            <w:gridSpan w:val="3"/>
          </w:tcPr>
          <w:p>
            <w:pPr>
              <w:ind w:left="26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(d)</w:t>
            </w:r>
          </w:p>
        </w:tc>
        <w:tc>
          <w:tcPr>
            <w:tcW w:w="22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7.0</w:t>
            </w:r>
          </w:p>
        </w:tc>
        <w:tc>
          <w:tcPr>
            <w:tcW w:w="8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77"/>
        </w:trPr>
        <w:tc>
          <w:tcPr>
            <w:tcW w:w="792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5"/>
                <w:szCs w:val="15"/>
                <w:color w:val="auto"/>
              </w:rPr>
              <w:t>Other</w:t>
            </w:r>
          </w:p>
        </w:tc>
        <w:tc>
          <w:tcPr>
            <w:tcW w:w="102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spacing w:after="0"/>
              <w:rPr>
                <w:sz w:val="24"/>
                <w:szCs w:val="24"/>
                <w:color w:val="auto"/>
              </w:rPr>
            </w:pPr>
          </w:p>
        </w:tc>
        <w:tc>
          <w:tcPr>
            <w:tcW w:w="740" w:type="dxa"/>
            <w:vAlign w:val="bottom"/>
            <w:tcBorders>
              <w:bottom w:val="single" w:sz="8" w:color="auto"/>
            </w:tcBorders>
            <w:shd w:val="clear" w:color="auto" w:fill="DCE2EF"/>
          </w:tcPr>
          <w:p>
            <w:pPr>
              <w:jc w:val="right"/>
              <w:ind w:right="224"/>
              <w:spacing w:after="0"/>
              <w:rPr>
                <w:sz w:val="20"/>
                <w:szCs w:val="20"/>
                <w:color w:val="auto"/>
              </w:rPr>
            </w:pPr>
            <w:r>
              <w:rPr>
                <w:rFonts w:ascii="Arial" w:cs="Arial" w:eastAsia="Arial" w:hAnsi="Arial"/>
                <w:sz w:val="15"/>
                <w:szCs w:val="15"/>
                <w:color w:val="auto"/>
              </w:rPr>
              <w:t>0.8</w:t>
            </w:r>
          </w:p>
        </w:tc>
        <w:tc>
          <w:tcPr>
            <w:tcW w:w="860" w:type="dxa"/>
            <w:vAlign w:val="bottom"/>
            <w:tcBorders>
              <w:bottom w:val="single" w:sz="8" w:color="auto"/>
            </w:tcBorders>
            <w:shd w:val="clear" w:color="auto" w:fill="DCE2EF"/>
          </w:tcPr>
          <w:p>
            <w:pPr>
              <w:spacing w:after="0"/>
              <w:rPr>
                <w:sz w:val="24"/>
                <w:szCs w:val="24"/>
                <w:color w:val="auto"/>
              </w:rPr>
            </w:pPr>
          </w:p>
        </w:tc>
        <w:tc>
          <w:tcPr>
            <w:tcW w:w="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8940" w:type="dxa"/>
            <w:vAlign w:val="bottom"/>
            <w:gridSpan w:val="3"/>
          </w:tcPr>
          <w:p>
            <w:pPr>
              <w:ind w:left="60"/>
              <w:spacing w:after="0"/>
              <w:rPr>
                <w:sz w:val="20"/>
                <w:szCs w:val="20"/>
                <w:color w:val="auto"/>
              </w:rPr>
            </w:pPr>
            <w:r>
              <w:rPr>
                <w:rFonts w:ascii="Arial" w:cs="Arial" w:eastAsia="Arial" w:hAnsi="Arial"/>
                <w:sz w:val="15"/>
                <w:szCs w:val="15"/>
                <w:color w:val="auto"/>
              </w:rPr>
              <w:t>Total items impacting comparability</w:t>
            </w:r>
          </w:p>
        </w:tc>
        <w:tc>
          <w:tcPr>
            <w:tcW w:w="220" w:type="dxa"/>
            <w:vAlign w:val="bottom"/>
          </w:tcPr>
          <w:p>
            <w:pPr>
              <w:spacing w:after="0"/>
              <w:rPr>
                <w:sz w:val="20"/>
                <w:szCs w:val="20"/>
                <w:color w:val="auto"/>
              </w:rPr>
            </w:pP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14.5</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33"/>
        </w:trPr>
        <w:tc>
          <w:tcPr>
            <w:tcW w:w="19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84"/>
        </w:trPr>
        <w:tc>
          <w:tcPr>
            <w:tcW w:w="792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 xml:space="preserve">Income tax benefit </w:t>
            </w:r>
            <w:r>
              <w:rPr>
                <w:rFonts w:ascii="Arial" w:cs="Arial" w:eastAsia="Arial" w:hAnsi="Arial"/>
                <w:sz w:val="20"/>
                <w:szCs w:val="20"/>
                <w:color w:val="auto"/>
                <w:vertAlign w:val="superscript"/>
              </w:rPr>
              <w:t>(e)(f)</w:t>
            </w:r>
          </w:p>
        </w:tc>
        <w:tc>
          <w:tcPr>
            <w:tcW w:w="1020" w:type="dxa"/>
            <w:vAlign w:val="bottom"/>
            <w:tcBorders>
              <w:bottom w:val="single" w:sz="8" w:color="auto"/>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spacing w:after="0"/>
              <w:rPr>
                <w:sz w:val="24"/>
                <w:szCs w:val="24"/>
                <w:color w:val="auto"/>
              </w:rPr>
            </w:pPr>
          </w:p>
        </w:tc>
        <w:tc>
          <w:tcPr>
            <w:tcW w:w="740" w:type="dxa"/>
            <w:vAlign w:val="bottom"/>
            <w:tcBorders>
              <w:bottom w:val="single" w:sz="8" w:color="auto"/>
            </w:tcBorders>
            <w:shd w:val="clear" w:color="auto" w:fill="DCE2EF"/>
          </w:tcPr>
          <w:p>
            <w:pPr>
              <w:jc w:val="right"/>
              <w:ind w:right="224"/>
              <w:spacing w:after="0"/>
              <w:rPr>
                <w:sz w:val="20"/>
                <w:szCs w:val="20"/>
                <w:color w:val="auto"/>
              </w:rPr>
            </w:pPr>
            <w:r>
              <w:rPr>
                <w:rFonts w:ascii="Arial" w:cs="Arial" w:eastAsia="Arial" w:hAnsi="Arial"/>
                <w:sz w:val="15"/>
                <w:szCs w:val="15"/>
                <w:color w:val="auto"/>
              </w:rPr>
              <w:t>(4.4)</w:t>
            </w:r>
          </w:p>
        </w:tc>
        <w:tc>
          <w:tcPr>
            <w:tcW w:w="860" w:type="dxa"/>
            <w:vAlign w:val="bottom"/>
            <w:tcBorders>
              <w:bottom w:val="single" w:sz="8" w:color="auto"/>
            </w:tcBorders>
            <w:shd w:val="clear" w:color="auto" w:fill="DCE2EF"/>
          </w:tcPr>
          <w:p>
            <w:pPr>
              <w:spacing w:after="0"/>
              <w:rPr>
                <w:sz w:val="24"/>
                <w:szCs w:val="24"/>
                <w:color w:val="auto"/>
              </w:rPr>
            </w:pPr>
          </w:p>
        </w:tc>
        <w:tc>
          <w:tcPr>
            <w:tcW w:w="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(5.5)</w:t>
            </w:r>
          </w:p>
        </w:tc>
      </w:tr>
      <w:tr>
        <w:trPr>
          <w:trHeight w:val="231"/>
        </w:trPr>
        <w:tc>
          <w:tcPr>
            <w:tcW w:w="8940" w:type="dxa"/>
            <w:vAlign w:val="bottom"/>
            <w:gridSpan w:val="3"/>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220" w:type="dxa"/>
            <w:vAlign w:val="bottom"/>
          </w:tcPr>
          <w:p>
            <w:pPr>
              <w:spacing w:after="0"/>
              <w:rPr>
                <w:sz w:val="20"/>
                <w:szCs w:val="20"/>
                <w:color w:val="auto"/>
              </w:rPr>
            </w:pP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10.1</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33"/>
        </w:trPr>
        <w:tc>
          <w:tcPr>
            <w:tcW w:w="19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89"/>
        </w:trPr>
        <w:tc>
          <w:tcPr>
            <w:tcW w:w="792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Adjusted net income</w:t>
            </w:r>
          </w:p>
        </w:tc>
        <w:tc>
          <w:tcPr>
            <w:tcW w:w="102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DCE2EF"/>
            </w:tcBorders>
            <w:shd w:val="clear" w:color="auto" w:fill="DCE2EF"/>
          </w:tcPr>
          <w:p>
            <w:pPr>
              <w:jc w:val="right"/>
              <w:ind w:right="224"/>
              <w:spacing w:after="0"/>
              <w:rPr>
                <w:sz w:val="20"/>
                <w:szCs w:val="20"/>
                <w:color w:val="auto"/>
              </w:rPr>
            </w:pPr>
            <w:r>
              <w:rPr>
                <w:rFonts w:ascii="Arial" w:cs="Arial" w:eastAsia="Arial" w:hAnsi="Arial"/>
                <w:sz w:val="15"/>
                <w:szCs w:val="15"/>
                <w:color w:val="auto"/>
              </w:rPr>
              <w:t>54.8</w:t>
            </w:r>
          </w:p>
        </w:tc>
        <w:tc>
          <w:tcPr>
            <w:tcW w:w="860" w:type="dxa"/>
            <w:vAlign w:val="bottom"/>
            <w:tcBorders>
              <w:bottom w:val="single" w:sz="8" w:color="DCE2EF"/>
            </w:tcBorders>
            <w:shd w:val="clear" w:color="auto" w:fill="DCE2EF"/>
          </w:tcPr>
          <w:p>
            <w:pPr>
              <w:jc w:val="right"/>
              <w:ind w:right="12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rPr>
              <w:t>52.7</w:t>
            </w:r>
          </w:p>
        </w:tc>
      </w:tr>
      <w:tr>
        <w:trPr>
          <w:trHeight w:val="20"/>
        </w:trPr>
        <w:tc>
          <w:tcPr>
            <w:tcW w:w="1980" w:type="dxa"/>
            <w:vAlign w:val="bottom"/>
            <w:tcBorders>
              <w:top w:val="single" w:sz="8" w:color="DCE2EF"/>
            </w:tcBorders>
            <w:shd w:val="clear" w:color="auto" w:fill="DCE2EF"/>
          </w:tcPr>
          <w:p>
            <w:pPr>
              <w:spacing w:after="0" w:line="20" w:lineRule="exact"/>
              <w:rPr>
                <w:sz w:val="1"/>
                <w:szCs w:val="1"/>
                <w:color w:val="auto"/>
              </w:rPr>
            </w:pPr>
          </w:p>
        </w:tc>
        <w:tc>
          <w:tcPr>
            <w:tcW w:w="5940" w:type="dxa"/>
            <w:vAlign w:val="bottom"/>
            <w:tcBorders>
              <w:top w:val="single" w:sz="8" w:color="DCE2EF"/>
            </w:tcBorders>
            <w:shd w:val="clear" w:color="auto" w:fill="DCE2E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January 31,</w:t>
            </w:r>
          </w:p>
        </w:tc>
        <w:tc>
          <w:tcPr>
            <w:tcW w:w="400" w:type="dxa"/>
            <w:vAlign w:val="bottom"/>
            <w:tcBorders>
              <w:bottom w:val="single" w:sz="8" w:color="auto"/>
            </w:tcBorders>
          </w:tcPr>
          <w:p>
            <w:pPr>
              <w:spacing w:after="0"/>
              <w:rPr>
                <w:sz w:val="18"/>
                <w:szCs w:val="18"/>
                <w:color w:val="auto"/>
              </w:rPr>
            </w:pPr>
          </w:p>
        </w:tc>
      </w:tr>
      <w:tr>
        <w:trPr>
          <w:trHeight w:val="263"/>
        </w:trPr>
        <w:tc>
          <w:tcPr>
            <w:tcW w:w="7920" w:type="dxa"/>
            <w:vAlign w:val="bottom"/>
          </w:tcPr>
          <w:p>
            <w:pPr>
              <w:spacing w:after="0"/>
              <w:rPr>
                <w:sz w:val="22"/>
                <w:szCs w:val="22"/>
                <w:color w:val="auto"/>
              </w:rPr>
            </w:pPr>
          </w:p>
        </w:tc>
        <w:tc>
          <w:tcPr>
            <w:tcW w:w="12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2024</w:t>
            </w:r>
          </w:p>
        </w:tc>
        <w:tc>
          <w:tcPr>
            <w:tcW w:w="7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2023</w:t>
            </w:r>
          </w:p>
        </w:tc>
        <w:tc>
          <w:tcPr>
            <w:tcW w:w="400" w:type="dxa"/>
            <w:vAlign w:val="bottom"/>
            <w:tcBorders>
              <w:bottom w:val="single" w:sz="8" w:color="auto"/>
            </w:tcBorders>
          </w:tcPr>
          <w:p>
            <w:pPr>
              <w:spacing w:after="0"/>
              <w:rPr>
                <w:sz w:val="22"/>
                <w:szCs w:val="22"/>
                <w:color w:val="auto"/>
              </w:rPr>
            </w:pPr>
          </w:p>
        </w:tc>
      </w:tr>
      <w:tr>
        <w:trPr>
          <w:trHeight w:val="244"/>
        </w:trPr>
        <w:tc>
          <w:tcPr>
            <w:tcW w:w="792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tc>
        <w:tc>
          <w:tcPr>
            <w:tcW w:w="1220" w:type="dxa"/>
            <w:vAlign w:val="bottom"/>
            <w:shd w:val="clear" w:color="auto" w:fill="DCE2EF"/>
          </w:tcPr>
          <w:p>
            <w:pPr>
              <w:spacing w:after="0"/>
              <w:rPr>
                <w:sz w:val="21"/>
                <w:szCs w:val="21"/>
                <w:color w:val="auto"/>
              </w:rPr>
            </w:pPr>
          </w:p>
        </w:tc>
        <w:tc>
          <w:tcPr>
            <w:tcW w:w="760" w:type="dxa"/>
            <w:vAlign w:val="bottom"/>
            <w:shd w:val="clear" w:color="auto" w:fill="DCE2EF"/>
          </w:tcPr>
          <w:p>
            <w:pPr>
              <w:spacing w:after="0"/>
              <w:rPr>
                <w:sz w:val="21"/>
                <w:szCs w:val="21"/>
                <w:color w:val="auto"/>
              </w:rPr>
            </w:pPr>
          </w:p>
        </w:tc>
        <w:tc>
          <w:tcPr>
            <w:tcW w:w="8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r>
      <w:tr>
        <w:trPr>
          <w:trHeight w:val="147"/>
        </w:trPr>
        <w:tc>
          <w:tcPr>
            <w:tcW w:w="7920" w:type="dxa"/>
            <w:vAlign w:val="bottom"/>
            <w:shd w:val="clear" w:color="auto" w:fill="DCE2EF"/>
          </w:tcPr>
          <w:p>
            <w:pPr>
              <w:spacing w:after="0"/>
              <w:rPr>
                <w:sz w:val="12"/>
                <w:szCs w:val="12"/>
                <w:color w:val="auto"/>
              </w:rPr>
            </w:pPr>
          </w:p>
        </w:tc>
        <w:tc>
          <w:tcPr>
            <w:tcW w:w="1220" w:type="dxa"/>
            <w:vAlign w:val="bottom"/>
            <w:shd w:val="clear" w:color="auto" w:fill="DCE2EF"/>
          </w:tcPr>
          <w:p>
            <w:pPr>
              <w:spacing w:after="0"/>
              <w:rPr>
                <w:sz w:val="12"/>
                <w:szCs w:val="12"/>
                <w:color w:val="auto"/>
              </w:rPr>
            </w:pPr>
          </w:p>
        </w:tc>
        <w:tc>
          <w:tcPr>
            <w:tcW w:w="760" w:type="dxa"/>
            <w:vAlign w:val="bottom"/>
            <w:shd w:val="clear" w:color="auto" w:fill="DCE2EF"/>
          </w:tcPr>
          <w:p>
            <w:pPr>
              <w:spacing w:after="0"/>
              <w:rPr>
                <w:sz w:val="12"/>
                <w:szCs w:val="12"/>
                <w:color w:val="auto"/>
              </w:rPr>
            </w:pPr>
          </w:p>
        </w:tc>
        <w:tc>
          <w:tcPr>
            <w:tcW w:w="820" w:type="dxa"/>
            <w:vAlign w:val="bottom"/>
            <w:shd w:val="clear" w:color="auto" w:fill="DCE2EF"/>
          </w:tcPr>
          <w:p>
            <w:pPr>
              <w:spacing w:after="0"/>
              <w:rPr>
                <w:sz w:val="12"/>
                <w:szCs w:val="12"/>
                <w:color w:val="auto"/>
              </w:rPr>
            </w:pPr>
          </w:p>
        </w:tc>
        <w:tc>
          <w:tcPr>
            <w:tcW w:w="400" w:type="dxa"/>
            <w:vAlign w:val="bottom"/>
            <w:shd w:val="clear" w:color="auto" w:fill="DCE2EF"/>
          </w:tcPr>
          <w:p>
            <w:pPr>
              <w:spacing w:after="0"/>
              <w:rPr>
                <w:sz w:val="12"/>
                <w:szCs w:val="12"/>
                <w:color w:val="auto"/>
              </w:rPr>
            </w:pPr>
          </w:p>
        </w:tc>
      </w:tr>
      <w:tr>
        <w:trPr>
          <w:trHeight w:val="278"/>
        </w:trPr>
        <w:tc>
          <w:tcPr>
            <w:tcW w:w="792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4"/>
              <w:spacing w:after="0"/>
              <w:rPr>
                <w:sz w:val="20"/>
                <w:szCs w:val="20"/>
                <w:color w:val="auto"/>
              </w:rPr>
            </w:pPr>
            <w:r>
              <w:rPr>
                <w:rFonts w:ascii="Arial" w:cs="Arial" w:eastAsia="Arial" w:hAnsi="Arial"/>
                <w:sz w:val="15"/>
                <w:szCs w:val="15"/>
                <w:color w:val="auto"/>
              </w:rPr>
              <w:t>44.7</w:t>
            </w: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38.5</w:t>
            </w:r>
          </w:p>
        </w:tc>
      </w:tr>
      <w:tr>
        <w:trPr>
          <w:trHeight w:val="289"/>
        </w:trPr>
        <w:tc>
          <w:tcPr>
            <w:tcW w:w="7920" w:type="dxa"/>
            <w:vAlign w:val="bottom"/>
            <w:shd w:val="clear" w:color="auto" w:fill="DCE2EF"/>
          </w:tcPr>
          <w:p>
            <w:pPr>
              <w:ind w:left="180"/>
              <w:spacing w:after="0"/>
              <w:rPr>
                <w:sz w:val="20"/>
                <w:szCs w:val="20"/>
                <w:color w:val="auto"/>
              </w:rPr>
            </w:pPr>
            <w:r>
              <w:rPr>
                <w:rFonts w:ascii="Arial" w:cs="Arial" w:eastAsia="Arial" w:hAnsi="Arial"/>
                <w:sz w:val="15"/>
                <w:szCs w:val="15"/>
                <w:color w:val="auto"/>
              </w:rPr>
              <w:t>Items impacting comparability</w:t>
            </w:r>
          </w:p>
        </w:tc>
        <w:tc>
          <w:tcPr>
            <w:tcW w:w="1220" w:type="dxa"/>
            <w:vAlign w:val="bottom"/>
            <w:shd w:val="clear" w:color="auto" w:fill="DCE2EF"/>
          </w:tcPr>
          <w:p>
            <w:pPr>
              <w:spacing w:after="0"/>
              <w:rPr>
                <w:sz w:val="24"/>
                <w:szCs w:val="24"/>
                <w:color w:val="auto"/>
              </w:rPr>
            </w:pPr>
          </w:p>
        </w:tc>
        <w:tc>
          <w:tcPr>
            <w:tcW w:w="760" w:type="dxa"/>
            <w:vAlign w:val="bottom"/>
            <w:shd w:val="clear" w:color="auto" w:fill="DCE2EF"/>
          </w:tcPr>
          <w:p>
            <w:pPr>
              <w:jc w:val="right"/>
              <w:ind w:right="224"/>
              <w:spacing w:after="0"/>
              <w:rPr>
                <w:sz w:val="20"/>
                <w:szCs w:val="20"/>
                <w:color w:val="auto"/>
              </w:rPr>
            </w:pPr>
            <w:r>
              <w:rPr>
                <w:rFonts w:ascii="Arial" w:cs="Arial" w:eastAsia="Arial" w:hAnsi="Arial"/>
                <w:sz w:val="15"/>
                <w:szCs w:val="15"/>
                <w:color w:val="auto"/>
              </w:rPr>
              <w:t>14.5</w:t>
            </w:r>
          </w:p>
        </w:tc>
        <w:tc>
          <w:tcPr>
            <w:tcW w:w="820" w:type="dxa"/>
            <w:vAlign w:val="bottom"/>
            <w:shd w:val="clear" w:color="auto" w:fill="DCE2EF"/>
          </w:tcPr>
          <w:p>
            <w:pPr>
              <w:spacing w:after="0"/>
              <w:rPr>
                <w:sz w:val="24"/>
                <w:szCs w:val="24"/>
                <w:color w:val="auto"/>
              </w:rPr>
            </w:pP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19.7</w:t>
            </w:r>
          </w:p>
        </w:tc>
      </w:tr>
      <w:tr>
        <w:trPr>
          <w:trHeight w:val="274"/>
        </w:trPr>
        <w:tc>
          <w:tcPr>
            <w:tcW w:w="7920" w:type="dxa"/>
            <w:vAlign w:val="bottom"/>
          </w:tcPr>
          <w:p>
            <w:pPr>
              <w:ind w:left="180"/>
              <w:spacing w:after="0"/>
              <w:rPr>
                <w:sz w:val="20"/>
                <w:szCs w:val="20"/>
                <w:color w:val="auto"/>
              </w:rPr>
            </w:pPr>
            <w:r>
              <w:rPr>
                <w:rFonts w:ascii="Arial" w:cs="Arial" w:eastAsia="Arial" w:hAnsi="Arial"/>
                <w:sz w:val="15"/>
                <w:szCs w:val="15"/>
                <w:color w:val="auto"/>
              </w:rPr>
              <w:t>Income tax provision</w:t>
            </w:r>
          </w:p>
        </w:tc>
        <w:tc>
          <w:tcPr>
            <w:tcW w:w="1220" w:type="dxa"/>
            <w:vAlign w:val="bottom"/>
          </w:tcPr>
          <w:p>
            <w:pPr>
              <w:spacing w:after="0"/>
              <w:rPr>
                <w:sz w:val="23"/>
                <w:szCs w:val="23"/>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color w:val="auto"/>
              </w:rPr>
              <w:t>9.3</w:t>
            </w:r>
          </w:p>
        </w:tc>
        <w:tc>
          <w:tcPr>
            <w:tcW w:w="8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293"/>
        </w:trPr>
        <w:tc>
          <w:tcPr>
            <w:tcW w:w="7920" w:type="dxa"/>
            <w:vAlign w:val="bottom"/>
            <w:shd w:val="clear" w:color="auto" w:fill="DCE2EF"/>
          </w:tcPr>
          <w:p>
            <w:pPr>
              <w:ind w:left="180"/>
              <w:spacing w:after="0"/>
              <w:rPr>
                <w:sz w:val="20"/>
                <w:szCs w:val="20"/>
                <w:color w:val="auto"/>
              </w:rPr>
            </w:pPr>
            <w:r>
              <w:rPr>
                <w:rFonts w:ascii="Arial" w:cs="Arial" w:eastAsia="Arial" w:hAnsi="Arial"/>
                <w:sz w:val="15"/>
                <w:szCs w:val="15"/>
                <w:color w:val="auto"/>
              </w:rPr>
              <w:t>Interest expense</w:t>
            </w:r>
          </w:p>
        </w:tc>
        <w:tc>
          <w:tcPr>
            <w:tcW w:w="1220" w:type="dxa"/>
            <w:vAlign w:val="bottom"/>
            <w:shd w:val="clear" w:color="auto" w:fill="DCE2EF"/>
          </w:tcPr>
          <w:p>
            <w:pPr>
              <w:spacing w:after="0"/>
              <w:rPr>
                <w:sz w:val="24"/>
                <w:szCs w:val="24"/>
                <w:color w:val="auto"/>
              </w:rPr>
            </w:pPr>
          </w:p>
        </w:tc>
        <w:tc>
          <w:tcPr>
            <w:tcW w:w="760" w:type="dxa"/>
            <w:vAlign w:val="bottom"/>
            <w:shd w:val="clear" w:color="auto" w:fill="DCE2EF"/>
          </w:tcPr>
          <w:p>
            <w:pPr>
              <w:jc w:val="right"/>
              <w:ind w:right="224"/>
              <w:spacing w:after="0"/>
              <w:rPr>
                <w:sz w:val="20"/>
                <w:szCs w:val="20"/>
                <w:color w:val="auto"/>
              </w:rPr>
            </w:pPr>
            <w:r>
              <w:rPr>
                <w:rFonts w:ascii="Arial" w:cs="Arial" w:eastAsia="Arial" w:hAnsi="Arial"/>
                <w:sz w:val="15"/>
                <w:szCs w:val="15"/>
                <w:color w:val="auto"/>
              </w:rPr>
              <w:t>21.3</w:t>
            </w:r>
          </w:p>
        </w:tc>
        <w:tc>
          <w:tcPr>
            <w:tcW w:w="820" w:type="dxa"/>
            <w:vAlign w:val="bottom"/>
            <w:shd w:val="clear" w:color="auto" w:fill="DCE2EF"/>
          </w:tcPr>
          <w:p>
            <w:pPr>
              <w:spacing w:after="0"/>
              <w:rPr>
                <w:sz w:val="24"/>
                <w:szCs w:val="24"/>
                <w:color w:val="auto"/>
              </w:rPr>
            </w:pP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19.8</w:t>
            </w:r>
          </w:p>
        </w:tc>
      </w:tr>
      <w:tr>
        <w:trPr>
          <w:trHeight w:val="277"/>
        </w:trPr>
        <w:tc>
          <w:tcPr>
            <w:tcW w:w="792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1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26.9</w:t>
            </w: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w:t>
            </w:r>
          </w:p>
        </w:tc>
      </w:tr>
      <w:tr>
        <w:trPr>
          <w:trHeight w:val="315"/>
        </w:trPr>
        <w:tc>
          <w:tcPr>
            <w:tcW w:w="792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220" w:type="dxa"/>
            <w:vAlign w:val="bottom"/>
            <w:tcBorders>
              <w:bottom w:val="single" w:sz="8" w:color="DCE2EF"/>
            </w:tcBorders>
            <w:shd w:val="clear" w:color="auto" w:fill="DCE2EF"/>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CE2EF"/>
            </w:tcBorders>
            <w:shd w:val="clear" w:color="auto" w:fill="DCE2EF"/>
          </w:tcPr>
          <w:p>
            <w:pPr>
              <w:jc w:val="right"/>
              <w:ind w:right="224"/>
              <w:spacing w:after="0"/>
              <w:rPr>
                <w:sz w:val="20"/>
                <w:szCs w:val="20"/>
                <w:color w:val="auto"/>
              </w:rPr>
            </w:pPr>
            <w:r>
              <w:rPr>
                <w:rFonts w:ascii="Arial" w:cs="Arial" w:eastAsia="Arial" w:hAnsi="Arial"/>
                <w:sz w:val="15"/>
                <w:szCs w:val="15"/>
                <w:color w:val="auto"/>
              </w:rPr>
              <w:t>116.7</w:t>
            </w:r>
          </w:p>
        </w:tc>
        <w:tc>
          <w:tcPr>
            <w:tcW w:w="820" w:type="dxa"/>
            <w:vAlign w:val="bottom"/>
            <w:tcBorders>
              <w:bottom w:val="single" w:sz="8" w:color="DCE2EF"/>
            </w:tcBorders>
            <w:shd w:val="clear" w:color="auto" w:fill="DCE2EF"/>
          </w:tcPr>
          <w:p>
            <w:pPr>
              <w:jc w:val="right"/>
              <w:ind w:right="184"/>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w w:val="95"/>
              </w:rPr>
              <w:t>122.7</w:t>
            </w:r>
          </w:p>
        </w:tc>
      </w:tr>
      <w:tr>
        <w:trPr>
          <w:trHeight w:val="360"/>
        </w:trPr>
        <w:tc>
          <w:tcPr>
            <w:tcW w:w="7920" w:type="dxa"/>
            <w:vAlign w:val="bottom"/>
            <w:tcBorders>
              <w:top w:val="single" w:sz="8" w:color="DCE2EF"/>
            </w:tcBorders>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color w:val="auto"/>
              </w:rPr>
              <w:t>2.2%</w:t>
            </w: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5"/>
                <w:szCs w:val="15"/>
                <w:b w:val="1"/>
                <w:bCs w:val="1"/>
                <w:color w:val="auto"/>
              </w:rPr>
              <w:t>Three months ended January 31,</w:t>
            </w:r>
          </w:p>
        </w:tc>
      </w:tr>
      <w:tr>
        <w:trPr>
          <w:trHeight w:val="244"/>
        </w:trPr>
        <w:tc>
          <w:tcPr>
            <w:tcW w:w="7920" w:type="dxa"/>
            <w:vAlign w:val="bottom"/>
          </w:tcPr>
          <w:p>
            <w:pPr>
              <w:spacing w:after="0"/>
              <w:rPr>
                <w:sz w:val="21"/>
                <w:szCs w:val="21"/>
                <w:color w:val="auto"/>
              </w:rPr>
            </w:pPr>
          </w:p>
        </w:tc>
        <w:tc>
          <w:tcPr>
            <w:tcW w:w="1080" w:type="dxa"/>
            <w:vAlign w:val="bottom"/>
          </w:tcPr>
          <w:p>
            <w:pPr>
              <w:jc w:val="center"/>
              <w:ind w:left="544"/>
              <w:spacing w:after="0"/>
              <w:rPr>
                <w:sz w:val="20"/>
                <w:szCs w:val="20"/>
                <w:color w:val="auto"/>
              </w:rPr>
            </w:pPr>
            <w:r>
              <w:rPr>
                <w:rFonts w:ascii="Arial" w:cs="Arial" w:eastAsia="Arial" w:hAnsi="Arial"/>
                <w:sz w:val="15"/>
                <w:szCs w:val="15"/>
                <w:b w:val="1"/>
                <w:bCs w:val="1"/>
                <w:color w:val="auto"/>
              </w:rPr>
              <w:t>2024</w:t>
            </w: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560" w:type="dxa"/>
            <w:vAlign w:val="bottom"/>
          </w:tcPr>
          <w:p>
            <w:pPr>
              <w:spacing w:after="0"/>
              <w:rPr>
                <w:sz w:val="21"/>
                <w:szCs w:val="21"/>
                <w:color w:val="auto"/>
              </w:rPr>
            </w:pPr>
          </w:p>
        </w:tc>
      </w:tr>
      <w:tr>
        <w:trPr>
          <w:trHeight w:val="25"/>
        </w:trPr>
        <w:tc>
          <w:tcPr>
            <w:tcW w:w="7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8"/>
        </w:trPr>
        <w:tc>
          <w:tcPr>
            <w:tcW w:w="792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1080" w:type="dxa"/>
            <w:vAlign w:val="bottom"/>
            <w:shd w:val="clear" w:color="auto" w:fill="DCE2EF"/>
          </w:tcPr>
          <w:p>
            <w:pPr>
              <w:spacing w:after="0"/>
              <w:rPr>
                <w:sz w:val="20"/>
                <w:szCs w:val="20"/>
                <w:color w:val="auto"/>
              </w:rPr>
            </w:pPr>
          </w:p>
        </w:tc>
        <w:tc>
          <w:tcPr>
            <w:tcW w:w="900" w:type="dxa"/>
            <w:vAlign w:val="bottom"/>
            <w:shd w:val="clear" w:color="auto" w:fill="DCE2EF"/>
          </w:tcPr>
          <w:p>
            <w:pPr>
              <w:spacing w:after="0"/>
              <w:rPr>
                <w:sz w:val="20"/>
                <w:szCs w:val="20"/>
                <w:color w:val="auto"/>
              </w:rPr>
            </w:pPr>
          </w:p>
        </w:tc>
        <w:tc>
          <w:tcPr>
            <w:tcW w:w="660" w:type="dxa"/>
            <w:vAlign w:val="bottom"/>
            <w:shd w:val="clear" w:color="auto" w:fill="DCE2EF"/>
          </w:tcPr>
          <w:p>
            <w:pPr>
              <w:spacing w:after="0"/>
              <w:rPr>
                <w:sz w:val="20"/>
                <w:szCs w:val="20"/>
                <w:color w:val="auto"/>
              </w:rPr>
            </w:pPr>
          </w:p>
        </w:tc>
        <w:tc>
          <w:tcPr>
            <w:tcW w:w="560" w:type="dxa"/>
            <w:vAlign w:val="bottom"/>
            <w:shd w:val="clear" w:color="auto" w:fill="DCE2EF"/>
          </w:tcPr>
          <w:p>
            <w:pPr>
              <w:spacing w:after="0"/>
              <w:rPr>
                <w:sz w:val="20"/>
                <w:szCs w:val="20"/>
                <w:color w:val="auto"/>
              </w:rPr>
            </w:pPr>
          </w:p>
        </w:tc>
      </w:tr>
      <w:tr>
        <w:trPr>
          <w:trHeight w:val="106"/>
        </w:trPr>
        <w:tc>
          <w:tcPr>
            <w:tcW w:w="7920" w:type="dxa"/>
            <w:vAlign w:val="bottom"/>
            <w:shd w:val="clear" w:color="auto" w:fill="DCE2EF"/>
          </w:tcPr>
          <w:p>
            <w:pPr>
              <w:spacing w:after="0"/>
              <w:rPr>
                <w:sz w:val="9"/>
                <w:szCs w:val="9"/>
                <w:color w:val="auto"/>
              </w:rPr>
            </w:pPr>
          </w:p>
        </w:tc>
        <w:tc>
          <w:tcPr>
            <w:tcW w:w="1080" w:type="dxa"/>
            <w:vAlign w:val="bottom"/>
            <w:shd w:val="clear" w:color="auto" w:fill="DCE2EF"/>
          </w:tcPr>
          <w:p>
            <w:pPr>
              <w:spacing w:after="0"/>
              <w:rPr>
                <w:sz w:val="9"/>
                <w:szCs w:val="9"/>
                <w:color w:val="auto"/>
              </w:rPr>
            </w:pPr>
          </w:p>
        </w:tc>
        <w:tc>
          <w:tcPr>
            <w:tcW w:w="900" w:type="dxa"/>
            <w:vAlign w:val="bottom"/>
            <w:shd w:val="clear" w:color="auto" w:fill="DCE2EF"/>
          </w:tcPr>
          <w:p>
            <w:pPr>
              <w:spacing w:after="0"/>
              <w:rPr>
                <w:sz w:val="9"/>
                <w:szCs w:val="9"/>
                <w:color w:val="auto"/>
              </w:rPr>
            </w:pPr>
          </w:p>
        </w:tc>
        <w:tc>
          <w:tcPr>
            <w:tcW w:w="660" w:type="dxa"/>
            <w:vAlign w:val="bottom"/>
            <w:shd w:val="clear" w:color="auto" w:fill="DCE2EF"/>
          </w:tcPr>
          <w:p>
            <w:pPr>
              <w:spacing w:after="0"/>
              <w:rPr>
                <w:sz w:val="9"/>
                <w:szCs w:val="9"/>
                <w:color w:val="auto"/>
              </w:rPr>
            </w:pPr>
          </w:p>
        </w:tc>
        <w:tc>
          <w:tcPr>
            <w:tcW w:w="560" w:type="dxa"/>
            <w:vAlign w:val="bottom"/>
            <w:shd w:val="clear" w:color="auto" w:fill="DCE2EF"/>
          </w:tcPr>
          <w:p>
            <w:pPr>
              <w:spacing w:after="0"/>
              <w:rPr>
                <w:sz w:val="9"/>
                <w:szCs w:val="9"/>
                <w:color w:val="auto"/>
              </w:rPr>
            </w:pPr>
          </w:p>
        </w:tc>
      </w:tr>
      <w:tr>
        <w:trPr>
          <w:trHeight w:val="274"/>
        </w:trPr>
        <w:tc>
          <w:tcPr>
            <w:tcW w:w="7920" w:type="dxa"/>
            <w:vAlign w:val="bottom"/>
          </w:tcPr>
          <w:p>
            <w:pPr>
              <w:ind w:left="60"/>
              <w:spacing w:after="0"/>
              <w:rPr>
                <w:sz w:val="20"/>
                <w:szCs w:val="20"/>
                <w:color w:val="auto"/>
              </w:rPr>
            </w:pPr>
            <w:r>
              <w:rPr>
                <w:rFonts w:ascii="Arial" w:cs="Arial" w:eastAsia="Arial" w:hAnsi="Arial"/>
                <w:sz w:val="15"/>
                <w:szCs w:val="15"/>
                <w:color w:val="auto"/>
              </w:rPr>
              <w:t>Revenues</w:t>
            </w:r>
          </w:p>
        </w:tc>
        <w:tc>
          <w:tcPr>
            <w:tcW w:w="1080" w:type="dxa"/>
            <w:vAlign w:val="bottom"/>
          </w:tcPr>
          <w:p>
            <w:pPr>
              <w:jc w:val="center"/>
              <w:ind w:left="56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2,069.6</w:t>
            </w:r>
          </w:p>
        </w:tc>
        <w:tc>
          <w:tcPr>
            <w:tcW w:w="6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1,991.3</w:t>
            </w:r>
          </w:p>
        </w:tc>
      </w:tr>
      <w:tr>
        <w:trPr>
          <w:trHeight w:val="287"/>
        </w:trPr>
        <w:tc>
          <w:tcPr>
            <w:tcW w:w="792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Management reimbursement</w:t>
            </w:r>
          </w:p>
        </w:tc>
        <w:tc>
          <w:tcPr>
            <w:tcW w:w="1080" w:type="dxa"/>
            <w:vAlign w:val="bottom"/>
            <w:tcBorders>
              <w:bottom w:val="single" w:sz="8" w:color="auto"/>
            </w:tcBorders>
            <w:shd w:val="clear" w:color="auto" w:fill="DCE2EF"/>
          </w:tcPr>
          <w:p>
            <w:pPr>
              <w:spacing w:after="0"/>
              <w:rPr>
                <w:sz w:val="24"/>
                <w:szCs w:val="24"/>
                <w:color w:val="auto"/>
              </w:rPr>
            </w:pPr>
          </w:p>
        </w:tc>
        <w:tc>
          <w:tcPr>
            <w:tcW w:w="900" w:type="dxa"/>
            <w:vAlign w:val="bottom"/>
            <w:tcBorders>
              <w:bottom w:val="single" w:sz="8" w:color="auto"/>
            </w:tcBorders>
            <w:shd w:val="clear" w:color="auto" w:fill="DCE2EF"/>
          </w:tcPr>
          <w:p>
            <w:pPr>
              <w:jc w:val="right"/>
              <w:ind w:right="225"/>
              <w:spacing w:after="0"/>
              <w:rPr>
                <w:sz w:val="20"/>
                <w:szCs w:val="20"/>
                <w:color w:val="auto"/>
              </w:rPr>
            </w:pPr>
            <w:r>
              <w:rPr>
                <w:rFonts w:ascii="Arial" w:cs="Arial" w:eastAsia="Arial" w:hAnsi="Arial"/>
                <w:sz w:val="15"/>
                <w:szCs w:val="15"/>
                <w:color w:val="auto"/>
              </w:rPr>
              <w:t>(80.1)</w:t>
            </w:r>
          </w:p>
        </w:tc>
        <w:tc>
          <w:tcPr>
            <w:tcW w:w="6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(72.4)</w:t>
            </w:r>
          </w:p>
        </w:tc>
      </w:tr>
      <w:tr>
        <w:trPr>
          <w:trHeight w:val="237"/>
        </w:trPr>
        <w:tc>
          <w:tcPr>
            <w:tcW w:w="7920" w:type="dxa"/>
            <w:vAlign w:val="bottom"/>
          </w:tcPr>
          <w:p>
            <w:pPr>
              <w:ind w:left="60"/>
              <w:spacing w:after="0"/>
              <w:rPr>
                <w:sz w:val="20"/>
                <w:szCs w:val="20"/>
                <w:color w:val="auto"/>
              </w:rPr>
            </w:pPr>
            <w:r>
              <w:rPr>
                <w:rFonts w:ascii="Arial" w:cs="Arial" w:eastAsia="Arial" w:hAnsi="Arial"/>
                <w:sz w:val="15"/>
                <w:szCs w:val="15"/>
                <w:color w:val="auto"/>
              </w:rPr>
              <w:t>Revenues excluding management reimbursement</w:t>
            </w:r>
          </w:p>
        </w:tc>
        <w:tc>
          <w:tcPr>
            <w:tcW w:w="1080" w:type="dxa"/>
            <w:vAlign w:val="bottom"/>
          </w:tcPr>
          <w:p>
            <w:pPr>
              <w:jc w:val="center"/>
              <w:ind w:left="56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1,989.5</w:t>
            </w:r>
          </w:p>
        </w:tc>
        <w:tc>
          <w:tcPr>
            <w:tcW w:w="6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1,918.8</w:t>
            </w:r>
          </w:p>
        </w:tc>
      </w:tr>
      <w:tr>
        <w:trPr>
          <w:trHeight w:val="33"/>
        </w:trPr>
        <w:tc>
          <w:tcPr>
            <w:tcW w:w="7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63"/>
        </w:trPr>
        <w:tc>
          <w:tcPr>
            <w:tcW w:w="792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560" w:type="dxa"/>
            <w:vAlign w:val="bottom"/>
            <w:shd w:val="clear" w:color="auto" w:fill="DCE2EF"/>
          </w:tcPr>
          <w:p>
            <w:pPr>
              <w:spacing w:after="0"/>
              <w:rPr>
                <w:sz w:val="22"/>
                <w:szCs w:val="22"/>
                <w:color w:val="auto"/>
              </w:rPr>
            </w:pPr>
          </w:p>
        </w:tc>
      </w:tr>
      <w:tr>
        <w:trPr>
          <w:trHeight w:val="366"/>
        </w:trPr>
        <w:tc>
          <w:tcPr>
            <w:tcW w:w="792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 management reimbursement</w:t>
            </w:r>
          </w:p>
        </w:tc>
        <w:tc>
          <w:tcPr>
            <w:tcW w:w="1080" w:type="dxa"/>
            <w:vAlign w:val="bottom"/>
          </w:tcPr>
          <w:p>
            <w:pPr>
              <w:spacing w:after="0"/>
              <w:rPr>
                <w:sz w:val="24"/>
                <w:szCs w:val="24"/>
                <w:color w:val="auto"/>
              </w:rPr>
            </w:pPr>
          </w:p>
        </w:tc>
        <w:tc>
          <w:tcPr>
            <w:tcW w:w="900" w:type="dxa"/>
            <w:vAlign w:val="bottom"/>
          </w:tcPr>
          <w:p>
            <w:pPr>
              <w:jc w:val="right"/>
              <w:ind w:right="225"/>
              <w:spacing w:after="0"/>
              <w:rPr>
                <w:sz w:val="20"/>
                <w:szCs w:val="20"/>
                <w:color w:val="auto"/>
              </w:rPr>
            </w:pPr>
            <w:r>
              <w:rPr>
                <w:rFonts w:ascii="Arial" w:cs="Arial" w:eastAsia="Arial" w:hAnsi="Arial"/>
                <w:sz w:val="14"/>
                <w:szCs w:val="14"/>
                <w:color w:val="auto"/>
              </w:rPr>
              <w:t>5.9%</w:t>
            </w: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w:t>
            </w:r>
          </w:p>
        </w:tc>
      </w:tr>
    </w:tbl>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12" w:name="page13"/>
    <w:bookmarkEnd w:id="12"/>
    <w:p>
      <w:pPr>
        <w:jc w:val="center"/>
        <w:ind w:left="8000"/>
        <w:spacing w:after="0"/>
        <w:rPr>
          <w:sz w:val="20"/>
          <w:szCs w:val="20"/>
          <w:color w:val="auto"/>
        </w:rPr>
      </w:pPr>
      <w:r>
        <w:rPr>
          <w:rFonts w:ascii="Arial" w:cs="Arial" w:eastAsia="Arial" w:hAnsi="Arial"/>
          <w:sz w:val="15"/>
          <w:szCs w:val="15"/>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31115</wp:posOffset>
            </wp:positionV>
            <wp:extent cx="2040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8" w:lineRule="exact"/>
        <w:rPr>
          <w:sz w:val="20"/>
          <w:szCs w:val="20"/>
          <w:color w:val="auto"/>
        </w:rPr>
      </w:pPr>
    </w:p>
    <w:p>
      <w:pPr>
        <w:ind w:left="8660"/>
        <w:spacing w:after="0"/>
        <w:tabs>
          <w:tab w:leader="none" w:pos="10240" w:val="left"/>
        </w:tabs>
        <w:rPr>
          <w:sz w:val="20"/>
          <w:szCs w:val="20"/>
          <w:color w:val="auto"/>
        </w:rPr>
      </w:pPr>
      <w:r>
        <w:rPr>
          <w:rFonts w:ascii="Arial" w:cs="Arial" w:eastAsia="Arial" w:hAnsi="Arial"/>
          <w:sz w:val="15"/>
          <w:szCs w:val="15"/>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Reconciliation of Net Income per Diluted Share to Adjusted Net Income per Diluted Share</w:t>
      </w:r>
    </w:p>
    <w:p>
      <w:pPr>
        <w:sectPr>
          <w:pgSz w:w="11900" w:h="16838" w:orient="portrait"/>
          <w:cols w:equalWidth="0" w:num="1">
            <w:col w:w="11240"/>
          </w:cols>
          <w:pgMar w:left="320" w:top="1038" w:right="339" w:bottom="1440" w:gutter="0" w:footer="0" w:header="0"/>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income per diluted share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Items impacting comparability, net of taxes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5"/>
          <w:szCs w:val="15"/>
          <w:color w:val="auto"/>
        </w:rPr>
        <w:t>Adjusted net income per diluted share</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5"/>
          <w:szCs w:val="15"/>
          <w:color w:val="auto"/>
        </w:rPr>
        <w:t>Diluted shares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04"/>
              <w:spacing w:after="0"/>
              <w:rPr>
                <w:sz w:val="20"/>
                <w:szCs w:val="20"/>
                <w:color w:val="auto"/>
              </w:rPr>
            </w:pPr>
            <w:r>
              <w:rPr>
                <w:rFonts w:ascii="Arial" w:cs="Arial" w:eastAsia="Arial" w:hAnsi="Arial"/>
                <w:sz w:val="15"/>
                <w:szCs w:val="15"/>
                <w:color w:val="auto"/>
              </w:rPr>
              <w:t>0.70</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0.58</w:t>
            </w:r>
          </w:p>
        </w:tc>
      </w:tr>
      <w:tr>
        <w:trPr>
          <w:trHeight w:val="297"/>
        </w:trPr>
        <w:tc>
          <w:tcPr>
            <w:tcW w:w="1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0.16</w:t>
            </w: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0.21</w:t>
            </w:r>
          </w:p>
        </w:tc>
      </w:tr>
      <w:tr>
        <w:trPr>
          <w:trHeight w:val="237"/>
        </w:trPr>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04"/>
              <w:spacing w:after="0"/>
              <w:rPr>
                <w:sz w:val="20"/>
                <w:szCs w:val="20"/>
                <w:color w:val="auto"/>
              </w:rPr>
            </w:pPr>
            <w:r>
              <w:rPr>
                <w:rFonts w:ascii="Arial" w:cs="Arial" w:eastAsia="Arial" w:hAnsi="Arial"/>
                <w:sz w:val="15"/>
                <w:szCs w:val="15"/>
                <w:color w:val="auto"/>
              </w:rPr>
              <w:t>0.86</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0.79</w:t>
            </w:r>
          </w:p>
        </w:tc>
      </w:tr>
      <w:tr>
        <w:trPr>
          <w:trHeight w:val="33"/>
        </w:trPr>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1"/>
        </w:trPr>
        <w:tc>
          <w:tcPr>
            <w:tcW w:w="1180" w:type="dxa"/>
            <w:vAlign w:val="bottom"/>
          </w:tcPr>
          <w:p>
            <w:pPr>
              <w:spacing w:after="0"/>
              <w:rPr>
                <w:sz w:val="20"/>
                <w:szCs w:val="20"/>
                <w:color w:val="auto"/>
              </w:rPr>
            </w:pPr>
          </w:p>
        </w:tc>
        <w:tc>
          <w:tcPr>
            <w:tcW w:w="900" w:type="dxa"/>
            <w:vAlign w:val="bottom"/>
          </w:tcPr>
          <w:p>
            <w:pPr>
              <w:jc w:val="right"/>
              <w:ind w:right="404"/>
              <w:spacing w:after="0"/>
              <w:rPr>
                <w:sz w:val="20"/>
                <w:szCs w:val="20"/>
                <w:color w:val="auto"/>
              </w:rPr>
            </w:pPr>
            <w:r>
              <w:rPr>
                <w:rFonts w:ascii="Arial" w:cs="Arial" w:eastAsia="Arial" w:hAnsi="Arial"/>
                <w:sz w:val="15"/>
                <w:szCs w:val="15"/>
                <w:color w:val="auto"/>
              </w:rPr>
              <w:t>63.9</w:t>
            </w: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-544195</wp:posOffset>
            </wp:positionV>
            <wp:extent cx="71323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-149860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31115</wp:posOffset>
            </wp:positionV>
            <wp:extent cx="1894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7300" w:space="720"/>
            <w:col w:w="3220"/>
          </w:cols>
          <w:pgMar w:left="320" w:top="1038"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b w:val="1"/>
                <w:bCs w:val="1"/>
                <w:color w:val="auto"/>
              </w:rPr>
              <w:t>2024</w:t>
            </w:r>
          </w:p>
        </w:tc>
        <w:tc>
          <w:tcPr>
            <w:tcW w:w="780" w:type="dxa"/>
            <w:vAlign w:val="bottom"/>
          </w:tcPr>
          <w:p>
            <w:pPr>
              <w:spacing w:after="0"/>
              <w:rPr>
                <w:sz w:val="18"/>
                <w:szCs w:val="18"/>
                <w:color w:val="auto"/>
              </w:rPr>
            </w:pPr>
          </w:p>
        </w:tc>
        <w:tc>
          <w:tcPr>
            <w:tcW w:w="700" w:type="dxa"/>
            <w:vAlign w:val="bottom"/>
          </w:tcPr>
          <w:p>
            <w:pPr>
              <w:jc w:val="center"/>
              <w:ind w:left="124"/>
              <w:spacing w:after="0"/>
              <w:rPr>
                <w:sz w:val="20"/>
                <w:szCs w:val="20"/>
                <w:color w:val="auto"/>
              </w:rPr>
            </w:pPr>
            <w:r>
              <w:rPr>
                <w:rFonts w:ascii="Arial" w:cs="Arial" w:eastAsia="Arial" w:hAnsi="Arial"/>
                <w:sz w:val="15"/>
                <w:szCs w:val="15"/>
                <w:b w:val="1"/>
                <w:bCs w:val="1"/>
                <w:color w:val="auto"/>
              </w:rPr>
              <w:t>2023</w:t>
            </w:r>
          </w:p>
        </w:tc>
        <w:tc>
          <w:tcPr>
            <w:tcW w:w="480" w:type="dxa"/>
            <w:vAlign w:val="bottom"/>
          </w:tcPr>
          <w:p>
            <w:pPr>
              <w:spacing w:after="0"/>
              <w:rPr>
                <w:sz w:val="18"/>
                <w:szCs w:val="18"/>
                <w:color w:val="auto"/>
              </w:rPr>
            </w:pPr>
          </w:p>
        </w:tc>
      </w:tr>
      <w:tr>
        <w:trPr>
          <w:trHeight w:val="25"/>
        </w:trPr>
        <w:tc>
          <w:tcPr>
            <w:tcW w:w="8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8"/>
        </w:trPr>
        <w:tc>
          <w:tcPr>
            <w:tcW w:w="826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Used in Operating Activities to Free Cash Flow</w:t>
            </w:r>
          </w:p>
        </w:tc>
        <w:tc>
          <w:tcPr>
            <w:tcW w:w="1020" w:type="dxa"/>
            <w:vAlign w:val="bottom"/>
            <w:shd w:val="clear" w:color="auto" w:fill="DCE2EF"/>
          </w:tcPr>
          <w:p>
            <w:pPr>
              <w:spacing w:after="0"/>
              <w:rPr>
                <w:sz w:val="20"/>
                <w:szCs w:val="20"/>
                <w:color w:val="auto"/>
              </w:rPr>
            </w:pPr>
          </w:p>
        </w:tc>
        <w:tc>
          <w:tcPr>
            <w:tcW w:w="780" w:type="dxa"/>
            <w:vAlign w:val="bottom"/>
            <w:shd w:val="clear" w:color="auto" w:fill="DCE2EF"/>
          </w:tcPr>
          <w:p>
            <w:pPr>
              <w:spacing w:after="0"/>
              <w:rPr>
                <w:sz w:val="20"/>
                <w:szCs w:val="20"/>
                <w:color w:val="auto"/>
              </w:rPr>
            </w:pPr>
          </w:p>
        </w:tc>
        <w:tc>
          <w:tcPr>
            <w:tcW w:w="700" w:type="dxa"/>
            <w:vAlign w:val="bottom"/>
            <w:shd w:val="clear" w:color="auto" w:fill="DCE2EF"/>
          </w:tcPr>
          <w:p>
            <w:pPr>
              <w:spacing w:after="0"/>
              <w:rPr>
                <w:sz w:val="20"/>
                <w:szCs w:val="20"/>
                <w:color w:val="auto"/>
              </w:rPr>
            </w:pPr>
          </w:p>
        </w:tc>
        <w:tc>
          <w:tcPr>
            <w:tcW w:w="480" w:type="dxa"/>
            <w:vAlign w:val="bottom"/>
            <w:shd w:val="clear" w:color="auto" w:fill="DCE2EF"/>
          </w:tcPr>
          <w:p>
            <w:pPr>
              <w:spacing w:after="0"/>
              <w:rPr>
                <w:sz w:val="20"/>
                <w:szCs w:val="20"/>
                <w:color w:val="auto"/>
              </w:rPr>
            </w:pPr>
          </w:p>
        </w:tc>
      </w:tr>
      <w:tr>
        <w:trPr>
          <w:trHeight w:val="147"/>
        </w:trPr>
        <w:tc>
          <w:tcPr>
            <w:tcW w:w="826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780" w:type="dxa"/>
            <w:vAlign w:val="bottom"/>
            <w:shd w:val="clear" w:color="auto" w:fill="DCE2EF"/>
          </w:tcPr>
          <w:p>
            <w:pPr>
              <w:spacing w:after="0"/>
              <w:rPr>
                <w:sz w:val="12"/>
                <w:szCs w:val="12"/>
                <w:color w:val="auto"/>
              </w:rPr>
            </w:pPr>
          </w:p>
        </w:tc>
        <w:tc>
          <w:tcPr>
            <w:tcW w:w="700" w:type="dxa"/>
            <w:vAlign w:val="bottom"/>
            <w:shd w:val="clear" w:color="auto" w:fill="DCE2EF"/>
          </w:tcPr>
          <w:p>
            <w:pPr>
              <w:spacing w:after="0"/>
              <w:rPr>
                <w:sz w:val="12"/>
                <w:szCs w:val="12"/>
                <w:color w:val="auto"/>
              </w:rPr>
            </w:pPr>
          </w:p>
        </w:tc>
        <w:tc>
          <w:tcPr>
            <w:tcW w:w="480" w:type="dxa"/>
            <w:vAlign w:val="bottom"/>
            <w:shd w:val="clear" w:color="auto" w:fill="DCE2EF"/>
          </w:tcPr>
          <w:p>
            <w:pPr>
              <w:spacing w:after="0"/>
              <w:rPr>
                <w:sz w:val="12"/>
                <w:szCs w:val="12"/>
                <w:color w:val="auto"/>
              </w:rPr>
            </w:pPr>
          </w:p>
        </w:tc>
      </w:tr>
      <w:tr>
        <w:trPr>
          <w:trHeight w:val="283"/>
        </w:trPr>
        <w:tc>
          <w:tcPr>
            <w:tcW w:w="8260" w:type="dxa"/>
            <w:vAlign w:val="bottom"/>
          </w:tcPr>
          <w:p>
            <w:pPr>
              <w:ind w:left="60"/>
              <w:spacing w:after="0"/>
              <w:rPr>
                <w:sz w:val="20"/>
                <w:szCs w:val="20"/>
                <w:color w:val="auto"/>
              </w:rPr>
            </w:pPr>
            <w:r>
              <w:rPr>
                <w:rFonts w:ascii="Arial" w:cs="Arial" w:eastAsia="Arial" w:hAnsi="Arial"/>
                <w:sz w:val="15"/>
                <w:szCs w:val="15"/>
                <w:color w:val="auto"/>
              </w:rPr>
              <w:t>Net cash used in operating activities</w:t>
            </w:r>
            <w:r>
              <w:rPr>
                <w:rFonts w:ascii="Arial" w:cs="Arial" w:eastAsia="Arial" w:hAnsi="Arial"/>
                <w:sz w:val="20"/>
                <w:szCs w:val="20"/>
                <w:color w:val="auto"/>
                <w:vertAlign w:val="superscript"/>
              </w:rPr>
              <w:t>(g)</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24"/>
              <w:spacing w:after="0"/>
              <w:rPr>
                <w:sz w:val="20"/>
                <w:szCs w:val="20"/>
                <w:color w:val="auto"/>
              </w:rPr>
            </w:pPr>
            <w:r>
              <w:rPr>
                <w:rFonts w:ascii="Arial" w:cs="Arial" w:eastAsia="Arial" w:hAnsi="Arial"/>
                <w:sz w:val="15"/>
                <w:szCs w:val="15"/>
                <w:color w:val="auto"/>
              </w:rPr>
              <w:t>(0.1)</w:t>
            </w:r>
          </w:p>
        </w:tc>
        <w:tc>
          <w:tcPr>
            <w:tcW w:w="70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(70.9)</w:t>
            </w:r>
          </w:p>
        </w:tc>
      </w:tr>
      <w:tr>
        <w:trPr>
          <w:trHeight w:val="281"/>
        </w:trPr>
        <w:tc>
          <w:tcPr>
            <w:tcW w:w="8260" w:type="dxa"/>
            <w:vAlign w:val="bottom"/>
            <w:tcBorders>
              <w:bottom w:val="single" w:sz="8" w:color="DCE2EF"/>
            </w:tcBorders>
            <w:shd w:val="clear" w:color="auto" w:fill="DCE2EF"/>
          </w:tcPr>
          <w:p>
            <w:pPr>
              <w:ind w:left="160"/>
              <w:spacing w:after="0"/>
              <w:rPr>
                <w:sz w:val="20"/>
                <w:szCs w:val="20"/>
                <w:color w:val="auto"/>
              </w:rPr>
            </w:pPr>
            <w:r>
              <w:rPr>
                <w:rFonts w:ascii="Arial" w:cs="Arial" w:eastAsia="Arial" w:hAnsi="Arial"/>
                <w:sz w:val="15"/>
                <w:szCs w:val="15"/>
                <w:color w:val="auto"/>
              </w:rPr>
              <w:t>Additions to property, plant and equipment</w:t>
            </w:r>
          </w:p>
        </w:tc>
        <w:tc>
          <w:tcPr>
            <w:tcW w:w="1020" w:type="dxa"/>
            <w:vAlign w:val="bottom"/>
            <w:tcBorders>
              <w:bottom w:val="single" w:sz="8" w:color="auto"/>
            </w:tcBorders>
            <w:shd w:val="clear" w:color="auto" w:fill="DCE2EF"/>
          </w:tcPr>
          <w:p>
            <w:pPr>
              <w:spacing w:after="0"/>
              <w:rPr>
                <w:sz w:val="24"/>
                <w:szCs w:val="24"/>
                <w:color w:val="auto"/>
              </w:rPr>
            </w:pPr>
          </w:p>
        </w:tc>
        <w:tc>
          <w:tcPr>
            <w:tcW w:w="780" w:type="dxa"/>
            <w:vAlign w:val="bottom"/>
            <w:tcBorders>
              <w:bottom w:val="single" w:sz="8" w:color="auto"/>
            </w:tcBorders>
            <w:shd w:val="clear" w:color="auto" w:fill="DCE2EF"/>
          </w:tcPr>
          <w:p>
            <w:pPr>
              <w:jc w:val="right"/>
              <w:ind w:right="224"/>
              <w:spacing w:after="0"/>
              <w:rPr>
                <w:sz w:val="20"/>
                <w:szCs w:val="20"/>
                <w:color w:val="auto"/>
              </w:rPr>
            </w:pPr>
            <w:r>
              <w:rPr>
                <w:rFonts w:ascii="Arial" w:cs="Arial" w:eastAsia="Arial" w:hAnsi="Arial"/>
                <w:sz w:val="15"/>
                <w:szCs w:val="15"/>
                <w:color w:val="auto"/>
              </w:rPr>
              <w:t>(13.6)</w:t>
            </w:r>
          </w:p>
        </w:tc>
        <w:tc>
          <w:tcPr>
            <w:tcW w:w="700" w:type="dxa"/>
            <w:vAlign w:val="bottom"/>
            <w:tcBorders>
              <w:bottom w:val="single" w:sz="8" w:color="auto"/>
            </w:tcBorders>
            <w:shd w:val="clear" w:color="auto" w:fill="DCE2EF"/>
          </w:tcPr>
          <w:p>
            <w:pPr>
              <w:spacing w:after="0"/>
              <w:rPr>
                <w:sz w:val="24"/>
                <w:szCs w:val="24"/>
                <w:color w:val="auto"/>
              </w:rPr>
            </w:pP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(13.8)</w:t>
            </w:r>
          </w:p>
        </w:tc>
      </w:tr>
      <w:tr>
        <w:trPr>
          <w:trHeight w:val="233"/>
        </w:trPr>
        <w:tc>
          <w:tcPr>
            <w:tcW w:w="826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24"/>
              <w:spacing w:after="0"/>
              <w:rPr>
                <w:sz w:val="20"/>
                <w:szCs w:val="20"/>
                <w:color w:val="auto"/>
              </w:rPr>
            </w:pPr>
            <w:r>
              <w:rPr>
                <w:rFonts w:ascii="Arial" w:cs="Arial" w:eastAsia="Arial" w:hAnsi="Arial"/>
                <w:sz w:val="15"/>
                <w:szCs w:val="15"/>
                <w:color w:val="auto"/>
              </w:rPr>
              <w:t>(13.7)</w:t>
            </w:r>
          </w:p>
        </w:tc>
        <w:tc>
          <w:tcPr>
            <w:tcW w:w="70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(84.8)</w:t>
            </w:r>
          </w:p>
        </w:tc>
      </w:tr>
      <w:tr>
        <w:trPr>
          <w:trHeight w:val="33"/>
        </w:trPr>
        <w:tc>
          <w:tcPr>
            <w:tcW w:w="8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(a)</w:t>
      </w:r>
      <w:r>
        <w:rPr>
          <w:rFonts w:ascii="Arial" w:cs="Arial" w:eastAsia="Arial" w:hAnsi="Arial"/>
          <w:sz w:val="11"/>
          <w:szCs w:val="11"/>
          <w:color w:val="auto"/>
        </w:rPr>
        <w:t>The Company adjusts income to exclude the impact of certain items that are unusual, non-recurring, or otherwise do not reflect management's views of the underlying operational results and trends of the Company.</w:t>
      </w:r>
    </w:p>
    <w:p>
      <w:pPr>
        <w:spacing w:after="0" w:line="111" w:lineRule="exact"/>
        <w:rPr>
          <w:sz w:val="20"/>
          <w:szCs w:val="20"/>
          <w:color w:val="auto"/>
        </w:rPr>
      </w:pPr>
    </w:p>
    <w:p>
      <w:pPr>
        <w:jc w:val="both"/>
        <w:ind w:firstLine="8"/>
        <w:spacing w:after="0" w:line="279" w:lineRule="auto"/>
        <w:tabs>
          <w:tab w:leader="none" w:pos="117"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Represents the net adjustments to our self-insurance reserve for general liability, workers’ compensation, automobile and medical and dental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months ended January 31, 2024, and 2023, our self-insurance general liability, workers’ compensation, and automobile and medical and dental insurance claims related to prior period accident years increased by $5.3 million and $0 million, respectively.</w:t>
      </w:r>
    </w:p>
    <w:p>
      <w:pPr>
        <w:spacing w:after="0" w:line="179" w:lineRule="exact"/>
        <w:rPr>
          <w:rFonts w:ascii="Arial" w:cs="Arial" w:eastAsia="Arial" w:hAnsi="Arial"/>
          <w:sz w:val="13"/>
          <w:szCs w:val="13"/>
          <w:color w:val="auto"/>
          <w:vertAlign w:val="superscript"/>
        </w:rPr>
      </w:pPr>
    </w:p>
    <w:p>
      <w:pPr>
        <w:ind w:left="160" w:hanging="152"/>
        <w:spacing w:after="0"/>
        <w:tabs>
          <w:tab w:leader="none" w:pos="16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Represents acquisition and integration related costs primarily associated with Able acquisition.</w:t>
      </w:r>
    </w:p>
    <w:p>
      <w:pPr>
        <w:spacing w:after="0" w:line="118" w:lineRule="exact"/>
        <w:rPr>
          <w:rFonts w:ascii="Arial" w:cs="Arial" w:eastAsia="Arial" w:hAnsi="Arial"/>
          <w:sz w:val="16"/>
          <w:szCs w:val="16"/>
          <w:color w:val="auto"/>
          <w:vertAlign w:val="superscript"/>
        </w:rPr>
      </w:pPr>
    </w:p>
    <w:p>
      <w:pPr>
        <w:jc w:val="both"/>
        <w:ind w:firstLine="8"/>
        <w:spacing w:after="0" w:line="220" w:lineRule="auto"/>
        <w:tabs>
          <w:tab w:leader="none" w:pos="166"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Represents discrete transformational costs that primarily consists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118" w:lineRule="exact"/>
        <w:rPr>
          <w:rFonts w:ascii="Arial" w:cs="Arial" w:eastAsia="Arial" w:hAnsi="Arial"/>
          <w:sz w:val="16"/>
          <w:szCs w:val="16"/>
          <w:color w:val="auto"/>
          <w:vertAlign w:val="superscript"/>
        </w:rPr>
      </w:pPr>
    </w:p>
    <w:p>
      <w:pPr>
        <w:ind w:firstLine="8"/>
        <w:spacing w:after="0" w:line="286" w:lineRule="auto"/>
        <w:tabs>
          <w:tab w:leader="none" w:pos="128"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28.11% for FY2024 and FY 2023. We calculate tax from the underlying whole-dollar amounts, as a result, certain amounts may not recalculate based on reported numbers due to rounding.</w:t>
      </w:r>
    </w:p>
    <w:p>
      <w:pPr>
        <w:spacing w:after="0" w:line="62" w:lineRule="exact"/>
        <w:rPr>
          <w:rFonts w:ascii="Arial" w:cs="Arial" w:eastAsia="Arial" w:hAnsi="Arial"/>
          <w:sz w:val="13"/>
          <w:szCs w:val="13"/>
          <w:color w:val="auto"/>
          <w:vertAlign w:val="superscript"/>
        </w:rPr>
      </w:pPr>
    </w:p>
    <w:p>
      <w:pPr>
        <w:ind w:left="100" w:hanging="92"/>
        <w:spacing w:after="0"/>
        <w:tabs>
          <w:tab w:leader="none" w:pos="10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three months ended January 31, 2024 include a $0.3 million benefit for uncertain tax positions with expiring statues.</w:t>
      </w:r>
    </w:p>
    <w:p>
      <w:pPr>
        <w:spacing w:after="0" w:line="93"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three months ended January 31, 2023, include a $66 million payment for deferred payroll taxes under the Coronavirus Aid Relief and Economic Security Act (“CARES Act”).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type w:val="continuous"/>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844"/>
    </w:lvl>
  </w:abstractNum>
  <w:abstractNum w:abstractNumId="4">
    <w:nsid w:val="5BD062C2"/>
    <w:multiLevelType w:val="hybridMultilevel"/>
    <w:lvl w:ilvl="0">
      <w:lvlJc w:val="left"/>
      <w:lvlText w:val="(%1)"/>
      <w:numFmt w:val="decimal"/>
      <w:start w:val="21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2024-03-07T06:14:45Z</dcterms:created>
  <dcterms:modified xsi:type="dcterms:W3CDTF">2024-03-07T06:14:45Z</dcterms:modified>
</cp:coreProperties>
</file>