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1,099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17,692</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11,625 RSUs and DERS relating to the RSUs, adjusted to reflect the cumulative effect of fractional shares, 1,629 performance shares earned but not vested with respect to TSR performance shares granted on 9/8/2014, 458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2019-12-23T21:47:34Z</dcterms:created>
  <dcterms:modified xsi:type="dcterms:W3CDTF">2019-12-23T21:47:34Z</dcterms:modified>
</cp:coreProperties>
</file>