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September 9, 2022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7"/>
              </w:rPr>
              <w:t>1-8929</w:t>
            </w:r>
          </w:p>
        </w:tc>
        <w:tc>
          <w:tcPr>
            <w:tcW w:w="456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91"/>
        </w:trPr>
        <w:tc>
          <w:tcPr>
            <w:tcW w:w="38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0" w:type="dxa"/>
            <w:vAlign w:val="bottom"/>
          </w:tcPr>
          <w:p>
            <w:pPr>
              <w:spacing w:after="0"/>
              <w:rPr>
                <w:sz w:val="16"/>
                <w:szCs w:val="16"/>
                <w:color w:val="auto"/>
              </w:rPr>
            </w:pPr>
          </w:p>
        </w:tc>
        <w:tc>
          <w:tcPr>
            <w:tcW w:w="2740" w:type="dxa"/>
            <w:vAlign w:val="bottom"/>
            <w:tcBorders>
              <w:top w:val="single" w:sz="8" w:color="auto"/>
            </w:tcBorders>
          </w:tcPr>
          <w:p>
            <w:pPr>
              <w:jc w:val="center"/>
              <w:ind w:left="790"/>
              <w:spacing w:after="0" w:line="191" w:lineRule="exact"/>
              <w:rPr>
                <w:sz w:val="20"/>
                <w:szCs w:val="20"/>
                <w:color w:val="auto"/>
              </w:rPr>
            </w:pPr>
            <w:r>
              <w:rPr>
                <w:rFonts w:ascii="Times New Roman" w:cs="Times New Roman" w:eastAsia="Times New Roman" w:hAnsi="Times New Roman"/>
                <w:sz w:val="18"/>
                <w:szCs w:val="18"/>
                <w:color w:val="auto"/>
              </w:rPr>
              <w:t>(Commission File</w:t>
            </w: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of incorporation)</w:t>
            </w:r>
          </w:p>
        </w:tc>
        <w:tc>
          <w:tcPr>
            <w:tcW w:w="27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Number)</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One Liberty Plaza, 7</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tc>
        <w:tc>
          <w:tcPr>
            <w:tcW w:w="2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New York, New York</w:t>
            </w:r>
          </w:p>
        </w:tc>
        <w:tc>
          <w:tcPr>
            <w:tcW w:w="2740" w:type="dxa"/>
            <w:vAlign w:val="bottom"/>
          </w:tcPr>
          <w:p>
            <w:pPr>
              <w:spacing w:after="0"/>
              <w:rPr>
                <w:sz w:val="20"/>
                <w:szCs w:val="20"/>
                <w:color w:val="auto"/>
              </w:rPr>
            </w:pPr>
          </w:p>
        </w:tc>
        <w:tc>
          <w:tcPr>
            <w:tcW w:w="4560" w:type="dxa"/>
            <w:vAlign w:val="bottom"/>
            <w:gridSpan w:val="4"/>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228"/>
        </w:trPr>
        <w:tc>
          <w:tcPr>
            <w:tcW w:w="39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740" w:type="dxa"/>
            <w:vAlign w:val="bottom"/>
          </w:tcPr>
          <w:p>
            <w:pPr>
              <w:spacing w:after="0"/>
              <w:rPr>
                <w:sz w:val="24"/>
                <w:szCs w:val="24"/>
                <w:color w:val="auto"/>
              </w:rPr>
            </w:pPr>
          </w:p>
        </w:tc>
        <w:tc>
          <w:tcPr>
            <w:tcW w:w="4560" w:type="dxa"/>
            <w:vAlign w:val="bottom"/>
            <w:gridSpan w:val="4"/>
          </w:tcPr>
          <w:p>
            <w:pPr>
              <w:jc w:val="right"/>
              <w:ind w:right="3070"/>
              <w:spacing w:after="0"/>
              <w:rPr>
                <w:sz w:val="20"/>
                <w:szCs w:val="20"/>
                <w:color w:val="auto"/>
              </w:rPr>
            </w:pPr>
            <w:r>
              <w:rPr>
                <w:rFonts w:ascii="Times New Roman" w:cs="Times New Roman" w:eastAsia="Times New Roman" w:hAnsi="Times New Roman"/>
                <w:sz w:val="18"/>
                <w:szCs w:val="18"/>
                <w:b w:val="1"/>
                <w:bCs w:val="1"/>
                <w:color w:val="auto"/>
              </w:rPr>
              <w:t>(212) 297-0200</w:t>
            </w:r>
          </w:p>
        </w:tc>
      </w:tr>
      <w:tr>
        <w:trPr>
          <w:trHeight w:val="426"/>
        </w:trPr>
        <w:tc>
          <w:tcPr>
            <w:tcW w:w="38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74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N/A</w:t>
            </w:r>
          </w:p>
        </w:tc>
        <w:tc>
          <w:tcPr>
            <w:tcW w:w="8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460" w:type="dxa"/>
            <w:vAlign w:val="bottom"/>
            <w:tcBorders>
              <w:top w:val="single" w:sz="8" w:color="auto"/>
              <w:bottom w:val="single" w:sz="8" w:color="auto"/>
            </w:tcBorders>
          </w:tcPr>
          <w:p>
            <w:pPr>
              <w:spacing w:after="0"/>
              <w:rPr>
                <w:sz w:val="24"/>
                <w:szCs w:val="24"/>
                <w:color w:val="auto"/>
              </w:rPr>
            </w:pPr>
          </w:p>
        </w:tc>
      </w:tr>
    </w:tbl>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13"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98"/>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18"/>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ABM</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340" w:right="180" w:hanging="332"/>
        <w:spacing w:after="0" w:line="282"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619760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9, 2022, ABM Industries Incorporated (the “Company”) issued a press release announcing financial results related to the quarter ended July 31, 2022. A copy of the press release is being furnished as Exhibit 99.1 to this Form 8-K, which is incorporated into this item by reference.</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7, 2022, the Board of Directors (the “Board”) of the Company, acting upon the recommendation of its Governance Committee, elected James D. DeVries as a director, effective immediately. Concurrently with this addition to the Board, the Board approved a resolution increasing the size of the Board from ten to eleven directors.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DeVries’ cash and equity compensation arrangements as a director are the same as those previously reported for other non-employee directors, which are described on pages 15-16 of the Company’s proxy statement for its 2022 Annual Meeting of Stockholders, filed with the Securities and Exchange Commission on February 11, 2022. As a non-employee director, Mr. DeVries will also be entitled to a pro-rated annual restricted stock unit award and will be paid applicable Board and committee fees. In addition, the Company will enter into its standard form of director’s indemnification agreement with Mr. DeVries.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election of Mr. DeVries as a director is attached hereto as Exhibit 99.2.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9, 2022, the Company announced that the Board of Directors of the Company declared a quarterly dividend of $0.195 per share, payable on November 7, 2022, to stockholders of record on October 6,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ABM Industries Incorporated, dated September 9, 2022, announcing financial results related to the quarter ended July 31,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EE"/>
        </w:rPr>
        <w:t>2022, the declaration of a dividend payable November 7, 2022, to stockholders of record on October 6, 2022</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Press Release issued by ABM Industries Incorporated, dated September 7, 2022, announcing the election of James D. DeVries to the Board.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ABM INDUSTRIES INCORPORATED</w:t>
            </w: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September 9, 2022</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By: /s/ Andrea R. Newborn</w:t>
            </w:r>
          </w:p>
        </w:tc>
      </w:tr>
      <w:tr>
        <w:trPr>
          <w:trHeight w:val="191"/>
        </w:trPr>
        <w:tc>
          <w:tcPr>
            <w:tcW w:w="580" w:type="dxa"/>
            <w:vAlign w:val="bottom"/>
          </w:tcPr>
          <w:p>
            <w:pPr>
              <w:spacing w:after="0"/>
              <w:rPr>
                <w:sz w:val="16"/>
                <w:szCs w:val="16"/>
                <w:color w:val="auto"/>
              </w:rPr>
            </w:pPr>
          </w:p>
        </w:tc>
        <w:tc>
          <w:tcPr>
            <w:tcW w:w="482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Andrea R. Newborn</w:t>
            </w: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w:t>
            </w:r>
          </w:p>
        </w:tc>
      </w:tr>
      <w:tr>
        <w:trPr>
          <w:trHeight w:val="234"/>
        </w:trPr>
        <w:tc>
          <w:tcPr>
            <w:tcW w:w="5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Counsel and Secretary</w:t>
            </w:r>
          </w:p>
        </w:tc>
      </w:tr>
      <w:tr>
        <w:trPr>
          <w:trHeight w:val="675"/>
        </w:trPr>
        <w:tc>
          <w:tcPr>
            <w:tcW w:w="5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42695" cy="676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269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ABM REPORTS THIRD QUARTER FISCAL 2022 RESULTS AND UPDATES GUIDANCE FOR FULL YEAR ADJUSTED EPS</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Generates revenue of $2.0 billion, up 27.1% year-over-year, with 7.4% organic growth</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Posts net income of $56.8 million and GAAP EPS of $0.85, compared to a net loss of $(13.7) million, or $(0.20) per diluted share last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Records adjusted EBITDA of $125.5 million, up 11%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Delivers adjusted EPS of $0.94, up </w:t>
      </w: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i w:val="1"/>
          <w:iCs w:val="1"/>
          <w:color w:val="auto"/>
        </w:rPr>
        <w:t xml:space="preserve"> year-over-year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YORK, NY - September 9, 2022 - ABM (NYSE: ABM), a leading provider of facility solutions, today announced financial results for the third quarter of fiscal 2022.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Scott Salmirs, ABM’s President and Chief Executive Officer commented, “ABM delivered solid third quarter results highlighted by double-digit growth of both revenue and adjusted EBITDA. This performance reflected the benefit of recent acquisitions, healthy demand for our core janitorial and engineering services, as well as continued strong growth in eMobility. Our teams executed well throughout the quarter, generating </w:t>
      </w:r>
      <w:r>
        <w:rPr>
          <w:rFonts w:ascii="Times New Roman" w:cs="Times New Roman" w:eastAsia="Times New Roman" w:hAnsi="Times New Roman"/>
          <w:sz w:val="18"/>
          <w:szCs w:val="18"/>
          <w:color w:val="242424"/>
        </w:rPr>
        <w:t>an adjusted EBITDA margin of</w:t>
      </w:r>
      <w:r>
        <w:rPr>
          <w:rFonts w:ascii="Times New Roman" w:cs="Times New Roman" w:eastAsia="Times New Roman" w:hAnsi="Times New Roman"/>
          <w:sz w:val="18"/>
          <w:szCs w:val="18"/>
          <w:color w:val="auto"/>
        </w:rPr>
        <w:t xml:space="preserve"> 6.6% despite inflationary pressures, limited labor availability in certain markets, and the expected easing of demand for disinfection-related work orders and </w:t>
      </w:r>
      <w:r>
        <w:rPr>
          <w:rFonts w:ascii="Times New Roman" w:cs="Times New Roman" w:eastAsia="Times New Roman" w:hAnsi="Times New Roman"/>
          <w:sz w:val="18"/>
          <w:szCs w:val="18"/>
          <w:color w:val="242424"/>
        </w:rPr>
        <w:t>EnhancedClean™ services</w:t>
      </w:r>
      <w:r>
        <w:rPr>
          <w:rFonts w:ascii="Times New Roman" w:cs="Times New Roman" w:eastAsia="Times New Roman" w:hAnsi="Times New Roman"/>
          <w:sz w:val="18"/>
          <w:szCs w:val="18"/>
          <w:color w:val="000000"/>
        </w:rPr>
        <w:t>. Our team did a great job in implementing price escalations as necessary and managing operating expenses to partially offset</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these headwinds.”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Salmirs continued, “Looking forward, we expect the demand environment will remain constructive, supported by the fundamental need for facility cleaning and maintenance and continued client demand for services that promote healthy buildings, sustainability and energy efficiency. We also expect inflationary pressures will continue into next year. We recently closed our acquisition of RavenVolt, a leader in the rapidly expanding microgrid industry, and we expect strong demand for their comprehensive solutions. We believe RavenVolt is a great addition to our energy solutions business, enabling ABM to more broadly meet our customers’ ever-growing needs for energy efficiency and reliability.”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“ABM has performed well through the first three quarters of the year, and we expect a solid finish to 2022. As a result, we are narrowing our range for adjusted EPS and adjusted EBITDA margin, and now expect adjusted EPS to be in the range of $3.60 to $3.70, with adjusted EBITDA margin of around 6.6%. We remain focused on managing ongoing inflationary costs, including direct labor and staffing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and Business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fiscal 2022, the Company reported revenue of $2.0 billion, up 27.1% over the prior year period, comprised of 7.4% organic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19.7% from acquisitions. </w:t>
      </w:r>
      <w:r>
        <w:rPr>
          <w:rFonts w:ascii="Times New Roman" w:cs="Times New Roman" w:eastAsia="Times New Roman" w:hAnsi="Times New Roman"/>
          <w:sz w:val="18"/>
          <w:szCs w:val="18"/>
          <w:color w:val="242424"/>
        </w:rPr>
        <w:t>As anticipated, the Company’s revenue mix reflected a decrease in disinfection-related work orders and EnhancedClean™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 xml:space="preserve">business versus the prior year period. </w:t>
      </w:r>
      <w:r>
        <w:rPr>
          <w:rFonts w:ascii="Times New Roman" w:cs="Times New Roman" w:eastAsia="Times New Roman" w:hAnsi="Times New Roman"/>
          <w:sz w:val="18"/>
          <w:szCs w:val="18"/>
          <w:color w:val="000000"/>
        </w:rPr>
        <w:t>Organic r</w:t>
      </w:r>
      <w:r>
        <w:rPr>
          <w:rFonts w:ascii="Times New Roman" w:cs="Times New Roman" w:eastAsia="Times New Roman" w:hAnsi="Times New Roman"/>
          <w:sz w:val="18"/>
          <w:szCs w:val="18"/>
          <w:color w:val="242424"/>
        </w:rPr>
        <w:t>evenue growth was led by a 21.3% year-over-year gain in Aviation, driven by recovering consumer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business travel, and by a 9.3% gain in Technical Solutions, powered by strong growth in the Company's e-mobility business. Business &amp; Industry grew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7.1% organically, with B&amp;I’s total revenue growth of 51.4% reflecting a 44.3% impact from acquisitions. Manufacturing &amp; Distribution revenue grew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5.2%, while Education rose modestly from the prior year.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On a GAAP basis, the Company reported net income of $56.8 million, or $0.85 per diluted share compared to a net loss of $(13.7) million, or $(0.20) per diluted share last year. Third quarter of 2022 results were driven by higher Business &amp; Industry segment earnings, and the absence of a $112.9 million litigation reserve taken in the prior year period, partially offset by ELEVATE transformation costs, and lower benefits from prior year insurance adjustments.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for the quarter on both a GAAP and adjusted basis reflected increased operating earnings on higher revenue, partially offset by a decrease in the volume of higher-margin virus protection services and work orders, as well as higher direct and indirect costs, primarily for labor.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income for the third quarter of 2022 was $63.2 million, or $0.94 per diluted share, representing increases of 3% and 4%, respectively, over the $61.3 million, or $0.90 per diluted share recorded in the third quarter of fiscal 2021. Adjusted results exclude items impacting comparability. A description of items impacting comparability can be found in the “Reconciliation of Non-GAAP Financial Measures” table.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for the third quarter grew 11% to $125.5 million compared to $113.5 million in the prior year period. Adjusted EBITDA margin for the quarter was 6.6% versus 7.7% last year, primarily reflecting a change in service mix and cost increases.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Update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the Company continued to make progress developing and testing its cloud-based ERP system and workforce management tools as part of its ELEVATE initiative. The Company also launched ABMVantage, our new data-enabled, driver-first Smart Parking platform that integrates with existing infrastructure, enhanced by best-in-class technology and equipment, creating a streamlined open systems concept to fit and grow with the evolving needs of parking garage owners and their customers.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 2022, the Company closed on the acquisition of RavenVolt, further delivering on its ELEVATE strategy to grow via acquisitions that expand ABM’s core capabilities. RavenVolt designs and installs customized microgrid solutions, including RavenVolt branded generators and switchgear that deliver modular and redundant power to ensure energy resiliency and reliability. The acquisition of RavenVolt is a natural extension of ABM’s Technical Solutions service offerings and enhances ABM’s position as a market leader in EV infrastructure, power and bundled energy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Structure &amp; Share Repurchases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ended the quarter with total debt of $1,354.3 million, including $158.8 million in standby letters of credit, resulting in a total leverage ratio, as defined by the Company's credit facility of 2.4x. The Company had available liquidity of approximately $769 million, inclusive of cash and cash equivalents of $63.9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the Company repurchased 0.7 million shares of its common stock at an average share price of $41.92, for a total cost of $31.2 million. Through the first nine months of the year, the Company repurchased 1.7 million shares for $74.5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Declaration of Quarterly Cash Dividend</w:t>
      </w:r>
    </w:p>
    <w:p>
      <w:pPr>
        <w:spacing w:after="0" w:line="22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announced that the Board of Directors has declared a cash dividend of $0.195 per common share payable on November 7, 2022 to shareholders of record on October 6, 2022. This will be the Company’s 226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consecutive quarterly cash dividend.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Guidance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full year 2022, the Company has updated its guidance range and now expects GAAP EPS of $3.20 to $3.30, compared to $2.91 to $3.11 previously. This change reflects a combined $0.19 EPS benefit from changes in items impacting comparability and change in adjusted EPS. The Company now expects full year 2022 adjusted EPS to be in range of $3.60 to $3.70, compared to $3.50 to $3.70 previously, and for adjusted EBITDA margin to be approximately 6.6%. The updated guidance for full year 2022 adjusted EPS reflects a $0.05 increase of the mid-point over the Company’s previous forecast.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ABM will host its quarterly conference call for all interested parties on Friday, September 9, 2022, at 8:30 AM (ET). The live conference call can be accessed via audio webcast at the “Investors” section of the Company's website, located at </w:t>
      </w:r>
      <w:r>
        <w:rPr>
          <w:rFonts w:ascii="Times New Roman" w:cs="Times New Roman" w:eastAsia="Times New Roman" w:hAnsi="Times New Roman"/>
          <w:sz w:val="18"/>
          <w:szCs w:val="18"/>
          <w:u w:val="single" w:color="auto"/>
          <w:color w:val="auto"/>
        </w:rPr>
        <w:t>www.abm.com</w:t>
      </w:r>
      <w:r>
        <w:rPr>
          <w:rFonts w:ascii="Times New Roman" w:cs="Times New Roman" w:eastAsia="Times New Roman" w:hAnsi="Times New Roman"/>
          <w:sz w:val="18"/>
          <w:szCs w:val="18"/>
          <w:color w:val="auto"/>
        </w:rPr>
        <w:t>, or by dialing (877) 451-6152 (domestic) or</w:t>
      </w:r>
    </w:p>
    <w:p>
      <w:pPr>
        <w:jc w:val="both"/>
        <w:ind w:right="5100" w:firstLine="8"/>
        <w:spacing w:after="0" w:line="519"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317-6671 (international) approximately 15 minutes prior to the scheduled time. A supplemental presentation will accompany the webcast on the Company's website.</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replay will be available approximately two hours after the webcast through September 23, 2022, and can be accessed by dialing (844) 512-2921 and then entering ID #13731011. A replay link of the webcast will also be archived on the ABM website for 90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ABM (NYSE: ABM) is one of the world’s largest providers of integrated facility services. A driving force for a cleaner, healthier, and more sustainable world, ABM provides essential services that improve the spaces and places that matter most. From curbside to rooftop, ABM offers a comprehensive array of facility services that includes janitorial, engineering, parking, electrical &amp; lighting, energy solutions, HVAC &amp; mechanical, landscape &amp; turf, and mission critical solutions. ABM delivers these custom facility solutions to properties across a wide range of industries – from commercial office buildings to schools, airports, hospitals, data centers, manufacturing plants and distribution centers, entertainment venues and more. Founded in 1909, ABM serves over 20,000 clients, with annualized revenue exceeding $7 billion and more than 100,000 team members in 350+ offices throughout the United States, United Kingdom and other international locations. For more information, visit </w:t>
      </w:r>
      <w:r>
        <w:rPr>
          <w:rFonts w:ascii="Times New Roman" w:cs="Times New Roman" w:eastAsia="Times New Roman" w:hAnsi="Times New Roman"/>
          <w:sz w:val="18"/>
          <w:szCs w:val="18"/>
          <w:u w:val="single" w:color="auto"/>
          <w:color w:val="auto"/>
        </w:rPr>
        <w:t>www.abm.com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Statement under the Private Securities Litigation Reform Act of 1995</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The COVID-19 pandemic has had and is expected to continue having a negative effect on the global economy, and the United States economy, and it has disrupted and is expected to continue disrupting our operations and our clients’ operations, which may adversely affect our business, results of operations, cash flows, and financial condition; our success depends on our ability to gain profitable business despite competitive market pressures; our business success depends on our ability to attract and retain qualified personnel and senior management and to manage labor costs; investments in and changes to our businesses, operating structure, financial reporting structure, or personnel relating to our ELEVATE strategy, including the implementation of strategic transformations, enhanced business processes, and technology initiatives may not have the desired effects on our financial condition and results of operations; our ability to preserve long-term client relationships is essential to our continued success; our international business involves risks different from those we face in the United States that could have an effect on our results of operations and financial condition; our use of subcontractors or joint venture partners to perform work under customer contracts exposes us to liability and financial risk; acquisitions, divestitures, and other strategic transactions could fail to achieve financial or strategic objectives, disrupt our ongoing business, and adversely impact our results of operations; we may experience difficulties integrating Able Services and may not realize the growth opportunities and cost synergies that are anticipated from the Able acquisition;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we may experience breaches of, or disruptions to, our information technology systems or those of our third-party providers or clients, or other compromises of our data that could adversely affect our business; unfavorable developments in our class and representative actions and other lawsuits alleging various claims could cause us to incur substantial liabilities;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changes in general economic conditions, such as changes in energy prices, government regulations, or consumer preferences, could reduce the demand for facility services and, as a result, reduce our earnings and adversely affect our financial condition; future increases in the level of our borrowings or in interest rates could affect 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and terrorist attacks could disrupt our services;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To supplement ABM’s consolidated financial information, the Company has presented net income and net income per diluted share as adjusted for items impacting comparability for the third quarter and nine months of fiscal years 2022 and 2021.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interest, taxes, depreciation and amortization, and excluding items impacting comparability (adjusted EBITDA) for the third quarter and nine months of fiscal years 2022 and 2021. Adjusted EBITDA is among the indicators management uses as a basis for planning and forecasting future periods. Adjusted EBITDA margin is defined as adjusted EBITDA divided by revenue excluding management reimbursement. We cannot provide a reconciliation of forward-looking non-GAAP adjusted EBITDA margin measures to GAAP due to the inherent difficulty in forecasting and quantifying certain amounts that are necessary for such reconciliation. The Company has also presented Free Cash Flow which is defined as net cash provided by (used in) operating activities less additions to property, plant and equipment.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round amounts to millions but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Investor Relations:</w:t>
      </w:r>
      <w:r>
        <w:rPr>
          <w:sz w:val="20"/>
          <w:szCs w:val="20"/>
          <w:color w:val="auto"/>
        </w:rPr>
        <w:tab/>
      </w:r>
      <w:r>
        <w:rPr>
          <w:rFonts w:ascii="Times New Roman" w:cs="Times New Roman" w:eastAsia="Times New Roman" w:hAnsi="Times New Roman"/>
          <w:sz w:val="17"/>
          <w:szCs w:val="17"/>
          <w:color w:val="auto"/>
        </w:rPr>
        <w:t>Paul Goldberg</w:t>
      </w:r>
    </w:p>
    <w:p>
      <w:pPr>
        <w:spacing w:after="0" w:line="27" w:lineRule="exact"/>
        <w:rPr>
          <w:sz w:val="20"/>
          <w:szCs w:val="20"/>
          <w:color w:val="auto"/>
        </w:rPr>
      </w:pPr>
    </w:p>
    <w:p>
      <w:pPr>
        <w:ind w:left="2700" w:hanging="438"/>
        <w:spacing w:after="0"/>
        <w:tabs>
          <w:tab w:leader="none" w:pos="2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297-9721</w:t>
      </w:r>
    </w:p>
    <w:p>
      <w:pPr>
        <w:spacing w:after="0" w:line="9"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ir@abm.com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ABM INDUSTRIES INCORPORATED AND SUBSIDIARIES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INCOME (LOSS) STATEMENT INFORMATION (UNAUDITED)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8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4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 /</w:t>
            </w: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7"/>
                <w:szCs w:val="17"/>
                <w:color w:val="auto"/>
              </w:rPr>
            </w:pPr>
          </w:p>
        </w:tc>
        <w:tc>
          <w:tcPr>
            <w:tcW w:w="1440" w:type="dxa"/>
            <w:vAlign w:val="bottom"/>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1"/>
        </w:trPr>
        <w:tc>
          <w:tcPr>
            <w:tcW w:w="28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1,696.4</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1,288.1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57"/>
        </w:trPr>
        <w:tc>
          <w:tcPr>
            <w:tcW w:w="67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253.8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line="20" w:lineRule="exact"/>
              <w:rPr>
                <w:sz w:val="1"/>
                <w:szCs w:val="1"/>
                <w:color w:val="auto"/>
              </w:rPr>
            </w:pPr>
          </w:p>
        </w:tc>
      </w:tr>
      <w:tr>
        <w:trPr>
          <w:trHeight w:val="210"/>
        </w:trPr>
        <w:tc>
          <w:tcPr>
            <w:tcW w:w="6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w:t>
            </w: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and common equivalent shares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67.5</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80" w:type="dxa"/>
            <w:vAlign w:val="bottom"/>
            <w:gridSpan w:val="2"/>
          </w:tcPr>
          <w:p>
            <w:pPr>
              <w:ind w:left="340"/>
              <w:spacing w:after="0" w:line="25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tcPr>
          <w:p>
            <w:pPr>
              <w:spacing w:after="0"/>
              <w:rPr>
                <w:sz w:val="22"/>
                <w:szCs w:val="22"/>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67.5</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0.190</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 (due to variance greater than or equal to +/-100%)</w:t>
      </w:r>
    </w:p>
    <w:p>
      <w:pPr>
        <w:spacing w:after="0" w:line="68"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2021 includes $112.9 million litigation settlement reserve</w:t>
      </w:r>
    </w:p>
    <w:p>
      <w:pPr>
        <w:spacing w:after="0" w:line="122" w:lineRule="exact"/>
        <w:rPr>
          <w:rFonts w:ascii="Times New Roman" w:cs="Times New Roman" w:eastAsia="Times New Roman" w:hAnsi="Times New Roman"/>
          <w:sz w:val="27"/>
          <w:szCs w:val="27"/>
          <w:color w:val="auto"/>
          <w:vertAlign w:val="superscript"/>
        </w:rPr>
      </w:pPr>
    </w:p>
    <w:p>
      <w:pPr>
        <w:ind w:firstLine="8"/>
        <w:spacing w:after="0" w:line="220" w:lineRule="auto"/>
        <w:tabs>
          <w:tab w:leader="none" w:pos="212"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dilutive impact of the Company’s PSUs, RSUs and stock options has been excluded from the calculation of diluted (loss) earnings per share for the three months ended July 31, 2021 because their inclusion would have an antidilutive effect on the net loss per share.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ABM INDUSTRIES INCORPORATED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INCOME STATEMENT INFORMATION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c>
          <w:tcPr>
            <w:tcW w:w="14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 /</w:t>
            </w: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7"/>
                <w:szCs w:val="17"/>
                <w:color w:val="auto"/>
              </w:rPr>
            </w:pPr>
          </w:p>
        </w:tc>
        <w:tc>
          <w:tcPr>
            <w:tcW w:w="1440" w:type="dxa"/>
            <w:vAlign w:val="bottom"/>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1"/>
        </w:trPr>
        <w:tc>
          <w:tcPr>
            <w:tcW w:w="282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5,004.4</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3,812.0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57"/>
        </w:trPr>
        <w:tc>
          <w:tcPr>
            <w:tcW w:w="6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9"/>
                <w:szCs w:val="29"/>
                <w:color w:val="auto"/>
                <w:vertAlign w:val="superscript"/>
              </w:rPr>
              <w:t>(1)</w:t>
            </w: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468.5</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9"/>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197"/>
        </w:trPr>
        <w:tc>
          <w:tcPr>
            <w:tcW w:w="61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and common equivalent shares outstanding</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0.585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0.570</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2021 includes $142.9 million litigation settlement reserve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ABM INDUSTRIES INCORPORATED AND SUBSIDIARIES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INFORMATION (UNAUDITED)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6"/>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183"/>
        </w:trPr>
        <w:tc>
          <w:tcPr>
            <w:tcW w:w="73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0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63"/>
        </w:trPr>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73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Taxes withheld from issuance of share-based compensation awards, net</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 paid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credit facility</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borrowings from credit facility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book cash overdrafts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of energy savings performance contracts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63"/>
        </w:trPr>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73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7340" w:type="dxa"/>
            <w:vAlign w:val="bottom"/>
            <w:tcBorders>
              <w:bottom w:val="single" w:sz="8" w:color="auto"/>
            </w:tcBorders>
            <w:gridSpan w:val="2"/>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ABM INDUSTRIES INCORPORATED AND SUBSIDIARIES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INFORMATION (UNAUDITED)</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6"/>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c>
          <w:tcPr>
            <w:tcW w:w="0" w:type="dxa"/>
            <w:vAlign w:val="bottom"/>
          </w:tcPr>
          <w:p>
            <w:pPr>
              <w:spacing w:after="0"/>
              <w:rPr>
                <w:sz w:val="1"/>
                <w:szCs w:val="1"/>
                <w:color w:val="auto"/>
              </w:rPr>
            </w:pPr>
          </w:p>
        </w:tc>
      </w:tr>
      <w:tr>
        <w:trPr>
          <w:trHeight w:val="183"/>
        </w:trPr>
        <w:tc>
          <w:tcPr>
            <w:tcW w:w="73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52"/>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0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3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r>
              <w:rPr>
                <w:rFonts w:ascii="Times New Roman" w:cs="Times New Roman" w:eastAsia="Times New Roman" w:hAnsi="Times New Roman"/>
                <w:sz w:val="21"/>
                <w:szCs w:val="21"/>
                <w:b w:val="1"/>
                <w:bCs w:val="1"/>
                <w:color w:val="auto"/>
                <w:vertAlign w:val="superscript"/>
              </w:rPr>
              <w:t>(a)</w:t>
            </w:r>
          </w:p>
        </w:tc>
        <w:tc>
          <w:tcPr>
            <w:tcW w:w="110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
              <w:spacing w:after="0" w:line="18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81"/>
        </w:trPr>
        <w:tc>
          <w:tcPr>
            <w:tcW w:w="900" w:type="dxa"/>
            <w:vAlign w:val="bottom"/>
            <w:shd w:val="clear" w:color="auto" w:fill="CCEEFF"/>
          </w:tcPr>
          <w:p>
            <w:pPr>
              <w:spacing w:after="0"/>
              <w:rPr>
                <w:sz w:val="7"/>
                <w:szCs w:val="7"/>
                <w:color w:val="auto"/>
              </w:rPr>
            </w:pPr>
          </w:p>
        </w:tc>
        <w:tc>
          <w:tcPr>
            <w:tcW w:w="644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200" w:type="dxa"/>
            <w:vAlign w:val="bottom"/>
            <w:gridSpan w:val="2"/>
            <w:shd w:val="clear" w:color="auto" w:fill="CCEEFF"/>
          </w:tcPr>
          <w:p>
            <w:pPr>
              <w:jc w:val="right"/>
              <w:ind w:right="61"/>
              <w:spacing w:after="0" w:line="81" w:lineRule="exact"/>
              <w:rPr>
                <w:sz w:val="20"/>
                <w:szCs w:val="20"/>
                <w:color w:val="auto"/>
              </w:rPr>
            </w:pPr>
            <w:r>
              <w:rPr>
                <w:rFonts w:ascii="Times New Roman" w:cs="Times New Roman" w:eastAsia="Times New Roman" w:hAnsi="Times New Roman"/>
                <w:sz w:val="9"/>
                <w:szCs w:val="9"/>
                <w:color w:val="auto"/>
              </w:rPr>
              <w:t>(96.7</w:t>
            </w:r>
          </w:p>
        </w:tc>
        <w:tc>
          <w:tcPr>
            <w:tcW w:w="340" w:type="dxa"/>
            <w:vAlign w:val="bottom"/>
            <w:gridSpan w:val="2"/>
            <w:vMerge w:val="continue"/>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businesses, net of cash acquired</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7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Taxes withheld from issuance of share-based compensation awards, net</w:t>
            </w: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 paid</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from debt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990.1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borrowings from debt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(684.5)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book cash overdrafts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of energy savings performance contracts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7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34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80" w:firstLine="8"/>
        <w:spacing w:after="0" w:line="338" w:lineRule="auto"/>
        <w:tabs>
          <w:tab w:leader="none" w:pos="211"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Net cash (used in) provided by operating activities for the nine months ended July 31, 2022 was unfavorably impacted by $143.8 million payment made for the Bucio settlement as well as a $66 million payment for deferred payroll taxes under the Coronavirus Aid, Relief, and Economic Security Act (“CARES Act”). The nine months ended July 31, 2021 was positively impacted by a deferral of approximately $31 million of payroll taxes under the CARES Act.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ABM INDUSTRIES INCORPORATED AND SUBSIDIARIES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INFORMATION (UNAUDITED)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July 31, 2022</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October 31, 2021</w:t>
            </w:r>
          </w:p>
        </w:tc>
        <w:tc>
          <w:tcPr>
            <w:tcW w:w="0" w:type="dxa"/>
            <w:vAlign w:val="bottom"/>
          </w:tcPr>
          <w:p>
            <w:pPr>
              <w:spacing w:after="0"/>
              <w:rPr>
                <w:sz w:val="1"/>
                <w:szCs w:val="1"/>
                <w:color w:val="auto"/>
              </w:rPr>
            </w:pPr>
          </w:p>
        </w:tc>
      </w:tr>
      <w:tr>
        <w:trPr>
          <w:trHeight w:val="21"/>
        </w:trPr>
        <w:tc>
          <w:tcPr>
            <w:tcW w:w="90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1,239.8</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1,137.1</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incurred in excess of amounts billed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8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115.2</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381.5</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2,295.0</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2,228.9</w:t>
            </w: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w:t>
            </w:r>
          </w:p>
        </w:tc>
        <w:tc>
          <w:tcPr>
            <w:tcW w:w="4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181.5</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299.8</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16"/>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188.5</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taxes—other than income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Insurance claims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172.7</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268.3</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106.5</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insurance claims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399.9</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income taxes payable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2,927.3</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1,680.3</w:t>
            </w:r>
          </w:p>
        </w:tc>
        <w:tc>
          <w:tcPr>
            <w:tcW w:w="4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1,609.2</w:t>
            </w: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600" w:type="dxa"/>
            <w:vAlign w:val="bottom"/>
            <w:tcBorders>
              <w:bottom w:val="single" w:sz="8" w:color="auto"/>
            </w:tcBorders>
            <w:gridSpan w:val="2"/>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ABM INDUSTRIES INCORPORATED AND SUBSIDIARIES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AND OPERATING PROFIT BY SEGMENT (UNAUDITED)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4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7"/>
                <w:szCs w:val="17"/>
                <w:color w:val="auto"/>
              </w:rPr>
            </w:pPr>
          </w:p>
        </w:tc>
        <w:tc>
          <w:tcPr>
            <w:tcW w:w="1440" w:type="dxa"/>
            <w:vAlign w:val="bottom"/>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1"/>
        </w:trPr>
        <w:tc>
          <w:tcPr>
            <w:tcW w:w="90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&amp; Industry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682.9</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&amp; Distribution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340.5</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Education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207.5</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207.0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167.8</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Solutions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158.4</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&amp; Industry</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71.6</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&amp; Distribution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Solutions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Services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7"/>
        </w:trPr>
        <w:tc>
          <w:tcPr>
            <w:tcW w:w="6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(161.1)</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198"/>
        </w:trPr>
        <w:tc>
          <w:tcPr>
            <w:tcW w:w="6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Adjustment for income from unconsolidated affiliates, included in Aviation and Technical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6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 for tax deductions for energy efficient government buildings, included in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Technical Solutions</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profit</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w:t>
            </w: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 (due to variance greater than or equal to +/-100%)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2021 includes $112.9 million litigation settlement reserve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ABM INDUSTRIES INCORPORATED AND SUBSIDIARIES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AND OPERATING PROFIT BY SEGMENT (UNAUDITED)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c>
          <w:tcPr>
            <w:tcW w:w="14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7"/>
                <w:szCs w:val="17"/>
                <w:color w:val="auto"/>
              </w:rPr>
            </w:pPr>
          </w:p>
        </w:tc>
        <w:tc>
          <w:tcPr>
            <w:tcW w:w="1440" w:type="dxa"/>
            <w:vAlign w:val="bottom"/>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0"/>
        </w:trPr>
        <w:tc>
          <w:tcPr>
            <w:tcW w:w="90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&amp; Industry</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3,067.0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2,046.9</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&amp; Distribution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1,021.5</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Education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617.6</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454.7</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Solutions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447.2</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&amp; Industry</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216.4</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&amp; Distribution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120.6</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118.5</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57"/>
        </w:trPr>
        <w:tc>
          <w:tcPr>
            <w:tcW w:w="6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Technical Solutions</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Services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7"/>
        </w:trPr>
        <w:tc>
          <w:tcPr>
            <w:tcW w:w="6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9"/>
                <w:szCs w:val="29"/>
                <w:color w:val="auto"/>
                <w:vertAlign w:val="superscript"/>
              </w:rPr>
              <w:t>(2)</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(200.6)</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(284.5)</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98"/>
        </w:trPr>
        <w:tc>
          <w:tcPr>
            <w:tcW w:w="6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Adjustment for income from unconsolidated affiliates, included in Aviation and Technical</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198"/>
        </w:trPr>
        <w:tc>
          <w:tcPr>
            <w:tcW w:w="6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 for tax deductions for energy efficient government buildings, included in</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Technical Solutions</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0"/>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profit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 (due to variance greater than or equal to +/-100%)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2022 includes a $7.6 million gain on the sale of certain healthcare customer contracts.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2021 includes $142.9 million litigation settlement reserve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ABM INDUSTRIES INCORPORATED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282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60" w:type="dxa"/>
            <w:vAlign w:val="bottom"/>
          </w:tcPr>
          <w:p>
            <w:pPr>
              <w:spacing w:after="0"/>
              <w:rPr>
                <w:sz w:val="24"/>
                <w:szCs w:val="24"/>
                <w:color w:val="auto"/>
              </w:rPr>
            </w:pPr>
          </w:p>
        </w:tc>
        <w:tc>
          <w:tcPr>
            <w:tcW w:w="262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r>
      <w:tr>
        <w:trPr>
          <w:trHeight w:val="223"/>
        </w:trPr>
        <w:tc>
          <w:tcPr>
            <w:tcW w:w="282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Net Income</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56.8</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r>
      <w:tr>
        <w:trPr>
          <w:trHeight w:val="256"/>
        </w:trPr>
        <w:tc>
          <w:tcPr>
            <w:tcW w:w="5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Items impacting comparability</w:t>
            </w:r>
            <w:r>
              <w:rPr>
                <w:rFonts w:ascii="Times New Roman" w:cs="Times New Roman" w:eastAsia="Times New Roman" w:hAnsi="Times New Roman"/>
                <w:sz w:val="29"/>
                <w:szCs w:val="29"/>
                <w:color w:val="auto"/>
                <w:vertAlign w:val="superscript"/>
              </w:rPr>
              <w:t>(a)</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50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Prior year self-insurance adjustment</w:t>
            </w:r>
            <w:r>
              <w:rPr>
                <w:rFonts w:ascii="Times New Roman" w:cs="Times New Roman" w:eastAsia="Times New Roman" w:hAnsi="Times New Roman"/>
                <w:sz w:val="29"/>
                <w:szCs w:val="29"/>
                <w:color w:val="auto"/>
                <w:vertAlign w:val="superscript"/>
              </w:rPr>
              <w:t>(b)</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spacing w:after="0"/>
              <w:rPr>
                <w:sz w:val="22"/>
                <w:szCs w:val="22"/>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r>
      <w:tr>
        <w:trPr>
          <w:trHeight w:val="257"/>
        </w:trPr>
        <w:tc>
          <w:tcPr>
            <w:tcW w:w="50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Legal costs and other settlements</w:t>
            </w:r>
            <w:r>
              <w:rPr>
                <w:rFonts w:ascii="Times New Roman" w:cs="Times New Roman" w:eastAsia="Times New Roman" w:hAnsi="Times New Roman"/>
                <w:sz w:val="29"/>
                <w:szCs w:val="29"/>
                <w:color w:val="auto"/>
                <w:vertAlign w:val="superscript"/>
              </w:rPr>
              <w:t>(c)</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w:t>
            </w:r>
          </w:p>
        </w:tc>
      </w:tr>
      <w:tr>
        <w:trPr>
          <w:trHeight w:val="257"/>
        </w:trPr>
        <w:tc>
          <w:tcPr>
            <w:tcW w:w="50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Acquisition and integration related costs</w:t>
            </w:r>
            <w:r>
              <w:rPr>
                <w:rFonts w:ascii="Times New Roman" w:cs="Times New Roman" w:eastAsia="Times New Roman" w:hAnsi="Times New Roman"/>
                <w:sz w:val="29"/>
                <w:szCs w:val="29"/>
                <w:color w:val="auto"/>
                <w:vertAlign w:val="superscript"/>
              </w:rPr>
              <w:t>(d)</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Transformation initiative costs(e)</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Sale of healthcare customer contracts</w:t>
            </w:r>
            <w:r>
              <w:rPr>
                <w:rFonts w:ascii="Times New Roman" w:cs="Times New Roman" w:eastAsia="Times New Roman" w:hAnsi="Times New Roman"/>
                <w:sz w:val="29"/>
                <w:szCs w:val="29"/>
                <w:color w:val="auto"/>
                <w:vertAlign w:val="superscript"/>
              </w:rPr>
              <w:t>(f)</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8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(j)</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09"/>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items impacting comparability</w:t>
            </w:r>
          </w:p>
        </w:tc>
        <w:tc>
          <w:tcPr>
            <w:tcW w:w="4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8"/>
                <w:szCs w:val="18"/>
                <w:color w:val="auto"/>
              </w:rPr>
            </w:pPr>
          </w:p>
        </w:tc>
      </w:tr>
      <w:tr>
        <w:trPr>
          <w:trHeight w:val="270"/>
        </w:trPr>
        <w:tc>
          <w:tcPr>
            <w:tcW w:w="50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Income tax benefit </w:t>
            </w:r>
            <w:r>
              <w:rPr>
                <w:rFonts w:ascii="Times New Roman" w:cs="Times New Roman" w:eastAsia="Times New Roman" w:hAnsi="Times New Roman"/>
                <w:sz w:val="29"/>
                <w:szCs w:val="29"/>
                <w:color w:val="auto"/>
                <w:vertAlign w:val="superscript"/>
              </w:rPr>
              <w:t>(g)(h)</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r>
      <w:tr>
        <w:trPr>
          <w:trHeight w:val="209"/>
        </w:trPr>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Items impacting comparability, net of taxes</w:t>
            </w:r>
          </w:p>
        </w:tc>
        <w:tc>
          <w:tcPr>
            <w:tcW w:w="4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tcPr>
          <w:p>
            <w:pPr>
              <w:spacing w:after="0"/>
              <w:rPr>
                <w:sz w:val="18"/>
                <w:szCs w:val="18"/>
                <w:color w:val="auto"/>
              </w:rPr>
            </w:pPr>
          </w:p>
        </w:tc>
      </w:tr>
      <w:tr>
        <w:trPr>
          <w:trHeight w:val="223"/>
        </w:trPr>
        <w:tc>
          <w:tcPr>
            <w:tcW w:w="5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b w:val="1"/>
          <w:bCs w:val="1"/>
          <w:color w:val="auto"/>
        </w:rPr>
        <w:t>Reconciliation of Net Income (Loss) to Adjusted EBITDA Net income (loss)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Items impacting comparability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Excluding Management Reimbursement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reimbursement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excluding management reimbursement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margin as a % of revenues excluding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60" w:type="dxa"/>
            <w:vAlign w:val="bottom"/>
          </w:tcPr>
          <w:p>
            <w:pPr>
              <w:spacing w:after="0"/>
              <w:rPr>
                <w:sz w:val="20"/>
                <w:szCs w:val="20"/>
                <w:color w:val="auto"/>
              </w:rPr>
            </w:pPr>
          </w:p>
        </w:tc>
        <w:tc>
          <w:tcPr>
            <w:tcW w:w="252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7"/>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-1019810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-736600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-462280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-179705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9"/>
                <w:szCs w:val="19"/>
                <w:color w:val="auto"/>
              </w:rPr>
            </w:pPr>
          </w:p>
        </w:tc>
      </w:tr>
      <w:tr>
        <w:trPr>
          <w:trHeight w:val="407"/>
        </w:trPr>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1,961.4</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5,795.5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60" w:type="dxa"/>
            <w:vAlign w:val="bottom"/>
          </w:tcPr>
          <w:p>
            <w:pPr>
              <w:spacing w:after="0"/>
              <w:rPr>
                <w:sz w:val="24"/>
                <w:szCs w:val="24"/>
                <w:color w:val="auto"/>
              </w:rPr>
            </w:pPr>
          </w:p>
        </w:tc>
      </w:tr>
      <w:tr>
        <w:trPr>
          <w:trHeight w:val="248"/>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5,591.4</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-607695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-325120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-16510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1" w:lineRule="exact"/>
        <w:rPr>
          <w:sz w:val="20"/>
          <w:szCs w:val="20"/>
          <w:color w:val="auto"/>
        </w:rPr>
      </w:pPr>
    </w:p>
    <w:p>
      <w:pPr>
        <w:sectPr>
          <w:pgSz w:w="11900" w:h="16838" w:orient="portrait"/>
          <w:cols w:equalWidth="0" w:num="2">
            <w:col w:w="4680" w:space="720"/>
            <w:col w:w="584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39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 reimbursement</w:t>
            </w:r>
            <w:r>
              <w:rPr>
                <w:rFonts w:ascii="Times New Roman" w:cs="Times New Roman" w:eastAsia="Times New Roman" w:hAnsi="Times New Roman"/>
                <w:sz w:val="29"/>
                <w:szCs w:val="29"/>
                <w:b w:val="1"/>
                <w:bCs w:val="1"/>
                <w:color w:val="auto"/>
                <w:vertAlign w:val="superscript"/>
              </w:rPr>
              <w:t>(i)</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4"/>
                <w:szCs w:val="24"/>
                <w:color w:val="auto"/>
              </w:rPr>
            </w:pPr>
          </w:p>
        </w:tc>
        <w:tc>
          <w:tcPr>
            <w:tcW w:w="12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304"/>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60" w:type="dxa"/>
            <w:vAlign w:val="bottom"/>
          </w:tcPr>
          <w:p>
            <w:pPr>
              <w:spacing w:after="0"/>
              <w:rPr>
                <w:sz w:val="24"/>
                <w:szCs w:val="24"/>
                <w:color w:val="auto"/>
              </w:rPr>
            </w:pPr>
          </w:p>
        </w:tc>
        <w:tc>
          <w:tcPr>
            <w:tcW w:w="26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r>
      <w:tr>
        <w:trPr>
          <w:trHeight w:val="223"/>
        </w:trPr>
        <w:tc>
          <w:tcPr>
            <w:tcW w:w="5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174"/>
        </w:trPr>
        <w:tc>
          <w:tcPr>
            <w:tcW w:w="53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Net Income (Loss) per Diluted Share to Adjusted</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Diluted Share</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diluted share</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0.85</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2.68</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impacting comparability, net of taxes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63"/>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net income per diluted share</w:t>
            </w:r>
          </w:p>
        </w:tc>
        <w:tc>
          <w:tcPr>
            <w:tcW w:w="20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2.77</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tcPr>
          <w:p>
            <w:pPr>
              <w:spacing w:after="0"/>
              <w:rPr>
                <w:sz w:val="22"/>
                <w:szCs w:val="22"/>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ind w:left="760"/>
              <w:spacing w:after="0" w:line="196" w:lineRule="exact"/>
              <w:rPr>
                <w:sz w:val="20"/>
                <w:szCs w:val="20"/>
                <w:color w:val="auto"/>
              </w:rPr>
            </w:pPr>
            <w:r>
              <w:rPr>
                <w:rFonts w:ascii="Times New Roman" w:cs="Times New Roman" w:eastAsia="Times New Roman" w:hAnsi="Times New Roman"/>
                <w:sz w:val="18"/>
                <w:szCs w:val="18"/>
                <w:color w:val="auto"/>
                <w:w w:val="88"/>
              </w:rPr>
              <w:t>67.7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7"/>
                <w:szCs w:val="17"/>
                <w:color w:val="auto"/>
              </w:rPr>
            </w:pPr>
          </w:p>
        </w:tc>
      </w:tr>
      <w:tr>
        <w:trPr>
          <w:trHeight w:val="648"/>
        </w:trPr>
        <w:tc>
          <w:tcPr>
            <w:tcW w:w="5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60" w:type="dxa"/>
            <w:vAlign w:val="bottom"/>
          </w:tcPr>
          <w:p>
            <w:pPr>
              <w:spacing w:after="0"/>
              <w:rPr>
                <w:sz w:val="20"/>
                <w:szCs w:val="20"/>
                <w:color w:val="auto"/>
              </w:rPr>
            </w:pPr>
          </w:p>
        </w:tc>
        <w:tc>
          <w:tcPr>
            <w:tcW w:w="262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r>
      <w:tr>
        <w:trPr>
          <w:trHeight w:val="223"/>
        </w:trPr>
        <w:tc>
          <w:tcPr>
            <w:tcW w:w="5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174"/>
        </w:trPr>
        <w:tc>
          <w:tcPr>
            <w:tcW w:w="54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Net Cash Provided by (Used in) Operating Activities</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 Free Cash Flow</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(96.7)</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tcPr>
          <w:p>
            <w:pPr>
              <w:spacing w:after="0"/>
              <w:rPr>
                <w:sz w:val="18"/>
                <w:szCs w:val="18"/>
                <w:color w:val="auto"/>
              </w:rPr>
            </w:pPr>
          </w:p>
        </w:tc>
      </w:tr>
      <w:tr>
        <w:trPr>
          <w:trHeight w:val="23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8"/>
        <w:spacing w:after="0" w:line="208" w:lineRule="auto"/>
        <w:tabs>
          <w:tab w:leader="none" w:pos="217"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Company adjusts income to exclude the impact of certain items that are unusual, non-recurring, or otherwise do not reflect management's views of the underlying operational results and trends of the Company.</w:t>
      </w:r>
    </w:p>
    <w:p>
      <w:pPr>
        <w:spacing w:after="0" w:line="226" w:lineRule="exact"/>
        <w:rPr>
          <w:rFonts w:ascii="Times New Roman" w:cs="Times New Roman" w:eastAsia="Times New Roman" w:hAnsi="Times New Roman"/>
          <w:sz w:val="28"/>
          <w:szCs w:val="28"/>
          <w:color w:val="auto"/>
          <w:vertAlign w:val="superscript"/>
        </w:rPr>
      </w:pPr>
    </w:p>
    <w:p>
      <w:pPr>
        <w:jc w:val="both"/>
        <w:ind w:firstLine="8"/>
        <w:spacing w:after="0" w:line="254" w:lineRule="auto"/>
        <w:tabs>
          <w:tab w:leader="none" w:pos="228"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the net adjustments to our self-insurance reserve for general liability, workers’ compensation, automobile and medical and dental insurance claims related to prior period accident years. Management believes these prior period reserve changes do not illustrate the performance of the Company’s normal ongoing operations given the current year's insurance expense is estimated by management in conjunction with the Company's outside actuary to take into consideration past history and current costs and regulatory trends. Once the Company develops its best estimate of insurance expense premiums for the year, the Company fully allocates such costs out to the business leaders to hold them accountable for the current year costs within operations. However, since these prior period reserve changes relate to claims that could date back many years, current management has limited ability to influence the ultimate development of the prior year changes. Accordingly, including the prior period reserve changes in the Company's current operational results would not depict how the business is run as the Company holds its management accountable for the current year’s operational performance. The Company believes the exclusion of the self-insurance adjustment from net income is useful to investors by enabling them to better assess our operating performance in the context of current year profitability. For the three and nine months ended July 31, 2022, our self-insurance general liability, workers’ compensation, and automobile and medical and dental insurance claims related to prior period accident years decreased by $8.5 million and $37.2 million respectively. For the three and nine months ended July 31, 2021, the liability decreased by $26.1 million and $37.5 million.</w:t>
      </w:r>
    </w:p>
    <w:p>
      <w:pPr>
        <w:spacing w:after="0" w:line="144" w:lineRule="exact"/>
        <w:rPr>
          <w:rFonts w:ascii="Times New Roman" w:cs="Times New Roman" w:eastAsia="Times New Roman" w:hAnsi="Times New Roman"/>
          <w:sz w:val="28"/>
          <w:szCs w:val="28"/>
          <w:color w:val="auto"/>
          <w:vertAlign w:val="superscript"/>
        </w:rPr>
      </w:pPr>
    </w:p>
    <w:p>
      <w:pPr>
        <w:ind w:left="220" w:hanging="212"/>
        <w:spacing w:after="0"/>
        <w:tabs>
          <w:tab w:leader="none" w:pos="22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three and nine months ended July 31, 2021, include a reserve for Bucio litigation of $112.9 million and $142.9 million, respectively.</w:t>
      </w:r>
    </w:p>
    <w:p>
      <w:pPr>
        <w:spacing w:after="0" w:line="148" w:lineRule="exact"/>
        <w:rPr>
          <w:rFonts w:ascii="Times New Roman" w:cs="Times New Roman" w:eastAsia="Times New Roman" w:hAnsi="Times New Roman"/>
          <w:sz w:val="28"/>
          <w:szCs w:val="28"/>
          <w:color w:val="auto"/>
          <w:vertAlign w:val="superscript"/>
        </w:rPr>
      </w:pPr>
    </w:p>
    <w:p>
      <w:pPr>
        <w:ind w:left="220" w:hanging="212"/>
        <w:spacing w:after="0"/>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acquisition and integration related costs primarily associated with Able acquisition.</w:t>
      </w:r>
    </w:p>
    <w:p>
      <w:pPr>
        <w:spacing w:after="0" w:line="238" w:lineRule="exact"/>
        <w:rPr>
          <w:rFonts w:ascii="Times New Roman" w:cs="Times New Roman" w:eastAsia="Times New Roman" w:hAnsi="Times New Roman"/>
          <w:sz w:val="27"/>
          <w:szCs w:val="27"/>
          <w:color w:val="auto"/>
          <w:vertAlign w:val="superscript"/>
        </w:rPr>
      </w:pPr>
    </w:p>
    <w:p>
      <w:pPr>
        <w:jc w:val="both"/>
        <w:ind w:firstLine="8"/>
        <w:spacing w:after="0" w:line="219" w:lineRule="auto"/>
        <w:tabs>
          <w:tab w:leader="none" w:pos="265"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discrete transformational costs that primarily consists of general and administrative costs for developing technological needs and alternatives, project management, testing, training and data conversion inclusive of internal costs, consulting and professional fees for i) new enterprise resource planning system, ii) client facing technology, iii) workforce management tools and iv) data analytics. These costs are not expected to recur beyond the deployment of these initiatives.</w:t>
      </w:r>
    </w:p>
    <w:p>
      <w:pPr>
        <w:spacing w:after="0" w:line="151" w:lineRule="exact"/>
        <w:rPr>
          <w:rFonts w:ascii="Times New Roman" w:cs="Times New Roman" w:eastAsia="Times New Roman" w:hAnsi="Times New Roman"/>
          <w:sz w:val="30"/>
          <w:szCs w:val="30"/>
          <w:color w:val="auto"/>
          <w:vertAlign w:val="superscript"/>
        </w:rPr>
      </w:pPr>
    </w:p>
    <w:p>
      <w:pPr>
        <w:ind w:left="200" w:hanging="192"/>
        <w:spacing w:after="0"/>
        <w:tabs>
          <w:tab w:leader="none" w:pos="20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a $7.6 million gain on the sale of certain healthcare customer contracts.</w:t>
      </w:r>
    </w:p>
    <w:p>
      <w:pPr>
        <w:spacing w:after="0" w:line="224" w:lineRule="exact"/>
        <w:rPr>
          <w:rFonts w:ascii="Times New Roman" w:cs="Times New Roman" w:eastAsia="Times New Roman" w:hAnsi="Times New Roman"/>
          <w:sz w:val="28"/>
          <w:szCs w:val="28"/>
          <w:color w:val="auto"/>
          <w:vertAlign w:val="superscript"/>
        </w:rPr>
      </w:pPr>
    </w:p>
    <w:p>
      <w:pPr>
        <w:ind w:firstLine="8"/>
        <w:spacing w:after="0" w:line="208" w:lineRule="auto"/>
        <w:tabs>
          <w:tab w:leader="none" w:pos="226"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Company's tax impact is calculated using the federal and state statutory rate of 28.11% for US and 19% for UK for FY 2022 and FY 2021. We calculate tax from the underlying whole-dollar amounts, as a result, certain amounts may not recalculate based on reported numbers due to rounding.</w:t>
      </w:r>
    </w:p>
    <w:p>
      <w:pPr>
        <w:spacing w:after="0" w:line="226" w:lineRule="exact"/>
        <w:rPr>
          <w:rFonts w:ascii="Times New Roman" w:cs="Times New Roman" w:eastAsia="Times New Roman" w:hAnsi="Times New Roman"/>
          <w:sz w:val="28"/>
          <w:szCs w:val="28"/>
          <w:color w:val="auto"/>
          <w:vertAlign w:val="superscript"/>
        </w:rPr>
      </w:pPr>
    </w:p>
    <w:p>
      <w:pPr>
        <w:ind w:right="340" w:firstLine="8"/>
        <w:spacing w:after="0" w:line="218" w:lineRule="auto"/>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nine months ended July 31, 2022, includes a tax benefit of $3.6M related to the expiring statute of limitations. The three and nine months ended July 31, 2021, includes a $2.8 million charge from change of tax reserves.</w:t>
      </w:r>
    </w:p>
    <w:p>
      <w:pPr>
        <w:spacing w:after="0" w:line="239" w:lineRule="exact"/>
        <w:rPr>
          <w:rFonts w:ascii="Times New Roman" w:cs="Times New Roman" w:eastAsia="Times New Roman" w:hAnsi="Times New Roman"/>
          <w:sz w:val="27"/>
          <w:szCs w:val="27"/>
          <w:color w:val="auto"/>
          <w:vertAlign w:val="superscript"/>
        </w:rPr>
      </w:pPr>
    </w:p>
    <w:p>
      <w:pPr>
        <w:jc w:val="both"/>
        <w:ind w:firstLine="8"/>
        <w:spacing w:after="0" w:line="235" w:lineRule="auto"/>
        <w:tabs>
          <w:tab w:leader="none" w:pos="179"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Company has revised its calculation for adjusted EBITDA margin for all periods presented to exclude parking management reimbursement revenue, which the Company believes provides a clearer understanding of its operating margins. Such revenue and its associated costs, which net out to zero, are both recorded on a gross basis, and generally have no associated margin.</w:t>
      </w:r>
    </w:p>
    <w:p>
      <w:pPr>
        <w:spacing w:after="0" w:line="203"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29"/>
          <w:szCs w:val="29"/>
          <w:color w:val="auto"/>
          <w:vertAlign w:val="superscript"/>
        </w:rPr>
        <w:t>(j)</w:t>
      </w:r>
      <w:r>
        <w:rPr>
          <w:rFonts w:ascii="Times New Roman" w:cs="Times New Roman" w:eastAsia="Times New Roman" w:hAnsi="Times New Roman"/>
          <w:sz w:val="18"/>
          <w:szCs w:val="18"/>
          <w:color w:val="auto"/>
        </w:rPr>
        <w:t>The three and nine months ended July 31, 2021, includes $9.1 million of non-cash impairment charge for previously capitalized internal-use software related to our ERP system implementation as we determined that certain components developed will no longer be incorporated into the new ERP system.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ABM INDUSTRIES INCORPORATED AND SUBSIDIARIES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 GUIDANCE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Ending October 31, 2022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Low Estimate</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High Estimate</w:t>
            </w:r>
          </w:p>
        </w:tc>
        <w:tc>
          <w:tcPr>
            <w:tcW w:w="1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Estimated Net Income per Diluted Share to Estimated Adjusted Net Income per Diluted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income per diluted share </w:t>
            </w:r>
            <w:r>
              <w:rPr>
                <w:rFonts w:ascii="Times New Roman" w:cs="Times New Roman" w:eastAsia="Times New Roman" w:hAnsi="Times New Roman"/>
                <w:sz w:val="29"/>
                <w:szCs w:val="29"/>
                <w:color w:val="auto"/>
                <w:vertAlign w:val="superscript"/>
              </w:rPr>
              <w:t>(a)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Transformation initiative costs </w:t>
            </w:r>
            <w:r>
              <w:rPr>
                <w:rFonts w:ascii="Times New Roman" w:cs="Times New Roman" w:eastAsia="Times New Roman" w:hAnsi="Times New Roman"/>
                <w:sz w:val="29"/>
                <w:szCs w:val="29"/>
                <w:color w:val="auto"/>
                <w:vertAlign w:val="superscript"/>
              </w:rPr>
              <w:t>(b)</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0.66</w:t>
            </w:r>
          </w:p>
        </w:tc>
        <w:tc>
          <w:tcPr>
            <w:tcW w:w="4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Acquisition and integration related costs </w:t>
            </w:r>
            <w:r>
              <w:rPr>
                <w:rFonts w:ascii="Times New Roman" w:cs="Times New Roman" w:eastAsia="Times New Roman" w:hAnsi="Times New Roman"/>
                <w:sz w:val="29"/>
                <w:szCs w:val="29"/>
                <w:color w:val="auto"/>
                <w:vertAlign w:val="superscript"/>
              </w:rPr>
              <w:t>(c)</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4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9"/>
                <w:szCs w:val="29"/>
                <w:color w:val="auto"/>
                <w:vertAlign w:val="superscript"/>
              </w:rPr>
              <w:t>(d)</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(0.44)</w:t>
            </w:r>
          </w:p>
        </w:tc>
        <w:tc>
          <w:tcPr>
            <w:tcW w:w="48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line="284" w:lineRule="exact"/>
              <w:rPr>
                <w:sz w:val="20"/>
                <w:szCs w:val="20"/>
                <w:color w:val="auto"/>
              </w:rPr>
            </w:pPr>
            <w:r>
              <w:rPr>
                <w:rFonts w:ascii="Times New Roman" w:cs="Times New Roman" w:eastAsia="Times New Roman" w:hAnsi="Times New Roman"/>
                <w:sz w:val="18"/>
                <w:szCs w:val="18"/>
                <w:color w:val="auto"/>
              </w:rPr>
              <w:t xml:space="preserve">Adjusted net income per diluted share </w:t>
            </w:r>
            <w:r>
              <w:rPr>
                <w:rFonts w:ascii="Times New Roman" w:cs="Times New Roman" w:eastAsia="Times New Roman" w:hAnsi="Times New Roman"/>
                <w:sz w:val="29"/>
                <w:szCs w:val="29"/>
                <w:color w:val="auto"/>
                <w:vertAlign w:val="superscript"/>
              </w:rPr>
              <w:t>(a)</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2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8"/>
        <w:spacing w:after="0" w:line="218" w:lineRule="auto"/>
        <w:tabs>
          <w:tab w:leader="none" w:pos="21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With the exception of the 2022 Work Opportunity Tax Credits and anticipated excess tax benefits on stock-based awards, this guidance does not include any potential effects associated with certain other discrete tax items and other unrecognized tax benefits.</w:t>
      </w:r>
    </w:p>
    <w:p>
      <w:pPr>
        <w:spacing w:after="0" w:line="239" w:lineRule="exact"/>
        <w:rPr>
          <w:rFonts w:ascii="Times New Roman" w:cs="Times New Roman" w:eastAsia="Times New Roman" w:hAnsi="Times New Roman"/>
          <w:sz w:val="27"/>
          <w:szCs w:val="27"/>
          <w:color w:val="auto"/>
          <w:vertAlign w:val="superscript"/>
        </w:rPr>
      </w:pPr>
    </w:p>
    <w:p>
      <w:pPr>
        <w:jc w:val="both"/>
        <w:ind w:firstLine="8"/>
        <w:spacing w:after="0" w:line="219" w:lineRule="auto"/>
        <w:tabs>
          <w:tab w:leader="none" w:pos="273"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discrete transformational costs that primarily consists of general and administrative costs for developing technological needs and alternatives, project management, testing, training and data conversion inclusive of internal costs, consulting and professional fees for i) new enterprise resource planning system, ii) client facing technology, iii) workforce management tools and iv) data analytics. These costs are not expected to recur beyond the deployment of these initiatives.</w:t>
      </w:r>
    </w:p>
    <w:p>
      <w:pPr>
        <w:spacing w:after="0" w:line="151" w:lineRule="exact"/>
        <w:rPr>
          <w:rFonts w:ascii="Times New Roman" w:cs="Times New Roman" w:eastAsia="Times New Roman" w:hAnsi="Times New Roman"/>
          <w:sz w:val="30"/>
          <w:szCs w:val="30"/>
          <w:color w:val="auto"/>
          <w:vertAlign w:val="superscript"/>
        </w:rPr>
      </w:pPr>
    </w:p>
    <w:p>
      <w:pPr>
        <w:ind w:left="220" w:hanging="212"/>
        <w:spacing w:after="0"/>
        <w:tabs>
          <w:tab w:leader="none" w:pos="220"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acquisition and integration related costs primarily associated with Able acquisition.</w:t>
      </w:r>
    </w:p>
    <w:p>
      <w:pPr>
        <w:spacing w:after="0" w:line="238" w:lineRule="exact"/>
        <w:rPr>
          <w:rFonts w:ascii="Times New Roman" w:cs="Times New Roman" w:eastAsia="Times New Roman" w:hAnsi="Times New Roman"/>
          <w:sz w:val="28"/>
          <w:szCs w:val="28"/>
          <w:color w:val="auto"/>
          <w:vertAlign w:val="superscript"/>
        </w:rPr>
      </w:pPr>
    </w:p>
    <w:p>
      <w:pPr>
        <w:ind w:right="20" w:firstLine="8"/>
        <w:spacing w:after="0" w:line="218" w:lineRule="auto"/>
        <w:tabs>
          <w:tab w:leader="none" w:pos="2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other contingencies that could include legal settlements, adjustments to self-insurance reserves pertaining to prior year's claims, gain on sale of certain assets and other unique items impacting comparability.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156845</wp:posOffset>
            </wp:positionV>
            <wp:extent cx="6197600" cy="685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976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JIM DEVRIES ELECTED TO ABM’S BOARD OF DIRECTORS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w:t>
      </w:r>
      <w:r>
        <w:rPr>
          <w:rFonts w:ascii="Times New Roman" w:cs="Times New Roman" w:eastAsia="Times New Roman" w:hAnsi="Times New Roman"/>
          <w:sz w:val="18"/>
          <w:szCs w:val="18"/>
          <w:color w:val="auto"/>
        </w:rPr>
        <w:t>September 7, 2022 - ABM (NYSE: ABM) a leading provider of integrated facility services and solutions, today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of James “Jim” DeVries, President and Chief Executive Officer of ADT Inc., to ABM’s Board of Directors. Mr. DeVries brings deep experience in corporate leadership, human capital management and development, and operational excellence to the ABM Board.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Sudhakar Kesavan, Chairman of the Board of Directors of ABM, said: “As an engaged and results-oriented leader, Mr. Devries has driven transformational leadership and innovation initiatives at ADT, while also expanding growth opportunities to help position ADT as a leading provider of safe, smart, and sustainable security solutions. Jim’s voice, vision and insights are a welcomed addition to our Board and will help guide us as ABM continues to execute its ELEVATE strategy.”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Mr. DeVries, who has served as the President and Chief Executive Officer of ADT, as well as a director on the ADT Board, since 2018, joined the company in 2016 as Executive Vice President and Chief Operating Officer. Prior to joining ADT, Mr. DeVries spent nearly a decade at Allstate Insurance Company, serving as Executive Vice President of Operations as well as Executive Vice President and Chief Administrative Officer, with responsibility for real estate and administration, human resources, and procurement. Prior to that, Mr. DeVries held various executive and management roles at Principal Financial Group, Ameritech, Quaker Oats Company, and Andrew Corporation. Mr. DeVries </w:t>
      </w:r>
      <w:r>
        <w:rPr>
          <w:rFonts w:ascii="Times New Roman" w:cs="Times New Roman" w:eastAsia="Times New Roman" w:hAnsi="Times New Roman"/>
          <w:sz w:val="18"/>
          <w:szCs w:val="18"/>
          <w:color w:val="2B2B2B"/>
        </w:rPr>
        <w:t>holds a bachelor's degree in Human Resources from</w:t>
      </w:r>
      <w:r>
        <w:rPr>
          <w:rFonts w:ascii="Times New Roman" w:cs="Times New Roman" w:eastAsia="Times New Roman" w:hAnsi="Times New Roman"/>
          <w:sz w:val="18"/>
          <w:szCs w:val="18"/>
          <w:color w:val="auto"/>
        </w:rPr>
        <w:t xml:space="preserve"> Trinity International University </w:t>
      </w:r>
      <w:r>
        <w:rPr>
          <w:rFonts w:ascii="Times New Roman" w:cs="Times New Roman" w:eastAsia="Times New Roman" w:hAnsi="Times New Roman"/>
          <w:sz w:val="18"/>
          <w:szCs w:val="18"/>
          <w:color w:val="2B2B2B"/>
        </w:rPr>
        <w:t>and a master's degree in Industrial Relations from Loyola University in Chicago, as well as a</w:t>
      </w:r>
      <w:r>
        <w:rPr>
          <w:rFonts w:ascii="Times New Roman" w:cs="Times New Roman" w:eastAsia="Times New Roman" w:hAnsi="Times New Roman"/>
          <w:sz w:val="18"/>
          <w:szCs w:val="18"/>
          <w:color w:val="auto"/>
        </w:rPr>
        <w:t xml:space="preserve"> master’s degree in Business Administration from the Kellogg School of Management at Northwestern University</w:t>
      </w:r>
      <w:r>
        <w:rPr>
          <w:rFonts w:ascii="Times New Roman" w:cs="Times New Roman" w:eastAsia="Times New Roman" w:hAnsi="Times New Roman"/>
          <w:sz w:val="18"/>
          <w:szCs w:val="18"/>
          <w:color w:val="2B2B2B"/>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“Jim’s broad knowledge and experience in service industries and expertise in human resources and operations will add tremendous value to our Board of Directors.” said Scott Salmirs, President and Chief Executive Officer of ABM. “I look forward to his counsel and to working closely with him as we continue to position ABM for sustainable growth and excellence.”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ABM (NYSE: ABM) is one of the world’s largest providers of integrated facility services. A driving force for a cleaner, healthier, and more sustainable world, ABM provides essential services that improve the spaces and places that matter most. From curbside to rooftop, ABM offers a comprehensive array of facility services that include janitorial, engineering, parking, electrical &amp; lighting, energy solutions, HVAC &amp; mechanical, landscape &amp; turf, and mission critical solutions. ABM delivers these custom facility solutions to properties across a wide range of industries – from commercial office buildings to schools, airports, hospitals, data centers, manufacturing plants, and distribution centers, entertainment venues, and more. Founded in 1909, ABM today has annualized revenue exceeding $7 billion and more than 100,000 team members in 350+ offices throughout the United States, United Kingdom, and other international locations. For more information, visit </w:t>
      </w:r>
      <w:r>
        <w:rPr>
          <w:rFonts w:ascii="Times New Roman" w:cs="Times New Roman" w:eastAsia="Times New Roman" w:hAnsi="Times New Roman"/>
          <w:sz w:val="18"/>
          <w:szCs w:val="18"/>
          <w:u w:val="single" w:color="auto"/>
          <w:color w:val="auto"/>
        </w:rPr>
        <w:t>www.abm.com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Goldberg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212-297-9721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ir@abm.com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Valentino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media@abm.com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412"/>
    </w:lvl>
  </w:abstractNum>
  <w:abstractNum w:abstractNumId="4">
    <w:nsid w:val="41B71EFB"/>
    <w:multiLevelType w:val="hybridMultilevel"/>
    <w:lvl w:ilvl="0">
      <w:lvlJc w:val="left"/>
      <w:lvlText w:val="(%1)"/>
      <w:numFmt w:val="decimal"/>
      <w:start w:val="212"/>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2022-09-09T06:08:52Z</dcterms:created>
  <dcterms:modified xsi:type="dcterms:W3CDTF">2022-09-09T06:08:52Z</dcterms:modified>
</cp:coreProperties>
</file>